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066"/>
        <w:tblW w:w="0" w:type="auto"/>
        <w:tblLook w:val="04A0" w:firstRow="1" w:lastRow="0" w:firstColumn="1" w:lastColumn="0" w:noHBand="0" w:noVBand="1"/>
      </w:tblPr>
      <w:tblGrid>
        <w:gridCol w:w="2313"/>
        <w:gridCol w:w="6191"/>
      </w:tblGrid>
      <w:tr w:rsidR="00F83F12">
        <w:trPr>
          <w:trHeight w:val="1364"/>
        </w:trPr>
        <w:tc>
          <w:tcPr>
            <w:tcW w:w="2368" w:type="dxa"/>
            <w:shd w:val="clear" w:color="auto" w:fill="auto"/>
          </w:tcPr>
          <w:p w:rsidR="00F83F12" w:rsidRDefault="00F83F12">
            <w:pPr>
              <w:pStyle w:val="Ttulo1"/>
            </w:pPr>
            <w:bookmarkStart w:id="0" w:name="scroll-bookmark-1"/>
            <w:bookmarkEnd w:id="0"/>
          </w:p>
        </w:tc>
        <w:tc>
          <w:tcPr>
            <w:tcW w:w="6315" w:type="dxa"/>
            <w:shd w:val="clear" w:color="auto" w:fill="auto"/>
          </w:tcPr>
          <w:p w:rsidR="00F83F12" w:rsidRDefault="001C6219">
            <w:pPr>
              <w:pStyle w:val="ZCom"/>
            </w:pPr>
            <w:r>
              <w:t>COMISIÓN EUROPEA</w:t>
            </w:r>
          </w:p>
          <w:p w:rsidR="00F83F12" w:rsidRDefault="001C6219">
            <w:pPr>
              <w:pStyle w:val="ZDGName"/>
            </w:pPr>
            <w:r>
              <w:t>DIRECCIÓN GENERAL</w:t>
            </w:r>
          </w:p>
          <w:p w:rsidR="00F83F12" w:rsidRDefault="001C6219">
            <w:pPr>
              <w:pStyle w:val="ZDGName"/>
            </w:pPr>
            <w:r>
              <w:t>POLÍTICA REGIONAL Y URBANA</w:t>
            </w:r>
          </w:p>
          <w:p w:rsidR="00F83F12" w:rsidRDefault="00F83F12">
            <w:pPr>
              <w:pStyle w:val="ZDGName"/>
            </w:pPr>
          </w:p>
          <w:p w:rsidR="00F83F12" w:rsidRDefault="001C6219">
            <w:pPr>
              <w:pStyle w:val="ZDGName"/>
            </w:pPr>
            <w:r>
              <w:t>Directora general</w:t>
            </w:r>
          </w:p>
          <w:p w:rsidR="00F83F12" w:rsidRDefault="00F83F12"/>
        </w:tc>
      </w:tr>
    </w:tbl>
    <w:p w:rsidR="00F83F12" w:rsidRDefault="001C6219">
      <w:pPr>
        <w:pStyle w:val="Fecha"/>
      </w:pPr>
      <w:r>
        <w:rPr>
          <w:noProof/>
          <w:lang w:val="es-ES"/>
        </w:rPr>
        <w:drawing>
          <wp:anchor distT="0" distB="0" distL="114300" distR="114300" simplePos="0" relativeHeight="251659264" behindDoc="0" locked="0" layoutInCell="1" allowOverlap="1" wp14:anchorId="63775AFC" wp14:editId="74EA724D">
            <wp:simplePos x="0" y="0"/>
            <wp:positionH relativeFrom="column">
              <wp:posOffset>-90170</wp:posOffset>
            </wp:positionH>
            <wp:positionV relativeFrom="paragraph">
              <wp:posOffset>-273685</wp:posOffset>
            </wp:positionV>
            <wp:extent cx="1363980" cy="673100"/>
            <wp:effectExtent l="0" t="0" r="7620" b="0"/>
            <wp:wrapSquare wrapText="bothSides"/>
            <wp:docPr id="1" name="Imagen 1"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_ec_17_colors_300dpi"/>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36398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3F12" w:rsidRDefault="00F83F12">
      <w:pPr>
        <w:pStyle w:val="Subject"/>
        <w:spacing w:after="60"/>
        <w:ind w:left="1701" w:right="1693" w:firstLine="0"/>
        <w:jc w:val="center"/>
      </w:pPr>
    </w:p>
    <w:p w:rsidR="00F83F12" w:rsidRDefault="001C6219">
      <w:pPr>
        <w:pStyle w:val="P68B1DB1-Subject1"/>
        <w:pBdr>
          <w:bottom w:val="single" w:sz="4" w:space="1" w:color="BFBFBF" w:themeColor="background1" w:themeShade="BF"/>
        </w:pBdr>
        <w:spacing w:after="60"/>
        <w:ind w:left="0" w:right="-8" w:firstLine="0"/>
        <w:jc w:val="center"/>
      </w:pPr>
      <w:r>
        <w:t>Preguntas y Respuestas</w:t>
      </w:r>
    </w:p>
    <w:p w:rsidR="00F83F12" w:rsidRDefault="001C6219">
      <w:pPr>
        <w:pStyle w:val="P68B1DB1-Subject2"/>
        <w:ind w:left="0" w:firstLine="0"/>
        <w:jc w:val="center"/>
      </w:pPr>
      <w:r>
        <w:t>Preguntas y Respuestas</w:t>
      </w:r>
    </w:p>
    <w:p w:rsidR="00F83F12" w:rsidRDefault="00F83F12">
      <w:pPr>
        <w:spacing w:before="60" w:after="60"/>
        <w:rPr>
          <w:sz w:val="18"/>
        </w:rPr>
      </w:pPr>
    </w:p>
    <w:p w:rsidR="00F83F12" w:rsidRDefault="001C6219">
      <w:pPr>
        <w:pStyle w:val="P68B1DB1-Normal3"/>
        <w:pBdr>
          <w:top w:val="single" w:sz="4" w:space="6" w:color="auto"/>
          <w:left w:val="single" w:sz="4" w:space="6" w:color="auto"/>
          <w:bottom w:val="single" w:sz="4" w:space="6" w:color="auto"/>
          <w:right w:val="single" w:sz="4" w:space="6" w:color="auto"/>
        </w:pBdr>
        <w:shd w:val="clear" w:color="auto" w:fill="EEF3F8"/>
        <w:spacing w:before="120"/>
      </w:pPr>
      <w:r>
        <w:rPr>
          <w:b/>
        </w:rPr>
        <w:t xml:space="preserve">Exención de responsabilidad: </w:t>
      </w:r>
      <w:r>
        <w:t>Este archivo incluye respuestas a las preguntas de los Estados miembros sobre las disposiciones pertinentes para los Fondos cubiertos por el RDC. Las respuestas de este expediente expresan la opinión de los servicios de la Comisión y no comprometen a la Comisión Europea. Solo el Tribunal de Justicia de la Unión Europea es competente para formular interpretaciones vinculantes del Derecho de la Unión.</w:t>
      </w:r>
    </w:p>
    <w:p w:rsidR="00F83F12" w:rsidRDefault="00F83F12"/>
    <w:p w:rsidR="0005656A" w:rsidRPr="008D61CE" w:rsidRDefault="0005656A" w:rsidP="0005656A">
      <w:pPr>
        <w:pStyle w:val="P68B1DB1-Normal2"/>
        <w:shd w:val="clear" w:color="auto" w:fill="FFFFFF"/>
        <w:spacing w:before="450" w:after="0"/>
        <w:ind w:right="-852"/>
        <w:outlineLvl w:val="1"/>
        <w:rPr>
          <w:b/>
          <w:sz w:val="32"/>
        </w:rPr>
      </w:pPr>
      <w:r w:rsidRPr="008D61CE">
        <w:rPr>
          <w:b/>
          <w:sz w:val="32"/>
        </w:rPr>
        <w:t>Reglamento sobre disposiciones comunes (RDC)</w:t>
      </w:r>
    </w:p>
    <w:p w:rsidR="0005656A" w:rsidRPr="008D61CE" w:rsidRDefault="0005656A" w:rsidP="0005656A">
      <w:pPr>
        <w:pStyle w:val="P68B1DB1-Normal3"/>
        <w:shd w:val="clear" w:color="auto" w:fill="FFFFFF"/>
        <w:spacing w:after="0"/>
        <w:ind w:right="-852"/>
        <w:rPr>
          <w:b/>
          <w:sz w:val="20"/>
        </w:rPr>
      </w:pPr>
      <w:r w:rsidRPr="008D61CE">
        <w:rPr>
          <w:b/>
          <w:sz w:val="20"/>
        </w:rPr>
        <w:t>(1) OBJETIVOS Y NORMAS GENERALES DE AYUDA</w:t>
      </w:r>
    </w:p>
    <w:p w:rsidR="0005656A" w:rsidRPr="008D61CE" w:rsidRDefault="0005656A" w:rsidP="0005656A">
      <w:pPr>
        <w:pStyle w:val="P68B1DB1-Normal3"/>
        <w:shd w:val="clear" w:color="auto" w:fill="FFFFFF"/>
        <w:spacing w:after="0"/>
        <w:ind w:right="-852"/>
        <w:rPr>
          <w:b/>
          <w:sz w:val="20"/>
        </w:rPr>
      </w:pPr>
      <w:r w:rsidRPr="008D61CE">
        <w:rPr>
          <w:b/>
          <w:sz w:val="20"/>
        </w:rPr>
        <w:t>(1) Objeto, definiciones y normas generales</w:t>
      </w:r>
    </w:p>
    <w:p w:rsidR="0005656A" w:rsidRPr="008D61CE" w:rsidRDefault="0005656A" w:rsidP="0005656A">
      <w:pPr>
        <w:pStyle w:val="P68B1DB1-Normal5"/>
        <w:shd w:val="clear" w:color="auto" w:fill="FFFFFF"/>
        <w:spacing w:after="0" w:afterAutospacing="1"/>
        <w:ind w:right="-852"/>
        <w:rPr>
          <w:color w:val="050505"/>
          <w:sz w:val="22"/>
        </w:rPr>
      </w:pPr>
      <w:bookmarkStart w:id="1" w:name="_GoBack"/>
      <w:r w:rsidRPr="008D61CE">
        <w:rPr>
          <w:sz w:val="22"/>
        </w:rPr>
        <w:t>QA00004 — Apoyo a personas físicas o físicas para la inversión en viviendas vinculadas a la adaptación al cambio climático</w:t>
      </w:r>
    </w:p>
    <w:bookmarkEnd w:id="1"/>
    <w:p w:rsidR="0005656A" w:rsidRPr="008D61CE" w:rsidRDefault="0005656A" w:rsidP="0005656A">
      <w:pPr>
        <w:pStyle w:val="P68B1DB1-Normal5"/>
        <w:shd w:val="clear" w:color="auto" w:fill="FFFFFF"/>
        <w:spacing w:after="0" w:afterAutospacing="1"/>
        <w:ind w:right="-852"/>
        <w:rPr>
          <w:sz w:val="22"/>
        </w:rPr>
      </w:pPr>
      <w:r w:rsidRPr="008D61CE">
        <w:rPr>
          <w:sz w:val="22"/>
        </w:rPr>
        <w:t>QA00076 — Concesión de ayudas estatales por beneficiarios que no forman parte del sistema de gestión y control del PO en el período posterior a 2020</w:t>
      </w:r>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7" w:history="1">
        <w:r w:rsidRPr="008D61CE">
          <w:rPr>
            <w:sz w:val="22"/>
          </w:rPr>
          <w:t>A00095 — El impacto de la definición de «beneficiario» en el artículo 2 del RDC en los regímenes de ayudas estatales</w:t>
        </w:r>
      </w:hyperlink>
    </w:p>
    <w:p w:rsidR="0005656A" w:rsidRPr="008D61CE" w:rsidRDefault="0005656A" w:rsidP="0005656A">
      <w:pPr>
        <w:pStyle w:val="P68B1DB1-Normal5"/>
        <w:shd w:val="clear" w:color="auto" w:fill="FFFFFF"/>
        <w:spacing w:after="0" w:afterAutospacing="1"/>
        <w:ind w:right="-852"/>
        <w:rPr>
          <w:sz w:val="22"/>
        </w:rPr>
      </w:pPr>
      <w:hyperlink r:id="rId8" w:history="1">
        <w:r w:rsidRPr="008D61CE">
          <w:rPr>
            <w:sz w:val="22"/>
          </w:rPr>
          <w:t>QA00132 — Financiación en cascada</w:t>
        </w:r>
      </w:hyperlink>
    </w:p>
    <w:p w:rsidR="0005656A" w:rsidRPr="008D61CE" w:rsidRDefault="0005656A" w:rsidP="0005656A">
      <w:pPr>
        <w:pStyle w:val="P68B1DB1-Normal5"/>
        <w:shd w:val="clear" w:color="auto" w:fill="FFFFFF"/>
        <w:spacing w:after="0" w:afterAutospacing="1"/>
        <w:ind w:right="-852"/>
        <w:rPr>
          <w:sz w:val="22"/>
        </w:rPr>
      </w:pPr>
      <w:hyperlink r:id="rId9" w:history="1">
        <w:r w:rsidRPr="008D61CE">
          <w:rPr>
            <w:sz w:val="22"/>
          </w:rPr>
          <w:t>QA00133 — Operación consistente en un grupo de proyectos — régimen de subvenciones</w:t>
        </w:r>
      </w:hyperlink>
    </w:p>
    <w:p w:rsidR="0005656A" w:rsidRPr="008D61CE" w:rsidRDefault="0005656A" w:rsidP="0005656A">
      <w:pPr>
        <w:pStyle w:val="P68B1DB1-Normal5"/>
        <w:shd w:val="clear" w:color="auto" w:fill="FFFFFF"/>
        <w:spacing w:after="0" w:afterAutospacing="1"/>
        <w:ind w:right="-852"/>
        <w:rPr>
          <w:sz w:val="22"/>
        </w:rPr>
      </w:pPr>
      <w:hyperlink r:id="rId10" w:history="1">
        <w:r w:rsidRPr="008D61CE">
          <w:rPr>
            <w:sz w:val="22"/>
          </w:rPr>
          <w:t>QA00190 — Autoridad de gestión un beneficiario admisible de actividades distintas de la asistencia técnica</w:t>
        </w:r>
      </w:hyperlink>
    </w:p>
    <w:p w:rsidR="0005656A" w:rsidRPr="008D61CE" w:rsidRDefault="0005656A" w:rsidP="0005656A">
      <w:pPr>
        <w:pStyle w:val="P68B1DB1-Normal5"/>
        <w:shd w:val="clear" w:color="auto" w:fill="FFFFFF"/>
        <w:spacing w:after="0" w:afterAutospacing="1"/>
        <w:ind w:right="-852"/>
        <w:rPr>
          <w:sz w:val="22"/>
        </w:rPr>
      </w:pPr>
      <w:hyperlink r:id="rId11" w:history="1">
        <w:r w:rsidRPr="008D61CE">
          <w:rPr>
            <w:sz w:val="22"/>
          </w:rPr>
          <w:t>QA00198 — «Beneficiario» en casos de ayuda estatal concedida en virtud de los artículos 20 o 20 bis del RGEC</w:t>
        </w:r>
      </w:hyperlink>
    </w:p>
    <w:p w:rsidR="0005656A" w:rsidRPr="008D61CE" w:rsidRDefault="0005656A" w:rsidP="0005656A">
      <w:pPr>
        <w:pStyle w:val="P68B1DB1-Normal5"/>
        <w:shd w:val="clear" w:color="auto" w:fill="FFFFFF"/>
        <w:spacing w:after="0" w:afterAutospacing="1"/>
        <w:ind w:right="-852"/>
        <w:rPr>
          <w:sz w:val="22"/>
        </w:rPr>
      </w:pPr>
      <w:hyperlink r:id="rId12" w:history="1">
        <w:r w:rsidRPr="008D61CE">
          <w:rPr>
            <w:sz w:val="22"/>
          </w:rPr>
          <w:t>QA00236 — Digitalización de las pymes a través de los centros europeos de innovación digital y cuestiones relacionadas con las ayudas estatales</w:t>
        </w:r>
      </w:hyperlink>
    </w:p>
    <w:p w:rsidR="0005656A" w:rsidRPr="008D61CE" w:rsidRDefault="0005656A" w:rsidP="0005656A">
      <w:pPr>
        <w:pStyle w:val="P68B1DB1-Normal5"/>
        <w:shd w:val="clear" w:color="auto" w:fill="FFFFFF"/>
        <w:spacing w:after="0" w:afterAutospacing="1"/>
        <w:ind w:right="-852"/>
        <w:rPr>
          <w:sz w:val="22"/>
        </w:rPr>
      </w:pPr>
      <w:hyperlink r:id="rId13" w:history="1">
        <w:r w:rsidRPr="008D61CE">
          <w:rPr>
            <w:sz w:val="22"/>
          </w:rPr>
          <w:t>QA00237 — Ayudas estatales a proyectos asociados en Polonia</w:t>
        </w:r>
      </w:hyperlink>
    </w:p>
    <w:p w:rsidR="0005656A" w:rsidRPr="008D61CE" w:rsidRDefault="0005656A" w:rsidP="0005656A">
      <w:pPr>
        <w:pStyle w:val="P68B1DB1-Normal3"/>
        <w:shd w:val="clear" w:color="auto" w:fill="FFFFFF"/>
        <w:spacing w:after="0"/>
        <w:ind w:right="-852"/>
        <w:rPr>
          <w:b/>
          <w:sz w:val="20"/>
        </w:rPr>
      </w:pPr>
      <w:r w:rsidRPr="008D61CE">
        <w:rPr>
          <w:b/>
          <w:sz w:val="20"/>
        </w:rPr>
        <w:t>(2) Objetivos políticos y principios que rigen la ayuda de los Fondos</w:t>
      </w:r>
    </w:p>
    <w:p w:rsidR="0005656A" w:rsidRPr="008D61CE" w:rsidRDefault="0005656A" w:rsidP="0005656A">
      <w:pPr>
        <w:pStyle w:val="P68B1DB1-Normal5"/>
        <w:shd w:val="clear" w:color="auto" w:fill="FFFFFF"/>
        <w:spacing w:after="0" w:afterAutospacing="1"/>
        <w:ind w:right="-852"/>
        <w:rPr>
          <w:sz w:val="22"/>
        </w:rPr>
      </w:pPr>
      <w:hyperlink r:id="rId14" w:history="1">
        <w:r w:rsidRPr="008D61CE">
          <w:rPr>
            <w:sz w:val="22"/>
          </w:rPr>
          <w:t>QA00081 — Requisito de concentración climática y asistencia técnica</w:t>
        </w:r>
      </w:hyperlink>
    </w:p>
    <w:p w:rsidR="0005656A" w:rsidRPr="008D61CE" w:rsidRDefault="0005656A" w:rsidP="0005656A">
      <w:pPr>
        <w:pStyle w:val="P68B1DB1-Normal5"/>
        <w:shd w:val="clear" w:color="auto" w:fill="FFFFFF"/>
        <w:spacing w:after="0" w:afterAutospacing="1"/>
        <w:ind w:right="-852"/>
        <w:rPr>
          <w:sz w:val="22"/>
        </w:rPr>
      </w:pPr>
      <w:hyperlink r:id="rId15" w:history="1">
        <w:r w:rsidRPr="008D61CE">
          <w:rPr>
            <w:sz w:val="22"/>
          </w:rPr>
          <w:t>QA00082 — Evaluación del principio de «no causar un perjuicio significativo» para el FSE +</w:t>
        </w:r>
      </w:hyperlink>
    </w:p>
    <w:p w:rsidR="0005656A" w:rsidRPr="008D61CE" w:rsidRDefault="0005656A" w:rsidP="0005656A">
      <w:pPr>
        <w:pStyle w:val="P68B1DB1-Normal5"/>
        <w:shd w:val="clear" w:color="auto" w:fill="FFFFFF"/>
        <w:spacing w:after="0" w:afterAutospacing="1"/>
        <w:ind w:right="-852"/>
        <w:rPr>
          <w:sz w:val="22"/>
        </w:rPr>
      </w:pPr>
      <w:hyperlink r:id="rId16" w:history="1">
        <w:r w:rsidRPr="008D61CE">
          <w:rPr>
            <w:sz w:val="22"/>
          </w:rPr>
          <w:t>QA00098 — Objetivos relacionados con el cambio climático</w:t>
        </w:r>
      </w:hyperlink>
    </w:p>
    <w:p w:rsidR="0005656A" w:rsidRPr="008D61CE" w:rsidRDefault="0005656A" w:rsidP="0005656A">
      <w:pPr>
        <w:pStyle w:val="P68B1DB1-Normal5"/>
        <w:shd w:val="clear" w:color="auto" w:fill="FFFFFF"/>
        <w:spacing w:after="0" w:afterAutospacing="1"/>
        <w:ind w:right="-852"/>
        <w:rPr>
          <w:sz w:val="22"/>
        </w:rPr>
      </w:pPr>
      <w:hyperlink r:id="rId17" w:history="1">
        <w:r w:rsidRPr="008D61CE">
          <w:rPr>
            <w:sz w:val="22"/>
          </w:rPr>
          <w:t>QA00304 — Preguntas relacionadas con los objetivos climáticos, el límite máximo del 20 % de los recursos del FEDER y la comunicación</w:t>
        </w:r>
      </w:hyperlink>
    </w:p>
    <w:p w:rsidR="0005656A" w:rsidRPr="008D61CE" w:rsidRDefault="0005656A" w:rsidP="0005656A">
      <w:pPr>
        <w:pStyle w:val="P68B1DB1-Normal5"/>
        <w:shd w:val="clear" w:color="auto" w:fill="FFFFFF"/>
        <w:spacing w:after="0" w:afterAutospacing="1"/>
        <w:ind w:right="-852"/>
        <w:rPr>
          <w:sz w:val="22"/>
        </w:rPr>
      </w:pPr>
      <w:hyperlink r:id="rId18" w:history="1">
        <w:r w:rsidRPr="008D61CE">
          <w:rPr>
            <w:sz w:val="22"/>
          </w:rPr>
          <w:t>QA00331 — Principio de «no causar un perjuicio significativo» (DNSH) en el contexto de los instrumentos financieros</w:t>
        </w:r>
      </w:hyperlink>
    </w:p>
    <w:p w:rsidR="0005656A" w:rsidRPr="008D61CE" w:rsidRDefault="0005656A" w:rsidP="0005656A">
      <w:pPr>
        <w:pStyle w:val="P68B1DB1-Normal3"/>
        <w:shd w:val="clear" w:color="auto" w:fill="FFFFFF"/>
        <w:spacing w:after="0"/>
        <w:ind w:right="-852"/>
        <w:rPr>
          <w:b/>
          <w:sz w:val="20"/>
        </w:rPr>
      </w:pPr>
      <w:r w:rsidRPr="008D61CE">
        <w:rPr>
          <w:b/>
          <w:sz w:val="20"/>
        </w:rPr>
        <w:t>(2) ORIENTACIONES ESTRATÉGICAS</w:t>
      </w:r>
    </w:p>
    <w:p w:rsidR="0005656A" w:rsidRPr="008D61CE" w:rsidRDefault="0005656A" w:rsidP="0005656A">
      <w:pPr>
        <w:pStyle w:val="P68B1DB1-Normal3"/>
        <w:shd w:val="clear" w:color="auto" w:fill="FFFFFF"/>
        <w:spacing w:after="0"/>
        <w:ind w:right="-852"/>
        <w:rPr>
          <w:b/>
          <w:sz w:val="20"/>
        </w:rPr>
      </w:pPr>
      <w:r w:rsidRPr="008D61CE">
        <w:rPr>
          <w:b/>
          <w:sz w:val="20"/>
        </w:rPr>
        <w:t>(1) Acuerdo de Asociación</w:t>
      </w:r>
    </w:p>
    <w:p w:rsidR="0005656A" w:rsidRPr="008D61CE" w:rsidRDefault="0005656A" w:rsidP="0005656A">
      <w:pPr>
        <w:pStyle w:val="P68B1DB1-Normal5"/>
        <w:shd w:val="clear" w:color="auto" w:fill="FFFFFF"/>
        <w:spacing w:after="0" w:afterAutospacing="1"/>
        <w:ind w:right="-852"/>
        <w:rPr>
          <w:sz w:val="22"/>
        </w:rPr>
      </w:pPr>
      <w:hyperlink r:id="rId19" w:history="1">
        <w:r w:rsidRPr="008D61CE">
          <w:rPr>
            <w:sz w:val="22"/>
          </w:rPr>
          <w:t>QA00307 — Preguntas relacionadas con la modificación del acuerdo de asociación</w:t>
        </w:r>
      </w:hyperlink>
    </w:p>
    <w:p w:rsidR="0005656A" w:rsidRPr="008D61CE" w:rsidRDefault="0005656A" w:rsidP="0005656A">
      <w:pPr>
        <w:pStyle w:val="P68B1DB1-Normal3"/>
        <w:shd w:val="clear" w:color="auto" w:fill="FFFFFF"/>
        <w:spacing w:after="0"/>
        <w:ind w:right="-852"/>
        <w:rPr>
          <w:b/>
          <w:sz w:val="20"/>
        </w:rPr>
      </w:pPr>
      <w:r w:rsidRPr="008D61CE">
        <w:rPr>
          <w:b/>
          <w:sz w:val="20"/>
        </w:rPr>
        <w:t>(2) Condiciones favorables y marco de rendimiento</w:t>
      </w:r>
    </w:p>
    <w:p w:rsidR="0005656A" w:rsidRPr="008D61CE" w:rsidRDefault="0005656A" w:rsidP="0005656A">
      <w:pPr>
        <w:pStyle w:val="P68B1DB1-Normal5"/>
        <w:shd w:val="clear" w:color="auto" w:fill="FFFFFF"/>
        <w:spacing w:after="0" w:afterAutospacing="1"/>
        <w:ind w:right="-852"/>
        <w:rPr>
          <w:sz w:val="22"/>
        </w:rPr>
      </w:pPr>
      <w:hyperlink r:id="rId20" w:history="1">
        <w:r w:rsidRPr="008D61CE">
          <w:rPr>
            <w:sz w:val="22"/>
          </w:rPr>
          <w:t>QA00118 — Revisión intermedia y apoyo del FSE + a la privación material</w:t>
        </w:r>
      </w:hyperlink>
    </w:p>
    <w:p w:rsidR="0005656A" w:rsidRPr="008D61CE" w:rsidRDefault="0005656A" w:rsidP="0005656A">
      <w:pPr>
        <w:pStyle w:val="P68B1DB1-Normal5"/>
        <w:shd w:val="clear" w:color="auto" w:fill="FFFFFF"/>
        <w:spacing w:after="0" w:afterAutospacing="1"/>
        <w:ind w:right="-852"/>
        <w:rPr>
          <w:sz w:val="22"/>
        </w:rPr>
      </w:pPr>
      <w:hyperlink r:id="rId21" w:history="1">
        <w:r w:rsidRPr="008D61CE">
          <w:rPr>
            <w:sz w:val="22"/>
          </w:rPr>
          <w:t>QA00191 — Asignación final del importe de flexibilidad</w:t>
        </w:r>
      </w:hyperlink>
    </w:p>
    <w:p w:rsidR="0005656A" w:rsidRPr="008D61CE" w:rsidRDefault="0005656A" w:rsidP="0005656A">
      <w:pPr>
        <w:pStyle w:val="P68B1DB1-Normal5"/>
        <w:shd w:val="clear" w:color="auto" w:fill="FFFFFF"/>
        <w:spacing w:after="0" w:afterAutospacing="1"/>
        <w:ind w:right="-852"/>
        <w:rPr>
          <w:sz w:val="22"/>
        </w:rPr>
      </w:pPr>
      <w:hyperlink r:id="rId22" w:history="1">
        <w:r w:rsidRPr="008D61CE">
          <w:rPr>
            <w:sz w:val="22"/>
          </w:rPr>
          <w:t>QA00208 — Información a la Comisión sobre el cumplimiento de las condiciones favorables a lo largo del período de programación</w:t>
        </w:r>
      </w:hyperlink>
    </w:p>
    <w:p w:rsidR="0005656A" w:rsidRPr="008D61CE" w:rsidRDefault="0005656A" w:rsidP="0005656A">
      <w:pPr>
        <w:pStyle w:val="P68B1DB1-Normal5"/>
        <w:shd w:val="clear" w:color="auto" w:fill="FFFFFF"/>
        <w:spacing w:after="0" w:afterAutospacing="1"/>
        <w:ind w:right="-852"/>
        <w:rPr>
          <w:sz w:val="22"/>
        </w:rPr>
      </w:pPr>
      <w:hyperlink r:id="rId23" w:history="1">
        <w:r w:rsidRPr="008D61CE">
          <w:rPr>
            <w:sz w:val="22"/>
          </w:rPr>
          <w:t>QA00226 — Operaciones que contribuyen al cumplimiento de la condición favorable</w:t>
        </w:r>
      </w:hyperlink>
    </w:p>
    <w:p w:rsidR="0005656A" w:rsidRPr="008D61CE" w:rsidRDefault="0005656A" w:rsidP="0005656A">
      <w:pPr>
        <w:pStyle w:val="P68B1DB1-Normal5"/>
        <w:shd w:val="clear" w:color="auto" w:fill="FFFFFF"/>
        <w:spacing w:after="0" w:afterAutospacing="1"/>
        <w:ind w:right="-852"/>
        <w:rPr>
          <w:sz w:val="22"/>
        </w:rPr>
      </w:pPr>
      <w:hyperlink r:id="rId24" w:history="1">
        <w:r w:rsidRPr="008D61CE">
          <w:rPr>
            <w:sz w:val="22"/>
          </w:rPr>
          <w:t>QA00251 — Condiciones de habilitación (apéndice 2 de la solicitud de pago)</w:t>
        </w:r>
      </w:hyperlink>
    </w:p>
    <w:p w:rsidR="0005656A" w:rsidRPr="008D61CE" w:rsidRDefault="0005656A" w:rsidP="0005656A">
      <w:pPr>
        <w:pStyle w:val="P68B1DB1-Normal5"/>
        <w:shd w:val="clear" w:color="auto" w:fill="FFFFFF"/>
        <w:spacing w:after="0" w:afterAutospacing="1"/>
        <w:ind w:right="-852"/>
        <w:rPr>
          <w:sz w:val="22"/>
        </w:rPr>
      </w:pPr>
      <w:hyperlink r:id="rId25" w:history="1">
        <w:r w:rsidRPr="008D61CE">
          <w:rPr>
            <w:sz w:val="22"/>
          </w:rPr>
          <w:t>A00274 — Reasignación del importe de flexibilidad confirmado tras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26" w:history="1">
        <w:r w:rsidRPr="008D61CE">
          <w:rPr>
            <w:sz w:val="22"/>
          </w:rPr>
          <w:t>QA00275 — Versión de los planes nacionales de energía y clima que deben tenerse en cuenta en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27" w:history="1">
        <w:r w:rsidRPr="008D61CE">
          <w:rPr>
            <w:sz w:val="22"/>
          </w:rPr>
          <w:t>QA00276 — Modificación del Acuerdo de Asociación como parte de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28" w:history="1">
        <w:r w:rsidRPr="008D61CE">
          <w:rPr>
            <w:sz w:val="22"/>
          </w:rPr>
          <w:t>QA00277 — Papel de las evaluaciones en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29" w:history="1">
        <w:r w:rsidRPr="008D61CE">
          <w:rPr>
            <w:sz w:val="22"/>
          </w:rPr>
          <w:t>QA00278 — Requisitos para los datos del programa evaluados durante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30" w:history="1">
        <w:r w:rsidRPr="008D61CE">
          <w:rPr>
            <w:sz w:val="22"/>
          </w:rPr>
          <w:t>QA00296 — Reembolso de los gastos tras el cumplimiento de una condición favorecedora no cumplida previamente — consecuencias</w:t>
        </w:r>
      </w:hyperlink>
    </w:p>
    <w:p w:rsidR="0005656A" w:rsidRPr="008D61CE" w:rsidRDefault="0005656A" w:rsidP="0005656A">
      <w:pPr>
        <w:pStyle w:val="P68B1DB1-Normal5"/>
        <w:shd w:val="clear" w:color="auto" w:fill="FFFFFF"/>
        <w:spacing w:after="0" w:afterAutospacing="1"/>
        <w:ind w:right="-852"/>
        <w:rPr>
          <w:sz w:val="22"/>
        </w:rPr>
      </w:pPr>
      <w:hyperlink r:id="rId31" w:history="1">
        <w:r w:rsidRPr="008D61CE">
          <w:rPr>
            <w:sz w:val="22"/>
          </w:rPr>
          <w:t>QA00306 — Preguntas relacionadas con la revisión intermedia</w:t>
        </w:r>
      </w:hyperlink>
    </w:p>
    <w:p w:rsidR="0005656A" w:rsidRPr="008D61CE" w:rsidRDefault="0005656A" w:rsidP="0005656A">
      <w:pPr>
        <w:pStyle w:val="P68B1DB1-Normal3"/>
        <w:shd w:val="clear" w:color="auto" w:fill="FFFFFF"/>
        <w:spacing w:after="0"/>
        <w:ind w:right="-852"/>
        <w:rPr>
          <w:b/>
          <w:sz w:val="20"/>
        </w:rPr>
      </w:pPr>
      <w:r w:rsidRPr="008D61CE">
        <w:rPr>
          <w:b/>
          <w:sz w:val="20"/>
        </w:rPr>
        <w:t>(3) Medidas relacionadas con una buena gobernanza económica y con circunstancias excepcionales o inusuales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(3) PROGRAMACIÓN</w:t>
      </w:r>
    </w:p>
    <w:p w:rsidR="0005656A" w:rsidRPr="008D61CE" w:rsidRDefault="0005656A" w:rsidP="0005656A">
      <w:pPr>
        <w:pStyle w:val="P68B1DB1-Normal3"/>
        <w:shd w:val="clear" w:color="auto" w:fill="FFFFFF"/>
        <w:spacing w:after="0"/>
        <w:ind w:right="-852"/>
        <w:rPr>
          <w:b/>
          <w:sz w:val="20"/>
        </w:rPr>
      </w:pPr>
      <w:r w:rsidRPr="008D61CE">
        <w:rPr>
          <w:b/>
          <w:sz w:val="20"/>
        </w:rPr>
        <w:t>(1) Disposiciones generales relativas a los Fondos</w:t>
      </w:r>
    </w:p>
    <w:p w:rsidR="0005656A" w:rsidRPr="008D61CE" w:rsidRDefault="0005656A" w:rsidP="0005656A">
      <w:pPr>
        <w:pStyle w:val="P68B1DB1-Normal5"/>
        <w:shd w:val="clear" w:color="auto" w:fill="FFFFFF"/>
        <w:spacing w:after="0" w:afterAutospacing="1"/>
        <w:ind w:right="-852"/>
        <w:rPr>
          <w:sz w:val="22"/>
        </w:rPr>
      </w:pPr>
      <w:hyperlink r:id="rId32" w:history="1">
        <w:r w:rsidRPr="008D61CE">
          <w:rPr>
            <w:sz w:val="22"/>
          </w:rPr>
          <w:t>QA00025 — Combinar objetivos específicos en una prioridad</w:t>
        </w:r>
      </w:hyperlink>
    </w:p>
    <w:p w:rsidR="0005656A" w:rsidRPr="008D61CE" w:rsidRDefault="0005656A" w:rsidP="0005656A">
      <w:pPr>
        <w:pStyle w:val="P68B1DB1-Normal5"/>
        <w:shd w:val="clear" w:color="auto" w:fill="FFFFFF"/>
        <w:spacing w:after="0" w:afterAutospacing="1"/>
        <w:ind w:right="-852"/>
        <w:rPr>
          <w:sz w:val="22"/>
        </w:rPr>
      </w:pPr>
      <w:hyperlink r:id="rId33" w:history="1">
        <w:r w:rsidRPr="008D61CE">
          <w:rPr>
            <w:sz w:val="22"/>
          </w:rPr>
          <w:t>QA00026 — Financiación cruzada</w:t>
        </w:r>
      </w:hyperlink>
    </w:p>
    <w:p w:rsidR="0005656A" w:rsidRPr="008D61CE" w:rsidRDefault="0005656A" w:rsidP="0005656A">
      <w:pPr>
        <w:pStyle w:val="P68B1DB1-Normal5"/>
        <w:shd w:val="clear" w:color="auto" w:fill="FFFFFF"/>
        <w:spacing w:after="0" w:afterAutospacing="1"/>
        <w:ind w:right="-852"/>
        <w:rPr>
          <w:sz w:val="22"/>
        </w:rPr>
      </w:pPr>
      <w:hyperlink r:id="rId34" w:history="1">
        <w:r w:rsidRPr="008D61CE">
          <w:rPr>
            <w:sz w:val="22"/>
          </w:rPr>
          <w:t>QA00040 — Presentación de programas</w:t>
        </w:r>
      </w:hyperlink>
    </w:p>
    <w:p w:rsidR="0005656A" w:rsidRPr="008D61CE" w:rsidRDefault="0005656A" w:rsidP="0005656A">
      <w:pPr>
        <w:pStyle w:val="P68B1DB1-Normal5"/>
        <w:shd w:val="clear" w:color="auto" w:fill="FFFFFF"/>
        <w:spacing w:after="0" w:afterAutospacing="1"/>
        <w:ind w:right="-852"/>
        <w:rPr>
          <w:sz w:val="22"/>
        </w:rPr>
      </w:pPr>
      <w:hyperlink r:id="rId35" w:history="1">
        <w:r w:rsidRPr="008D61CE">
          <w:rPr>
            <w:sz w:val="22"/>
          </w:rPr>
          <w:t>QA00090 — ¿dónde mencionar los «beneficiarios» en el programa?</w:t>
        </w:r>
      </w:hyperlink>
    </w:p>
    <w:p w:rsidR="0005656A" w:rsidRPr="008D61CE" w:rsidRDefault="0005656A" w:rsidP="0005656A">
      <w:pPr>
        <w:pStyle w:val="P68B1DB1-Normal5"/>
        <w:shd w:val="clear" w:color="auto" w:fill="FFFFFF"/>
        <w:spacing w:after="0" w:afterAutospacing="1"/>
        <w:ind w:right="-852"/>
        <w:rPr>
          <w:sz w:val="22"/>
        </w:rPr>
      </w:pPr>
      <w:hyperlink r:id="rId36" w:history="1">
        <w:r w:rsidRPr="008D61CE">
          <w:rPr>
            <w:sz w:val="22"/>
          </w:rPr>
          <w:t>QA00094 — Necesidad de una decisión de la CE para algunos tipos de modificaciones de los programas</w:t>
        </w:r>
      </w:hyperlink>
    </w:p>
    <w:p w:rsidR="0005656A" w:rsidRPr="008D61CE" w:rsidRDefault="0005656A" w:rsidP="0005656A">
      <w:pPr>
        <w:pStyle w:val="P68B1DB1-Normal5"/>
        <w:shd w:val="clear" w:color="auto" w:fill="FFFFFF"/>
        <w:spacing w:after="0" w:afterAutospacing="1"/>
        <w:ind w:right="-852"/>
        <w:rPr>
          <w:sz w:val="22"/>
        </w:rPr>
      </w:pPr>
      <w:hyperlink r:id="rId37" w:history="1">
        <w:r w:rsidRPr="008D61CE">
          <w:rPr>
            <w:sz w:val="22"/>
          </w:rPr>
          <w:t>QA00109 — Transferencia de financiación adicional para las regiones ultraperiféricas</w:t>
        </w:r>
      </w:hyperlink>
    </w:p>
    <w:p w:rsidR="0005656A" w:rsidRPr="008D61CE" w:rsidRDefault="0005656A" w:rsidP="0005656A">
      <w:pPr>
        <w:pStyle w:val="P68B1DB1-Normal5"/>
        <w:shd w:val="clear" w:color="auto" w:fill="FFFFFF"/>
        <w:spacing w:after="0" w:afterAutospacing="1"/>
        <w:ind w:right="-852"/>
        <w:rPr>
          <w:sz w:val="22"/>
        </w:rPr>
      </w:pPr>
      <w:hyperlink r:id="rId38" w:history="1">
        <w:r w:rsidRPr="008D61CE">
          <w:rPr>
            <w:sz w:val="22"/>
          </w:rPr>
          <w:t>QA00116 — ¿Cómo aplicar en la práctica la «operación multifondo» y cómo difiere del mecanismo de «financiación cruzada»?</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39" w:history="1">
        <w:r w:rsidRPr="008D61CE">
          <w:rPr>
            <w:sz w:val="22"/>
          </w:rPr>
          <w:t>A00192 — ¿Cómo modificar la lista de ayudas a las inversiones productivas en empresas distintas de las pymes?</w:t>
        </w:r>
      </w:hyperlink>
    </w:p>
    <w:p w:rsidR="0005656A" w:rsidRPr="008D61CE" w:rsidRDefault="0005656A" w:rsidP="0005656A">
      <w:pPr>
        <w:pStyle w:val="P68B1DB1-Normal5"/>
        <w:shd w:val="clear" w:color="auto" w:fill="FFFFFF"/>
        <w:spacing w:after="0" w:afterAutospacing="1"/>
        <w:ind w:right="-852"/>
        <w:rPr>
          <w:sz w:val="22"/>
        </w:rPr>
      </w:pPr>
      <w:hyperlink r:id="rId40" w:history="1">
        <w:r w:rsidRPr="008D61CE">
          <w:rPr>
            <w:sz w:val="22"/>
          </w:rPr>
          <w:t>QA00253 — Modificaciones del programa — correcciones de redacción</w:t>
        </w:r>
      </w:hyperlink>
    </w:p>
    <w:p w:rsidR="0005656A" w:rsidRPr="008D61CE" w:rsidRDefault="0005656A" w:rsidP="0005656A">
      <w:pPr>
        <w:pStyle w:val="P68B1DB1-Normal5"/>
        <w:shd w:val="clear" w:color="auto" w:fill="FFFFFF"/>
        <w:spacing w:after="0" w:afterAutospacing="1"/>
        <w:ind w:right="-852"/>
        <w:rPr>
          <w:sz w:val="22"/>
        </w:rPr>
      </w:pPr>
      <w:hyperlink r:id="rId41" w:history="1">
        <w:r w:rsidRPr="008D61CE">
          <w:rPr>
            <w:sz w:val="22"/>
          </w:rPr>
          <w:t>QA00256 — Necesidad de una decisión de la CE para modificar el programa en caso de modificación de la contribución nacional</w:t>
        </w:r>
      </w:hyperlink>
    </w:p>
    <w:p w:rsidR="0005656A" w:rsidRPr="008D61CE" w:rsidRDefault="0005656A" w:rsidP="0005656A">
      <w:pPr>
        <w:pStyle w:val="P68B1DB1-Normal5"/>
        <w:shd w:val="clear" w:color="auto" w:fill="FFFFFF"/>
        <w:spacing w:after="0" w:afterAutospacing="1"/>
        <w:ind w:right="-852"/>
        <w:rPr>
          <w:sz w:val="22"/>
        </w:rPr>
      </w:pPr>
      <w:hyperlink r:id="rId42" w:history="1">
        <w:r w:rsidRPr="008D61CE">
          <w:rPr>
            <w:sz w:val="22"/>
          </w:rPr>
          <w:t>QA00264 — Modificaciones del programa — transferencias no sustanciales y cambios conexos</w:t>
        </w:r>
      </w:hyperlink>
    </w:p>
    <w:p w:rsidR="0005656A" w:rsidRPr="008D61CE" w:rsidRDefault="0005656A" w:rsidP="0005656A">
      <w:pPr>
        <w:pStyle w:val="P68B1DB1-Normal5"/>
        <w:shd w:val="clear" w:color="auto" w:fill="FFFFFF"/>
        <w:spacing w:after="0" w:afterAutospacing="1"/>
        <w:ind w:right="-852"/>
        <w:rPr>
          <w:sz w:val="22"/>
        </w:rPr>
      </w:pPr>
      <w:hyperlink r:id="rId43" w:history="1">
        <w:r w:rsidRPr="008D61CE">
          <w:rPr>
            <w:sz w:val="22"/>
          </w:rPr>
          <w:t>QA00273 — Posibilidad de aprobar un programa antes de la aprobación del acuerdo de asociación</w:t>
        </w:r>
      </w:hyperlink>
    </w:p>
    <w:p w:rsidR="0005656A" w:rsidRPr="008D61CE" w:rsidRDefault="0005656A" w:rsidP="0005656A">
      <w:pPr>
        <w:pStyle w:val="P68B1DB1-Normal5"/>
        <w:shd w:val="clear" w:color="auto" w:fill="FFFFFF"/>
        <w:spacing w:after="0" w:afterAutospacing="1"/>
        <w:ind w:right="-852"/>
        <w:rPr>
          <w:sz w:val="22"/>
        </w:rPr>
      </w:pPr>
      <w:hyperlink r:id="rId44"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3"/>
        <w:shd w:val="clear" w:color="auto" w:fill="FFFFFF"/>
        <w:spacing w:after="0"/>
        <w:ind w:right="-852"/>
        <w:rPr>
          <w:b/>
          <w:sz w:val="20"/>
        </w:rPr>
      </w:pPr>
      <w:r w:rsidRPr="008D61CE">
        <w:rPr>
          <w:b/>
          <w:sz w:val="20"/>
        </w:rPr>
        <w:t>(2) Desarrollo territorial</w:t>
      </w:r>
    </w:p>
    <w:p w:rsidR="0005656A" w:rsidRPr="008D61CE" w:rsidRDefault="0005656A" w:rsidP="0005656A">
      <w:pPr>
        <w:pStyle w:val="P68B1DB1-Normal5"/>
        <w:shd w:val="clear" w:color="auto" w:fill="FFFFFF"/>
        <w:spacing w:after="0" w:afterAutospacing="1"/>
        <w:ind w:right="-852"/>
        <w:rPr>
          <w:sz w:val="22"/>
        </w:rPr>
      </w:pPr>
      <w:hyperlink r:id="rId45" w:history="1">
        <w:r w:rsidRPr="008D61CE">
          <w:rPr>
            <w:sz w:val="22"/>
          </w:rPr>
          <w:t>QA00028 — ¿La inclusión de una lista de proyectos en una estrategia territorial cumple el requisito de garantizar la influencia de las autoridades municipales o locales en la selección de proyectos?</w:t>
        </w:r>
      </w:hyperlink>
    </w:p>
    <w:p w:rsidR="0005656A" w:rsidRPr="008D61CE" w:rsidRDefault="0005656A" w:rsidP="0005656A">
      <w:pPr>
        <w:pStyle w:val="P68B1DB1-Normal5"/>
        <w:shd w:val="clear" w:color="auto" w:fill="FFFFFF"/>
        <w:spacing w:after="0" w:afterAutospacing="1"/>
        <w:ind w:right="-852"/>
        <w:rPr>
          <w:sz w:val="22"/>
        </w:rPr>
      </w:pPr>
      <w:hyperlink r:id="rId46" w:history="1">
        <w:r w:rsidRPr="008D61CE">
          <w:rPr>
            <w:sz w:val="22"/>
          </w:rPr>
          <w:t>QA00029 — Planes de desarrollo regional 2021-2027 y Estrategias de Desarrollo de Condados como estrategias suficientes para enmarcar las inversiones territoriales en el marco del objetivo político 5</w:t>
        </w:r>
      </w:hyperlink>
    </w:p>
    <w:p w:rsidR="0005656A" w:rsidRPr="008D61CE" w:rsidRDefault="0005656A" w:rsidP="0005656A">
      <w:pPr>
        <w:pStyle w:val="P68B1DB1-Normal5"/>
        <w:shd w:val="clear" w:color="auto" w:fill="FFFFFF"/>
        <w:spacing w:after="0" w:afterAutospacing="1"/>
        <w:ind w:right="-852"/>
        <w:rPr>
          <w:sz w:val="22"/>
        </w:rPr>
      </w:pPr>
      <w:hyperlink r:id="rId47" w:history="1">
        <w:r w:rsidRPr="008D61CE">
          <w:rPr>
            <w:sz w:val="22"/>
          </w:rPr>
          <w:t>QA00051 — Control de segundo nivel en el caso del DLP financiado por el FEDER, con el Feader como fondo principal</w:t>
        </w:r>
      </w:hyperlink>
    </w:p>
    <w:p w:rsidR="0005656A" w:rsidRPr="008D61CE" w:rsidRDefault="0005656A" w:rsidP="0005656A">
      <w:pPr>
        <w:pStyle w:val="P68B1DB1-Normal5"/>
        <w:shd w:val="clear" w:color="auto" w:fill="FFFFFF"/>
        <w:spacing w:after="0" w:afterAutospacing="1"/>
        <w:ind w:right="-852"/>
        <w:rPr>
          <w:sz w:val="22"/>
        </w:rPr>
      </w:pPr>
      <w:hyperlink r:id="rId48" w:history="1">
        <w:r w:rsidRPr="008D61CE">
          <w:rPr>
            <w:sz w:val="22"/>
          </w:rPr>
          <w:t>QA00052 — Apoyo a todas las actividades preparatorias, de gestión y animación del FEDER para los grupos de acción local en el contexto de una estrategia de DLP con financiación múltiple</w:t>
        </w:r>
      </w:hyperlink>
    </w:p>
    <w:p w:rsidR="0005656A" w:rsidRPr="008D61CE" w:rsidRDefault="0005656A" w:rsidP="0005656A">
      <w:pPr>
        <w:pStyle w:val="P68B1DB1-Normal5"/>
        <w:shd w:val="clear" w:color="auto" w:fill="FFFFFF"/>
        <w:spacing w:after="0" w:afterAutospacing="1"/>
        <w:ind w:right="-852"/>
        <w:rPr>
          <w:sz w:val="22"/>
        </w:rPr>
      </w:pPr>
      <w:hyperlink r:id="rId49" w:history="1">
        <w:r w:rsidRPr="008D61CE">
          <w:rPr>
            <w:sz w:val="22"/>
          </w:rPr>
          <w:t>QA00058: límite del 25 % vinculado a la estrategia territorial/DLP</w:t>
        </w:r>
      </w:hyperlink>
    </w:p>
    <w:p w:rsidR="0005656A" w:rsidRPr="008D61CE" w:rsidRDefault="0005656A" w:rsidP="0005656A">
      <w:pPr>
        <w:pStyle w:val="P68B1DB1-Normal5"/>
        <w:shd w:val="clear" w:color="auto" w:fill="FFFFFF"/>
        <w:spacing w:after="0" w:afterAutospacing="1"/>
        <w:ind w:right="-852"/>
        <w:rPr>
          <w:sz w:val="22"/>
        </w:rPr>
      </w:pPr>
      <w:hyperlink r:id="rId50" w:history="1">
        <w:r w:rsidRPr="008D61CE">
          <w:rPr>
            <w:sz w:val="22"/>
          </w:rPr>
          <w:t>QA00074 — Admisibilidad de las inversiones FUA/áreas metropolitanas en zonas rurales</w:t>
        </w:r>
      </w:hyperlink>
    </w:p>
    <w:p w:rsidR="0005656A" w:rsidRPr="008D61CE" w:rsidRDefault="0005656A" w:rsidP="0005656A">
      <w:pPr>
        <w:pStyle w:val="P68B1DB1-Normal5"/>
        <w:shd w:val="clear" w:color="auto" w:fill="FFFFFF"/>
        <w:spacing w:after="0" w:afterAutospacing="1"/>
        <w:ind w:right="-852"/>
        <w:rPr>
          <w:sz w:val="22"/>
        </w:rPr>
      </w:pPr>
      <w:hyperlink r:id="rId51" w:history="1">
        <w:r w:rsidRPr="008D61CE">
          <w:rPr>
            <w:sz w:val="22"/>
          </w:rPr>
          <w:t>QA00087 — INTERREG y desarrollo territorial</w:t>
        </w:r>
      </w:hyperlink>
    </w:p>
    <w:p w:rsidR="0005656A" w:rsidRPr="008D61CE" w:rsidRDefault="0005656A" w:rsidP="0005656A">
      <w:pPr>
        <w:pStyle w:val="P68B1DB1-Normal5"/>
        <w:shd w:val="clear" w:color="auto" w:fill="FFFFFF"/>
        <w:spacing w:after="0" w:afterAutospacing="1"/>
        <w:ind w:right="-852"/>
        <w:rPr>
          <w:sz w:val="22"/>
        </w:rPr>
      </w:pPr>
      <w:hyperlink r:id="rId52" w:history="1">
        <w:r w:rsidRPr="008D61CE">
          <w:rPr>
            <w:sz w:val="22"/>
          </w:rPr>
          <w:t>QA00099 — Uso de ITI, DLP, enfoques nacionales específicos</w:t>
        </w:r>
      </w:hyperlink>
    </w:p>
    <w:p w:rsidR="0005656A" w:rsidRPr="008D61CE" w:rsidRDefault="0005656A" w:rsidP="0005656A">
      <w:pPr>
        <w:pStyle w:val="P68B1DB1-Normal5"/>
        <w:shd w:val="clear" w:color="auto" w:fill="FFFFFF"/>
        <w:spacing w:after="0" w:afterAutospacing="1"/>
        <w:ind w:right="-852"/>
        <w:rPr>
          <w:sz w:val="22"/>
        </w:rPr>
      </w:pPr>
      <w:hyperlink r:id="rId53" w:history="1">
        <w:r w:rsidRPr="008D61CE">
          <w:rPr>
            <w:sz w:val="22"/>
          </w:rPr>
          <w:t>QA00110 — Programación del DLP</w:t>
        </w:r>
      </w:hyperlink>
    </w:p>
    <w:p w:rsidR="0005656A" w:rsidRPr="008D61CE" w:rsidRDefault="0005656A" w:rsidP="0005656A">
      <w:pPr>
        <w:pStyle w:val="P68B1DB1-Normal5"/>
        <w:shd w:val="clear" w:color="auto" w:fill="FFFFFF"/>
        <w:spacing w:after="0" w:afterAutospacing="1"/>
        <w:ind w:right="-852"/>
        <w:rPr>
          <w:sz w:val="22"/>
        </w:rPr>
      </w:pPr>
      <w:hyperlink r:id="rId54" w:history="1">
        <w:r w:rsidRPr="008D61CE">
          <w:rPr>
            <w:sz w:val="22"/>
          </w:rPr>
          <w:t>QA00111 — Desarrollo territorial: aplicación de estrategias de DLP a través de operaciones consideradas como un grupo de proyectos</w:t>
        </w:r>
      </w:hyperlink>
    </w:p>
    <w:p w:rsidR="0005656A" w:rsidRPr="008D61CE" w:rsidRDefault="0005656A" w:rsidP="0005656A">
      <w:pPr>
        <w:pStyle w:val="P68B1DB1-Normal5"/>
        <w:shd w:val="clear" w:color="auto" w:fill="FFFFFF"/>
        <w:spacing w:after="0" w:afterAutospacing="1"/>
        <w:ind w:right="-852"/>
        <w:rPr>
          <w:sz w:val="22"/>
        </w:rPr>
      </w:pPr>
      <w:hyperlink r:id="rId55" w:history="1">
        <w:r w:rsidRPr="008D61CE">
          <w:rPr>
            <w:sz w:val="22"/>
          </w:rPr>
          <w:t>QA00121 — Admisibilidad de las inversiones urbanas en el marco de la OP 5 SO e ii)</w:t>
        </w:r>
      </w:hyperlink>
    </w:p>
    <w:p w:rsidR="0005656A" w:rsidRPr="008D61CE" w:rsidRDefault="0005656A" w:rsidP="0005656A">
      <w:pPr>
        <w:pStyle w:val="P68B1DB1-Normal5"/>
        <w:shd w:val="clear" w:color="auto" w:fill="FFFFFF"/>
        <w:spacing w:after="0" w:afterAutospacing="1"/>
        <w:ind w:right="-852"/>
        <w:rPr>
          <w:sz w:val="22"/>
        </w:rPr>
      </w:pPr>
      <w:hyperlink r:id="rId56" w:history="1">
        <w:r w:rsidRPr="008D61CE">
          <w:rPr>
            <w:sz w:val="22"/>
          </w:rPr>
          <w:t>QA00130 — Ejecución de proyectos marco en el marco del DLP</w:t>
        </w:r>
      </w:hyperlink>
    </w:p>
    <w:p w:rsidR="0005656A" w:rsidRPr="008D61CE" w:rsidRDefault="0005656A" w:rsidP="0005656A">
      <w:pPr>
        <w:pStyle w:val="P68B1DB1-Normal5"/>
        <w:shd w:val="clear" w:color="auto" w:fill="FFFFFF"/>
        <w:spacing w:after="0" w:afterAutospacing="1"/>
        <w:ind w:right="-852"/>
        <w:rPr>
          <w:sz w:val="22"/>
        </w:rPr>
      </w:pPr>
      <w:hyperlink r:id="rId57" w:history="1">
        <w:r w:rsidRPr="008D61CE">
          <w:rPr>
            <w:sz w:val="22"/>
          </w:rPr>
          <w:t>QA00140 — Programación del DLP en el FSE</w:t>
        </w:r>
      </w:hyperlink>
    </w:p>
    <w:p w:rsidR="0005656A" w:rsidRPr="008D61CE" w:rsidRDefault="0005656A" w:rsidP="0005656A">
      <w:pPr>
        <w:pStyle w:val="P68B1DB1-Normal5"/>
        <w:shd w:val="clear" w:color="auto" w:fill="FFFFFF"/>
        <w:spacing w:after="0" w:afterAutospacing="1"/>
        <w:ind w:right="-852"/>
        <w:rPr>
          <w:sz w:val="22"/>
        </w:rPr>
      </w:pPr>
      <w:hyperlink r:id="rId58" w:history="1">
        <w:r w:rsidRPr="008D61CE">
          <w:rPr>
            <w:sz w:val="22"/>
          </w:rPr>
          <w:t>QA00161 — Apoyo al DLP</w:t>
        </w:r>
      </w:hyperlink>
    </w:p>
    <w:p w:rsidR="0005656A" w:rsidRPr="008D61CE" w:rsidRDefault="0005656A" w:rsidP="0005656A">
      <w:pPr>
        <w:pStyle w:val="P68B1DB1-Normal5"/>
        <w:shd w:val="clear" w:color="auto" w:fill="FFFFFF"/>
        <w:spacing w:after="0" w:afterAutospacing="1"/>
        <w:ind w:right="-852"/>
        <w:rPr>
          <w:sz w:val="22"/>
        </w:rPr>
      </w:pPr>
      <w:hyperlink r:id="rId59" w:history="1">
        <w:r w:rsidRPr="008D61CE">
          <w:rPr>
            <w:sz w:val="22"/>
          </w:rPr>
          <w:t>QA00207 — Selección de estrategias de desarrollo local participativo</w:t>
        </w:r>
      </w:hyperlink>
    </w:p>
    <w:p w:rsidR="0005656A" w:rsidRPr="008D61CE" w:rsidRDefault="0005656A" w:rsidP="0005656A">
      <w:pPr>
        <w:pStyle w:val="P68B1DB1-Normal5"/>
        <w:shd w:val="clear" w:color="auto" w:fill="FFFFFF"/>
        <w:spacing w:after="0" w:afterAutospacing="1"/>
        <w:ind w:right="-852"/>
        <w:rPr>
          <w:sz w:val="22"/>
        </w:rPr>
      </w:pPr>
      <w:hyperlink r:id="rId60" w:history="1">
        <w:r w:rsidRPr="008D61CE">
          <w:rPr>
            <w:sz w:val="22"/>
          </w:rPr>
          <w:t>QA00245 — DLP — límite máximo de selección conjunta, costes de gestión</w:t>
        </w:r>
      </w:hyperlink>
    </w:p>
    <w:p w:rsidR="0005656A" w:rsidRPr="008D61CE" w:rsidRDefault="0005656A" w:rsidP="0005656A">
      <w:pPr>
        <w:pStyle w:val="P68B1DB1-Normal5"/>
        <w:shd w:val="clear" w:color="auto" w:fill="FFFFFF"/>
        <w:spacing w:after="0" w:afterAutospacing="1"/>
        <w:ind w:right="-852"/>
        <w:rPr>
          <w:sz w:val="22"/>
        </w:rPr>
      </w:pPr>
      <w:hyperlink r:id="rId61" w:history="1">
        <w:r w:rsidRPr="008D61CE">
          <w:rPr>
            <w:sz w:val="22"/>
          </w:rPr>
          <w:t>QA00282 — Apoyo a los GAL identificados como organismos intermedios</w:t>
        </w:r>
      </w:hyperlink>
    </w:p>
    <w:p w:rsidR="0005656A" w:rsidRPr="008D61CE" w:rsidRDefault="0005656A" w:rsidP="0005656A">
      <w:pPr>
        <w:pStyle w:val="P68B1DB1-Normal3"/>
        <w:shd w:val="clear" w:color="auto" w:fill="FFFFFF"/>
        <w:spacing w:after="0"/>
        <w:ind w:right="-852"/>
        <w:rPr>
          <w:b/>
          <w:sz w:val="20"/>
        </w:rPr>
      </w:pPr>
      <w:r w:rsidRPr="008D61CE">
        <w:rPr>
          <w:b/>
          <w:sz w:val="20"/>
        </w:rPr>
        <w:t>(3) Asistencia técnica</w:t>
      </w:r>
    </w:p>
    <w:p w:rsidR="0005656A" w:rsidRPr="008D61CE" w:rsidRDefault="0005656A" w:rsidP="0005656A">
      <w:pPr>
        <w:pStyle w:val="P68B1DB1-Normal5"/>
        <w:shd w:val="clear" w:color="auto" w:fill="FFFFFF"/>
        <w:spacing w:after="0" w:afterAutospacing="1"/>
        <w:ind w:right="-852"/>
        <w:rPr>
          <w:sz w:val="22"/>
        </w:rPr>
      </w:pPr>
      <w:hyperlink r:id="rId62" w:history="1">
        <w:r w:rsidRPr="008D61CE">
          <w:rPr>
            <w:sz w:val="22"/>
          </w:rPr>
          <w:t>QA00005 — Uso de los fondos de la UE para la financiación de edificios de la administración pública</w:t>
        </w:r>
      </w:hyperlink>
    </w:p>
    <w:p w:rsidR="0005656A" w:rsidRPr="008D61CE" w:rsidRDefault="0005656A" w:rsidP="0005656A">
      <w:pPr>
        <w:pStyle w:val="P68B1DB1-Normal5"/>
        <w:shd w:val="clear" w:color="auto" w:fill="FFFFFF"/>
        <w:spacing w:after="0" w:afterAutospacing="1"/>
        <w:ind w:right="-852"/>
        <w:rPr>
          <w:sz w:val="22"/>
        </w:rPr>
      </w:pPr>
      <w:hyperlink r:id="rId63" w:history="1">
        <w:r w:rsidRPr="008D61CE">
          <w:rPr>
            <w:sz w:val="22"/>
          </w:rPr>
          <w:t>QA00006 — Asistencia técnica: riesgo de doble financiación cuando se utiliza asistencia técnica a tanto alzado en 2021-2027</w:t>
        </w:r>
      </w:hyperlink>
    </w:p>
    <w:p w:rsidR="0005656A" w:rsidRPr="008D61CE" w:rsidRDefault="0005656A" w:rsidP="0005656A">
      <w:pPr>
        <w:pStyle w:val="P68B1DB1-Normal5"/>
        <w:shd w:val="clear" w:color="auto" w:fill="FFFFFF"/>
        <w:spacing w:after="0" w:afterAutospacing="1"/>
        <w:ind w:right="-852"/>
        <w:rPr>
          <w:sz w:val="22"/>
        </w:rPr>
      </w:pPr>
      <w:hyperlink r:id="rId64" w:history="1">
        <w:r w:rsidRPr="008D61CE">
          <w:rPr>
            <w:sz w:val="22"/>
          </w:rPr>
          <w:t>QA00103 — Asistencia técnica frente a acciones de desarrollo de capacidades</w:t>
        </w:r>
      </w:hyperlink>
    </w:p>
    <w:p w:rsidR="0005656A" w:rsidRPr="008D61CE" w:rsidRDefault="0005656A" w:rsidP="0005656A">
      <w:pPr>
        <w:pStyle w:val="P68B1DB1-Normal5"/>
        <w:shd w:val="clear" w:color="auto" w:fill="FFFFFF"/>
        <w:spacing w:after="0" w:afterAutospacing="1"/>
        <w:ind w:right="-852"/>
        <w:rPr>
          <w:sz w:val="22"/>
        </w:rPr>
      </w:pPr>
      <w:hyperlink r:id="rId65" w:history="1">
        <w:r w:rsidRPr="008D61CE">
          <w:rPr>
            <w:sz w:val="22"/>
          </w:rPr>
          <w:t>QA00107 — Utilización del importe reembolsado con cargo a la asistencia técnica en virtud del artículo 36, apartado 5, (tipo fijo), del RDC para el que no hay gastos de asistencia técnica subyacentes</w:t>
        </w:r>
      </w:hyperlink>
    </w:p>
    <w:p w:rsidR="0005656A" w:rsidRPr="008D61CE" w:rsidRDefault="0005656A" w:rsidP="0005656A">
      <w:pPr>
        <w:pStyle w:val="P68B1DB1-Normal5"/>
        <w:shd w:val="clear" w:color="auto" w:fill="FFFFFF"/>
        <w:spacing w:after="0" w:afterAutospacing="1"/>
        <w:ind w:right="-852"/>
        <w:rPr>
          <w:sz w:val="22"/>
        </w:rPr>
      </w:pPr>
      <w:hyperlink r:id="rId66" w:history="1">
        <w:r w:rsidRPr="008D61CE">
          <w:rPr>
            <w:sz w:val="22"/>
          </w:rPr>
          <w:t>QA00127 — Contenido del cuadro 11A y cálculo de las solicitudes de pago, incluida la asistencia técnica con arreglo al artículo 36, apartado 5,(cantidad a tanto alzado)</w:t>
        </w:r>
      </w:hyperlink>
    </w:p>
    <w:p w:rsidR="0005656A" w:rsidRPr="008D61CE" w:rsidRDefault="0005656A" w:rsidP="0005656A">
      <w:pPr>
        <w:pStyle w:val="P68B1DB1-Normal5"/>
        <w:shd w:val="clear" w:color="auto" w:fill="FFFFFF"/>
        <w:spacing w:after="0" w:afterAutospacing="1"/>
        <w:ind w:right="-852"/>
        <w:rPr>
          <w:sz w:val="22"/>
        </w:rPr>
      </w:pPr>
      <w:hyperlink r:id="rId67" w:history="1">
        <w:r w:rsidRPr="008D61CE">
          <w:rPr>
            <w:sz w:val="22"/>
          </w:rPr>
          <w:t>QA00187 — Admisibilidad de coches eléctricos y paneles solares</w:t>
        </w:r>
      </w:hyperlink>
    </w:p>
    <w:p w:rsidR="0005656A" w:rsidRPr="008D61CE" w:rsidRDefault="0005656A" w:rsidP="0005656A">
      <w:pPr>
        <w:pStyle w:val="P68B1DB1-Normal5"/>
        <w:shd w:val="clear" w:color="auto" w:fill="FFFFFF"/>
        <w:spacing w:after="0" w:afterAutospacing="1"/>
        <w:ind w:right="-852"/>
        <w:rPr>
          <w:sz w:val="22"/>
        </w:rPr>
      </w:pPr>
      <w:hyperlink r:id="rId68" w:history="1">
        <w:r w:rsidRPr="008D61CE">
          <w:rPr>
            <w:sz w:val="22"/>
          </w:rPr>
          <w:t>QA00241 — Aplicación del uso obligatorio de OCS [artículo 53 (2) del RDC] en operaciones de asistencia técnica</w:t>
        </w:r>
      </w:hyperlink>
    </w:p>
    <w:p w:rsidR="0005656A" w:rsidRPr="008D61CE" w:rsidRDefault="0005656A" w:rsidP="0005656A">
      <w:pPr>
        <w:pStyle w:val="P68B1DB1-Normal3"/>
        <w:shd w:val="clear" w:color="auto" w:fill="FFFFFF"/>
        <w:spacing w:after="0"/>
        <w:ind w:right="-852"/>
        <w:rPr>
          <w:b/>
          <w:sz w:val="20"/>
        </w:rPr>
      </w:pPr>
      <w:r w:rsidRPr="008D61CE">
        <w:rPr>
          <w:b/>
          <w:sz w:val="20"/>
        </w:rPr>
        <w:t>(4) SEGUIMIENTO, EVALUACIÓN, COMUNICACIÓN Y VISIBILIDAD</w:t>
      </w:r>
    </w:p>
    <w:p w:rsidR="0005656A" w:rsidRPr="008D61CE" w:rsidRDefault="0005656A" w:rsidP="0005656A">
      <w:pPr>
        <w:pStyle w:val="P68B1DB1-Normal3"/>
        <w:shd w:val="clear" w:color="auto" w:fill="FFFFFF"/>
        <w:spacing w:after="0"/>
        <w:ind w:right="-852"/>
        <w:rPr>
          <w:b/>
          <w:sz w:val="20"/>
        </w:rPr>
      </w:pPr>
      <w:r w:rsidRPr="008D61CE">
        <w:rPr>
          <w:b/>
          <w:sz w:val="20"/>
        </w:rPr>
        <w:t>(1) Supervisión</w:t>
      </w:r>
    </w:p>
    <w:p w:rsidR="0005656A" w:rsidRPr="008D61CE" w:rsidRDefault="0005656A" w:rsidP="0005656A">
      <w:pPr>
        <w:pStyle w:val="P68B1DB1-Normal5"/>
        <w:shd w:val="clear" w:color="auto" w:fill="FFFFFF"/>
        <w:spacing w:after="0" w:afterAutospacing="1"/>
        <w:ind w:right="-852"/>
        <w:rPr>
          <w:sz w:val="22"/>
        </w:rPr>
      </w:pPr>
      <w:hyperlink r:id="rId69" w:history="1">
        <w:r w:rsidRPr="008D61CE">
          <w:rPr>
            <w:sz w:val="22"/>
          </w:rPr>
          <w:t>QA00031 — Campo de datos 59, campo de datos 60, anexo XVII</w:t>
        </w:r>
      </w:hyperlink>
    </w:p>
    <w:p w:rsidR="0005656A" w:rsidRPr="008D61CE" w:rsidRDefault="0005656A" w:rsidP="0005656A">
      <w:pPr>
        <w:pStyle w:val="P68B1DB1-Normal5"/>
        <w:shd w:val="clear" w:color="auto" w:fill="FFFFFF"/>
        <w:spacing w:after="0" w:afterAutospacing="1"/>
        <w:ind w:right="-852"/>
        <w:rPr>
          <w:sz w:val="22"/>
        </w:rPr>
      </w:pPr>
      <w:hyperlink r:id="rId70" w:history="1">
        <w:r w:rsidRPr="008D61CE">
          <w:rPr>
            <w:sz w:val="22"/>
          </w:rPr>
          <w:t>QA00033 — Comunicación eficaz y cumplimiento de las disposiciones del RDC relativas a la comunicación</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71" w:history="1">
        <w:r w:rsidRPr="008D61CE">
          <w:rPr>
            <w:sz w:val="22"/>
          </w:rPr>
          <w:t>A00159 — La futura estructura del Comité de Seguimiento del FEMP durante el período de financiación del FEMPA</w:t>
        </w:r>
      </w:hyperlink>
    </w:p>
    <w:p w:rsidR="0005656A" w:rsidRPr="008D61CE" w:rsidRDefault="0005656A" w:rsidP="0005656A">
      <w:pPr>
        <w:pStyle w:val="P68B1DB1-Normal5"/>
        <w:shd w:val="clear" w:color="auto" w:fill="FFFFFF"/>
        <w:spacing w:after="0" w:afterAutospacing="1"/>
        <w:ind w:right="-852"/>
        <w:rPr>
          <w:sz w:val="22"/>
        </w:rPr>
      </w:pPr>
      <w:hyperlink r:id="rId72" w:history="1">
        <w:r w:rsidRPr="008D61CE">
          <w:rPr>
            <w:sz w:val="22"/>
          </w:rPr>
          <w:t>QA00174 — Requisitos de notificación del anexo VII, cuadro 1, en relación con las FNLC</w:t>
        </w:r>
      </w:hyperlink>
    </w:p>
    <w:p w:rsidR="0005656A" w:rsidRPr="008D61CE" w:rsidRDefault="0005656A" w:rsidP="0005656A">
      <w:pPr>
        <w:pStyle w:val="P68B1DB1-Normal5"/>
        <w:shd w:val="clear" w:color="auto" w:fill="FFFFFF"/>
        <w:spacing w:after="0" w:afterAutospacing="1"/>
        <w:ind w:right="-852"/>
        <w:rPr>
          <w:sz w:val="22"/>
        </w:rPr>
      </w:pPr>
      <w:hyperlink r:id="rId73" w:history="1">
        <w:r w:rsidRPr="008D61CE">
          <w:rPr>
            <w:sz w:val="22"/>
          </w:rPr>
          <w:t>QA00178 — Publicación de los nombres de los miembros de los comités de seguimiento</w:t>
        </w:r>
      </w:hyperlink>
    </w:p>
    <w:p w:rsidR="0005656A" w:rsidRPr="008D61CE" w:rsidRDefault="0005656A" w:rsidP="0005656A">
      <w:pPr>
        <w:pStyle w:val="P68B1DB1-Normal5"/>
        <w:shd w:val="clear" w:color="auto" w:fill="FFFFFF"/>
        <w:spacing w:after="0" w:afterAutospacing="1"/>
        <w:ind w:right="-852"/>
        <w:rPr>
          <w:sz w:val="22"/>
        </w:rPr>
      </w:pPr>
      <w:hyperlink r:id="rId74" w:history="1">
        <w:r w:rsidRPr="008D61CE">
          <w:rPr>
            <w:sz w:val="22"/>
          </w:rPr>
          <w:t>QA00194 — Datos que deben transmitir los Estados miembros de conformidad con el artículo 42, apartado 2, letra a), del RDC en caso de asistencia técnica a tanto alzado</w:t>
        </w:r>
      </w:hyperlink>
    </w:p>
    <w:p w:rsidR="0005656A" w:rsidRPr="008D61CE" w:rsidRDefault="0005656A" w:rsidP="0005656A">
      <w:pPr>
        <w:pStyle w:val="P68B1DB1-Normal5"/>
        <w:shd w:val="clear" w:color="auto" w:fill="FFFFFF"/>
        <w:spacing w:after="0" w:afterAutospacing="1"/>
        <w:ind w:right="-852"/>
        <w:rPr>
          <w:sz w:val="22"/>
        </w:rPr>
      </w:pPr>
      <w:hyperlink r:id="rId75" w:history="1">
        <w:r w:rsidRPr="008D61CE">
          <w:rPr>
            <w:sz w:val="22"/>
          </w:rPr>
          <w:t>QA00210 — Publicación de datos por el Estado miembro</w:t>
        </w:r>
      </w:hyperlink>
    </w:p>
    <w:p w:rsidR="0005656A" w:rsidRPr="008D61CE" w:rsidRDefault="0005656A" w:rsidP="0005656A">
      <w:pPr>
        <w:pStyle w:val="P68B1DB1-Normal5"/>
        <w:shd w:val="clear" w:color="auto" w:fill="FFFFFF"/>
        <w:spacing w:after="0" w:afterAutospacing="1"/>
        <w:ind w:right="-852"/>
        <w:rPr>
          <w:sz w:val="22"/>
        </w:rPr>
      </w:pPr>
      <w:hyperlink r:id="rId76" w:history="1">
        <w:r w:rsidRPr="008D61CE">
          <w:rPr>
            <w:sz w:val="22"/>
          </w:rPr>
          <w:t xml:space="preserve">QA00279 — Coste subvencionable total/gasto en datos transmitidos de conformidad con el artículo 42 del RDC, informes </w:t>
        </w:r>
        <w:proofErr w:type="spellStart"/>
        <w:r w:rsidRPr="008D61CE">
          <w:rPr>
            <w:sz w:val="22"/>
          </w:rPr>
          <w:t>Infosys</w:t>
        </w:r>
        <w:proofErr w:type="spellEnd"/>
      </w:hyperlink>
    </w:p>
    <w:p w:rsidR="0005656A" w:rsidRPr="008D61CE" w:rsidRDefault="0005656A" w:rsidP="0005656A">
      <w:pPr>
        <w:pStyle w:val="P68B1DB1-Normal5"/>
        <w:shd w:val="clear" w:color="auto" w:fill="FFFFFF"/>
        <w:spacing w:after="0" w:afterAutospacing="1"/>
        <w:ind w:right="-852"/>
        <w:rPr>
          <w:sz w:val="22"/>
        </w:rPr>
      </w:pPr>
      <w:hyperlink r:id="rId77" w:history="1">
        <w:r w:rsidRPr="008D61CE">
          <w:rPr>
            <w:sz w:val="22"/>
          </w:rPr>
          <w:t>QA00295 — Publicación de documentos del Comité de seguimiento</w:t>
        </w:r>
      </w:hyperlink>
    </w:p>
    <w:p w:rsidR="0005656A" w:rsidRPr="008D61CE" w:rsidRDefault="0005656A" w:rsidP="0005656A">
      <w:pPr>
        <w:pStyle w:val="P68B1DB1-Normal3"/>
        <w:shd w:val="clear" w:color="auto" w:fill="FFFFFF"/>
        <w:spacing w:after="0"/>
        <w:ind w:right="-852"/>
        <w:rPr>
          <w:b/>
          <w:sz w:val="20"/>
        </w:rPr>
      </w:pPr>
      <w:r w:rsidRPr="008D61CE">
        <w:rPr>
          <w:b/>
          <w:sz w:val="20"/>
        </w:rPr>
        <w:t>(2) Evaluación</w:t>
      </w:r>
    </w:p>
    <w:p w:rsidR="0005656A" w:rsidRPr="008D61CE" w:rsidRDefault="0005656A" w:rsidP="0005656A">
      <w:pPr>
        <w:pStyle w:val="P68B1DB1-Normal5"/>
        <w:shd w:val="clear" w:color="auto" w:fill="FFFFFF"/>
        <w:spacing w:after="0" w:afterAutospacing="1"/>
        <w:ind w:right="-852"/>
        <w:rPr>
          <w:sz w:val="22"/>
        </w:rPr>
      </w:pPr>
      <w:hyperlink r:id="rId78" w:history="1">
        <w:r w:rsidRPr="008D61CE">
          <w:rPr>
            <w:sz w:val="22"/>
          </w:rPr>
          <w:t>QA00078 — Evaluaciones por parte del Estado miembro</w:t>
        </w:r>
      </w:hyperlink>
    </w:p>
    <w:p w:rsidR="0005656A" w:rsidRPr="008D61CE" w:rsidRDefault="0005656A" w:rsidP="0005656A">
      <w:pPr>
        <w:pStyle w:val="P68B1DB1-Normal3"/>
        <w:shd w:val="clear" w:color="auto" w:fill="FFFFFF"/>
        <w:spacing w:after="0"/>
        <w:ind w:right="-852"/>
        <w:rPr>
          <w:b/>
          <w:sz w:val="20"/>
        </w:rPr>
      </w:pPr>
      <w:r w:rsidRPr="008D61CE">
        <w:rPr>
          <w:b/>
          <w:sz w:val="20"/>
        </w:rPr>
        <w:t>(3) Visibilidad, transparencia y comunicación</w:t>
      </w:r>
    </w:p>
    <w:p w:rsidR="0005656A" w:rsidRPr="008D61CE" w:rsidRDefault="0005656A" w:rsidP="0005656A">
      <w:pPr>
        <w:pStyle w:val="P68B1DB1-Normal5"/>
        <w:shd w:val="clear" w:color="auto" w:fill="FFFFFF"/>
        <w:spacing w:after="0" w:afterAutospacing="1"/>
        <w:ind w:right="-852"/>
        <w:rPr>
          <w:sz w:val="22"/>
        </w:rPr>
      </w:pPr>
      <w:hyperlink r:id="rId79" w:history="1">
        <w:r w:rsidRPr="008D61CE">
          <w:rPr>
            <w:sz w:val="22"/>
          </w:rPr>
          <w:t>QA00011 — Durabilidad de las vallas publicitarias y las placas</w:t>
        </w:r>
      </w:hyperlink>
    </w:p>
    <w:p w:rsidR="0005656A" w:rsidRPr="008D61CE" w:rsidRDefault="0005656A" w:rsidP="0005656A">
      <w:pPr>
        <w:pStyle w:val="P68B1DB1-Normal5"/>
        <w:shd w:val="clear" w:color="auto" w:fill="FFFFFF"/>
        <w:spacing w:after="0" w:afterAutospacing="1"/>
        <w:ind w:right="-852"/>
        <w:rPr>
          <w:sz w:val="22"/>
        </w:rPr>
      </w:pPr>
      <w:hyperlink r:id="rId80" w:history="1">
        <w:r w:rsidRPr="008D61CE">
          <w:rPr>
            <w:sz w:val="22"/>
          </w:rPr>
          <w:t>QA00015 — Requisitos de publicidad con arreglo al artículo 50, apartado 1, letra c), en el contexto de los instrumentos financieros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81" w:history="1">
        <w:r w:rsidRPr="008D61CE">
          <w:rPr>
            <w:sz w:val="22"/>
          </w:rPr>
          <w:t>A00030 — En caso de apoyo de fondos de la UE de conformidad con el RDC y del MRR (NextGenerationEU), ¿qué declaración de financiación debe utilizarse?</w:t>
        </w:r>
      </w:hyperlink>
    </w:p>
    <w:p w:rsidR="0005656A" w:rsidRPr="008D61CE" w:rsidRDefault="0005656A" w:rsidP="0005656A">
      <w:pPr>
        <w:pStyle w:val="P68B1DB1-Normal5"/>
        <w:shd w:val="clear" w:color="auto" w:fill="FFFFFF"/>
        <w:spacing w:after="0" w:afterAutospacing="1"/>
        <w:ind w:right="-852"/>
        <w:rPr>
          <w:sz w:val="22"/>
        </w:rPr>
      </w:pPr>
      <w:hyperlink r:id="rId82" w:history="1">
        <w:r w:rsidRPr="008D61CE">
          <w:rPr>
            <w:sz w:val="22"/>
          </w:rPr>
          <w:t>QA00119 — Disposiciones sobre visibilidad, transparencia y comunicación y objetivo específico para abordar la privación material en el marco del FSE +</w:t>
        </w:r>
      </w:hyperlink>
    </w:p>
    <w:p w:rsidR="0005656A" w:rsidRPr="008D61CE" w:rsidRDefault="0005656A" w:rsidP="0005656A">
      <w:pPr>
        <w:pStyle w:val="P68B1DB1-Normal5"/>
        <w:shd w:val="clear" w:color="auto" w:fill="FFFFFF"/>
        <w:spacing w:after="0" w:afterAutospacing="1"/>
        <w:ind w:right="-852"/>
        <w:rPr>
          <w:sz w:val="22"/>
        </w:rPr>
      </w:pPr>
      <w:hyperlink r:id="rId83" w:history="1">
        <w:r w:rsidRPr="008D61CE">
          <w:rPr>
            <w:sz w:val="22"/>
          </w:rPr>
          <w:t>QA00136 — Preguntas relacionadas con la lista de operaciones y transmisión de datos</w:t>
        </w:r>
      </w:hyperlink>
    </w:p>
    <w:p w:rsidR="0005656A" w:rsidRPr="008D61CE" w:rsidRDefault="0005656A" w:rsidP="0005656A">
      <w:pPr>
        <w:pStyle w:val="P68B1DB1-Normal5"/>
        <w:shd w:val="clear" w:color="auto" w:fill="FFFFFF"/>
        <w:spacing w:after="0" w:afterAutospacing="1"/>
        <w:ind w:right="-852"/>
        <w:rPr>
          <w:sz w:val="22"/>
        </w:rPr>
      </w:pPr>
      <w:hyperlink r:id="rId84" w:history="1">
        <w:r w:rsidRPr="008D61CE">
          <w:rPr>
            <w:sz w:val="22"/>
          </w:rPr>
          <w:t>QA00160 — Responsabilidades de los beneficiarios</w:t>
        </w:r>
      </w:hyperlink>
    </w:p>
    <w:p w:rsidR="0005656A" w:rsidRPr="008D61CE" w:rsidRDefault="0005656A" w:rsidP="0005656A">
      <w:pPr>
        <w:pStyle w:val="P68B1DB1-Normal5"/>
        <w:shd w:val="clear" w:color="auto" w:fill="FFFFFF"/>
        <w:spacing w:after="0" w:afterAutospacing="1"/>
        <w:ind w:right="-852"/>
        <w:rPr>
          <w:sz w:val="22"/>
        </w:rPr>
      </w:pPr>
      <w:hyperlink r:id="rId85" w:history="1">
        <w:r w:rsidRPr="008D61CE">
          <w:rPr>
            <w:sz w:val="22"/>
          </w:rPr>
          <w:t>QA00172 — Requisitos de visibilidad cuando el beneficiario es una persona física</w:t>
        </w:r>
      </w:hyperlink>
    </w:p>
    <w:p w:rsidR="0005656A" w:rsidRPr="008D61CE" w:rsidRDefault="0005656A" w:rsidP="0005656A">
      <w:pPr>
        <w:pStyle w:val="P68B1DB1-Normal5"/>
        <w:shd w:val="clear" w:color="auto" w:fill="FFFFFF"/>
        <w:spacing w:after="0" w:afterAutospacing="1"/>
        <w:ind w:right="-852"/>
        <w:rPr>
          <w:sz w:val="22"/>
        </w:rPr>
      </w:pPr>
      <w:hyperlink r:id="rId86" w:history="1">
        <w:r w:rsidRPr="008D61CE">
          <w:rPr>
            <w:sz w:val="22"/>
          </w:rPr>
          <w:t>QA00186 — Uso de la asistencia técnica para la visibilidad de los proyectos de importancia estratégica</w:t>
        </w:r>
      </w:hyperlink>
    </w:p>
    <w:p w:rsidR="0005656A" w:rsidRPr="008D61CE" w:rsidRDefault="0005656A" w:rsidP="0005656A">
      <w:pPr>
        <w:pStyle w:val="P68B1DB1-Normal5"/>
        <w:shd w:val="clear" w:color="auto" w:fill="FFFFFF"/>
        <w:spacing w:after="0" w:afterAutospacing="1"/>
        <w:ind w:right="-852"/>
        <w:rPr>
          <w:sz w:val="22"/>
        </w:rPr>
      </w:pPr>
      <w:hyperlink r:id="rId87" w:history="1">
        <w:r w:rsidRPr="008D61CE">
          <w:rPr>
            <w:sz w:val="22"/>
          </w:rPr>
          <w:t>QA00224 — Requisitos de publicidad con arreglo al artículo 50, apartado 1, letra c), del RDC en el contexto de los instrumentos financieros</w:t>
        </w:r>
      </w:hyperlink>
    </w:p>
    <w:p w:rsidR="0005656A" w:rsidRPr="008D61CE" w:rsidRDefault="0005656A" w:rsidP="0005656A">
      <w:pPr>
        <w:pStyle w:val="P68B1DB1-Normal5"/>
        <w:shd w:val="clear" w:color="auto" w:fill="FFFFFF"/>
        <w:spacing w:after="0" w:afterAutospacing="1"/>
        <w:ind w:right="-852"/>
        <w:rPr>
          <w:sz w:val="22"/>
        </w:rPr>
      </w:pPr>
      <w:hyperlink r:id="rId88" w:history="1">
        <w:r w:rsidRPr="008D61CE">
          <w:rPr>
            <w:sz w:val="22"/>
          </w:rPr>
          <w:t>QA00234 — Uso de material de comunicación con antiguo logotipo</w:t>
        </w:r>
      </w:hyperlink>
    </w:p>
    <w:p w:rsidR="0005656A" w:rsidRPr="008D61CE" w:rsidRDefault="0005656A" w:rsidP="0005656A">
      <w:pPr>
        <w:pStyle w:val="P68B1DB1-Normal5"/>
        <w:shd w:val="clear" w:color="auto" w:fill="FFFFFF"/>
        <w:spacing w:after="0" w:afterAutospacing="1"/>
        <w:ind w:right="-852"/>
        <w:rPr>
          <w:sz w:val="22"/>
        </w:rPr>
      </w:pPr>
      <w:hyperlink r:id="rId89" w:history="1">
        <w:r w:rsidRPr="008D61CE">
          <w:rPr>
            <w:sz w:val="22"/>
          </w:rPr>
          <w:t>QA00243 — Localización de las operaciones</w:t>
        </w:r>
      </w:hyperlink>
    </w:p>
    <w:p w:rsidR="0005656A" w:rsidRPr="008D61CE" w:rsidRDefault="0005656A" w:rsidP="0005656A">
      <w:pPr>
        <w:pStyle w:val="P68B1DB1-Normal5"/>
        <w:shd w:val="clear" w:color="auto" w:fill="FFFFFF"/>
        <w:spacing w:after="0" w:afterAutospacing="1"/>
        <w:ind w:right="-852"/>
        <w:rPr>
          <w:sz w:val="22"/>
        </w:rPr>
      </w:pPr>
      <w:hyperlink r:id="rId90" w:history="1">
        <w:r w:rsidRPr="008D61CE">
          <w:rPr>
            <w:sz w:val="22"/>
          </w:rPr>
          <w:t>QA00255 — Publicación por parte de la AG de las entidades seleccionadas en la contratación pública (artículo 49 del RDC)</w:t>
        </w:r>
      </w:hyperlink>
    </w:p>
    <w:p w:rsidR="0005656A" w:rsidRPr="008D61CE" w:rsidRDefault="0005656A" w:rsidP="0005656A">
      <w:pPr>
        <w:pStyle w:val="P68B1DB1-Normal5"/>
        <w:shd w:val="clear" w:color="auto" w:fill="FFFFFF"/>
        <w:spacing w:after="0" w:afterAutospacing="1"/>
        <w:ind w:right="-852"/>
        <w:rPr>
          <w:sz w:val="22"/>
        </w:rPr>
      </w:pPr>
      <w:hyperlink r:id="rId91" w:history="1">
        <w:r w:rsidRPr="008D61CE">
          <w:rPr>
            <w:sz w:val="22"/>
          </w:rPr>
          <w:t>QA00267 — ¿Qué es el material de comunicación?</w:t>
        </w:r>
      </w:hyperlink>
    </w:p>
    <w:p w:rsidR="0005656A" w:rsidRPr="008D61CE" w:rsidRDefault="0005656A" w:rsidP="0005656A">
      <w:pPr>
        <w:pStyle w:val="P68B1DB1-Normal5"/>
        <w:shd w:val="clear" w:color="auto" w:fill="FFFFFF"/>
        <w:spacing w:after="0" w:afterAutospacing="1"/>
        <w:ind w:right="-852"/>
        <w:rPr>
          <w:sz w:val="22"/>
        </w:rPr>
      </w:pPr>
      <w:hyperlink r:id="rId92" w:history="1">
        <w:r w:rsidRPr="008D61CE">
          <w:rPr>
            <w:sz w:val="22"/>
          </w:rPr>
          <w:t>QA00272 — Obligación de hacer público el nombre de los contratistas</w:t>
        </w:r>
      </w:hyperlink>
    </w:p>
    <w:p w:rsidR="0005656A" w:rsidRPr="008D61CE" w:rsidRDefault="0005656A" w:rsidP="0005656A">
      <w:pPr>
        <w:pStyle w:val="P68B1DB1-Normal5"/>
        <w:shd w:val="clear" w:color="auto" w:fill="FFFFFF"/>
        <w:spacing w:after="0" w:afterAutospacing="1"/>
        <w:ind w:right="-852"/>
        <w:rPr>
          <w:sz w:val="22"/>
        </w:rPr>
      </w:pPr>
      <w:hyperlink r:id="rId93" w:history="1">
        <w:r w:rsidRPr="008D61CE">
          <w:rPr>
            <w:sz w:val="22"/>
          </w:rPr>
          <w:t>QA00280 — Responsabilidades de visibilidad del beneficiario en caso de operaciones de asistencia técnica de importancia estratégica</w:t>
        </w:r>
      </w:hyperlink>
    </w:p>
    <w:p w:rsidR="0005656A" w:rsidRPr="008D61CE" w:rsidRDefault="0005656A" w:rsidP="0005656A">
      <w:pPr>
        <w:pStyle w:val="P68B1DB1-Normal5"/>
        <w:shd w:val="clear" w:color="auto" w:fill="FFFFFF"/>
        <w:spacing w:after="0" w:afterAutospacing="1"/>
        <w:ind w:right="-852"/>
        <w:rPr>
          <w:color w:val="050505"/>
          <w:sz w:val="22"/>
        </w:rPr>
      </w:pPr>
      <w:hyperlink r:id="rId94" w:history="1">
        <w:r w:rsidRPr="008D61CE">
          <w:rPr>
            <w:sz w:val="22"/>
          </w:rPr>
          <w:t>QA00304 — Preguntas relacionadas con los objetivos climáticos, el límite máximo del 20 % de los recursos del FEDER y la comunicación</w:t>
        </w:r>
      </w:hyperlink>
    </w:p>
    <w:p w:rsidR="0005656A" w:rsidRPr="008D61CE" w:rsidRDefault="0005656A" w:rsidP="0005656A">
      <w:pPr>
        <w:pStyle w:val="P68B1DB1-Normal3"/>
        <w:shd w:val="clear" w:color="auto" w:fill="FFFFFF"/>
        <w:spacing w:after="0"/>
        <w:ind w:right="-852"/>
        <w:rPr>
          <w:b/>
          <w:sz w:val="20"/>
        </w:rPr>
      </w:pPr>
      <w:r w:rsidRPr="008D61CE">
        <w:rPr>
          <w:b/>
          <w:sz w:val="20"/>
        </w:rPr>
        <w:t>(5) AYUDA FINANCIERA CON CARGO A LOS FONDOS</w:t>
      </w:r>
    </w:p>
    <w:p w:rsidR="0005656A" w:rsidRPr="008D61CE" w:rsidRDefault="0005656A" w:rsidP="0005656A">
      <w:pPr>
        <w:pStyle w:val="P68B1DB1-Normal3"/>
        <w:shd w:val="clear" w:color="auto" w:fill="FFFFFF"/>
        <w:spacing w:after="0"/>
        <w:ind w:right="-852"/>
        <w:rPr>
          <w:b/>
          <w:sz w:val="20"/>
        </w:rPr>
      </w:pPr>
      <w:r w:rsidRPr="008D61CE">
        <w:rPr>
          <w:b/>
          <w:sz w:val="20"/>
        </w:rPr>
        <w:t>(1) Modalidades de contribución de la Unión</w:t>
      </w:r>
    </w:p>
    <w:p w:rsidR="0005656A" w:rsidRPr="008D61CE" w:rsidRDefault="0005656A" w:rsidP="0005656A">
      <w:pPr>
        <w:pStyle w:val="P68B1DB1-Normal5"/>
        <w:shd w:val="clear" w:color="auto" w:fill="FFFFFF"/>
        <w:spacing w:after="0" w:afterAutospacing="1"/>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b/>
          <w:sz w:val="20"/>
        </w:rPr>
      </w:pPr>
    </w:p>
    <w:p w:rsidR="0005656A" w:rsidRPr="008D61CE" w:rsidRDefault="0005656A" w:rsidP="0005656A">
      <w:pPr>
        <w:pStyle w:val="P68B1DB1-Normal3"/>
        <w:shd w:val="clear" w:color="auto" w:fill="FFFFFF"/>
        <w:spacing w:after="0"/>
        <w:ind w:right="-852"/>
        <w:rPr>
          <w:b/>
          <w:sz w:val="20"/>
        </w:rPr>
      </w:pPr>
      <w:r w:rsidRPr="008D61CE">
        <w:rPr>
          <w:b/>
          <w:sz w:val="20"/>
        </w:rPr>
        <w:t>(2) Modalidades de ayuda por parte de los Estados miembros</w:t>
      </w:r>
    </w:p>
    <w:p w:rsidR="0005656A" w:rsidRPr="008D61CE" w:rsidRDefault="0005656A" w:rsidP="0005656A">
      <w:pPr>
        <w:pStyle w:val="P68B1DB1-Normal5"/>
        <w:shd w:val="clear" w:color="auto" w:fill="FFFFFF"/>
        <w:spacing w:after="0" w:afterAutospacing="1"/>
        <w:ind w:right="-852"/>
        <w:rPr>
          <w:sz w:val="22"/>
        </w:rPr>
      </w:pPr>
      <w:hyperlink r:id="rId95" w:history="1">
        <w:r w:rsidRPr="008D61CE">
          <w:rPr>
            <w:sz w:val="22"/>
          </w:rPr>
          <w:t>QA00037 — Financiación a tanto alzado de los costes indirectos relativos a las subvenciones</w:t>
        </w:r>
      </w:hyperlink>
    </w:p>
    <w:p w:rsidR="0005656A" w:rsidRPr="008D61CE" w:rsidRDefault="0005656A" w:rsidP="0005656A">
      <w:pPr>
        <w:pStyle w:val="P68B1DB1-Normal5"/>
        <w:shd w:val="clear" w:color="auto" w:fill="FFFFFF"/>
        <w:spacing w:after="0" w:afterAutospacing="1"/>
        <w:ind w:right="-852"/>
        <w:rPr>
          <w:sz w:val="22"/>
        </w:rPr>
      </w:pPr>
      <w:hyperlink r:id="rId96" w:history="1">
        <w:r w:rsidRPr="008D61CE">
          <w:rPr>
            <w:sz w:val="22"/>
          </w:rPr>
          <w:t>QA00042 — Tipo a tanto alzado para los costes directos e indirectos</w:t>
        </w:r>
      </w:hyperlink>
    </w:p>
    <w:p w:rsidR="0005656A" w:rsidRPr="008D61CE" w:rsidRDefault="0005656A" w:rsidP="0005656A">
      <w:pPr>
        <w:pStyle w:val="P68B1DB1-Normal5"/>
        <w:shd w:val="clear" w:color="auto" w:fill="FFFFFF"/>
        <w:spacing w:after="0" w:afterAutospacing="1"/>
        <w:ind w:right="-852"/>
        <w:rPr>
          <w:sz w:val="22"/>
        </w:rPr>
      </w:pPr>
      <w:hyperlink r:id="rId97" w:history="1">
        <w:r w:rsidRPr="008D61CE">
          <w:rPr>
            <w:sz w:val="22"/>
          </w:rPr>
          <w:t>QA00053 — Dietas pagadas en efectivo</w:t>
        </w:r>
      </w:hyperlink>
    </w:p>
    <w:p w:rsidR="0005656A" w:rsidRPr="008D61CE" w:rsidRDefault="0005656A" w:rsidP="0005656A">
      <w:pPr>
        <w:pStyle w:val="P68B1DB1-Normal5"/>
        <w:shd w:val="clear" w:color="auto" w:fill="FFFFFF"/>
        <w:spacing w:after="0" w:afterAutospacing="1"/>
        <w:ind w:right="-852"/>
        <w:rPr>
          <w:sz w:val="22"/>
        </w:rPr>
      </w:pPr>
      <w:hyperlink r:id="rId98" w:history="1">
        <w:r w:rsidRPr="008D61CE">
          <w:rPr>
            <w:sz w:val="22"/>
          </w:rPr>
          <w:t>QA00060 — Posibilidad de adquirir proyectos</w:t>
        </w:r>
      </w:hyperlink>
    </w:p>
    <w:p w:rsidR="0005656A" w:rsidRPr="008D61CE" w:rsidRDefault="0005656A" w:rsidP="0005656A">
      <w:pPr>
        <w:pStyle w:val="P68B1DB1-Normal5"/>
        <w:shd w:val="clear" w:color="auto" w:fill="FFFFFF"/>
        <w:spacing w:after="0" w:afterAutospacing="1"/>
        <w:ind w:right="-852"/>
        <w:rPr>
          <w:sz w:val="22"/>
        </w:rPr>
      </w:pPr>
      <w:hyperlink r:id="rId99" w:history="1">
        <w:r w:rsidRPr="008D61CE">
          <w:rPr>
            <w:sz w:val="22"/>
          </w:rPr>
          <w:t>QA00062 — Combinación de la ayuda de los instrumentos financieros en régimen de gestión compartida con el apoyo del MRR a nivel de los destinatarios finales</w:t>
        </w:r>
      </w:hyperlink>
    </w:p>
    <w:p w:rsidR="0005656A" w:rsidRPr="008D61CE" w:rsidRDefault="0005656A" w:rsidP="0005656A">
      <w:pPr>
        <w:pStyle w:val="P68B1DB1-Normal5"/>
        <w:shd w:val="clear" w:color="auto" w:fill="FFFFFF"/>
        <w:spacing w:after="0" w:afterAutospacing="1"/>
        <w:ind w:right="-852"/>
        <w:rPr>
          <w:sz w:val="22"/>
        </w:rPr>
      </w:pPr>
      <w:hyperlink r:id="rId100" w:history="1">
        <w:r w:rsidRPr="008D61CE">
          <w:rPr>
            <w:sz w:val="22"/>
          </w:rPr>
          <w:t>QA00065 — Gastos directos de personal relativos a las subvenciones</w:t>
        </w:r>
      </w:hyperlink>
    </w:p>
    <w:p w:rsidR="0005656A" w:rsidRPr="008D61CE" w:rsidRDefault="0005656A" w:rsidP="0005656A">
      <w:pPr>
        <w:pStyle w:val="P68B1DB1-Normal5"/>
        <w:shd w:val="clear" w:color="auto" w:fill="FFFFFF"/>
        <w:spacing w:after="0" w:afterAutospacing="1"/>
        <w:ind w:right="-852"/>
        <w:rPr>
          <w:sz w:val="22"/>
        </w:rPr>
      </w:pPr>
      <w:hyperlink r:id="rId101" w:history="1">
        <w:r w:rsidRPr="008D61CE">
          <w:rPr>
            <w:sz w:val="22"/>
          </w:rPr>
          <w:t>QA00092 — 2.a pregunta — Documento A sobre opciones de costes simplificados (OCS) en el período de programación 2021-2027</w:t>
        </w:r>
      </w:hyperlink>
    </w:p>
    <w:p w:rsidR="0005656A" w:rsidRPr="008D61CE" w:rsidRDefault="0005656A" w:rsidP="0005656A">
      <w:pPr>
        <w:pStyle w:val="P68B1DB1-Normal5"/>
        <w:shd w:val="clear" w:color="auto" w:fill="FFFFFF"/>
        <w:spacing w:after="0" w:afterAutospacing="1"/>
        <w:ind w:right="-852"/>
        <w:rPr>
          <w:sz w:val="22"/>
        </w:rPr>
      </w:pPr>
      <w:hyperlink r:id="rId102" w:history="1">
        <w:r w:rsidRPr="008D61CE">
          <w:rPr>
            <w:sz w:val="22"/>
          </w:rPr>
          <w:t>QA00106 — Solicitud de aclaración sobre la aplicación de instrumentos financieros</w:t>
        </w:r>
      </w:hyperlink>
    </w:p>
    <w:p w:rsidR="0005656A" w:rsidRPr="008D61CE" w:rsidRDefault="0005656A" w:rsidP="0005656A">
      <w:pPr>
        <w:pStyle w:val="P68B1DB1-Normal5"/>
        <w:shd w:val="clear" w:color="auto" w:fill="FFFFFF"/>
        <w:spacing w:after="0" w:afterAutospacing="1"/>
        <w:ind w:right="-852"/>
        <w:rPr>
          <w:sz w:val="22"/>
        </w:rPr>
      </w:pPr>
      <w:hyperlink r:id="rId103" w:history="1">
        <w:r w:rsidRPr="008D61CE">
          <w:rPr>
            <w:sz w:val="22"/>
          </w:rPr>
          <w:t>QA00108 — Cálculo del equivalente de subvención bruta para IF con descuento de capital</w:t>
        </w:r>
      </w:hyperlink>
    </w:p>
    <w:p w:rsidR="0005656A" w:rsidRPr="008D61CE" w:rsidRDefault="0005656A" w:rsidP="0005656A">
      <w:pPr>
        <w:pStyle w:val="P68B1DB1-Normal5"/>
        <w:shd w:val="clear" w:color="auto" w:fill="FFFFFF"/>
        <w:spacing w:after="0" w:afterAutospacing="1"/>
        <w:ind w:right="-852"/>
        <w:rPr>
          <w:sz w:val="22"/>
        </w:rPr>
      </w:pPr>
      <w:hyperlink r:id="rId104" w:history="1">
        <w:r w:rsidRPr="008D61CE">
          <w:rPr>
            <w:sz w:val="22"/>
          </w:rPr>
          <w:t>QA00150 — Gastos directos de personal relativos a las subvenciones</w:t>
        </w:r>
      </w:hyperlink>
    </w:p>
    <w:p w:rsidR="0005656A" w:rsidRPr="008D61CE" w:rsidRDefault="0005656A" w:rsidP="0005656A">
      <w:pPr>
        <w:pStyle w:val="P68B1DB1-Normal5"/>
        <w:shd w:val="clear" w:color="auto" w:fill="FFFFFF"/>
        <w:spacing w:after="0" w:afterAutospacing="1"/>
        <w:ind w:right="-852"/>
        <w:rPr>
          <w:sz w:val="22"/>
        </w:rPr>
      </w:pPr>
      <w:hyperlink r:id="rId105" w:history="1">
        <w:r w:rsidRPr="008D61CE">
          <w:rPr>
            <w:sz w:val="22"/>
          </w:rPr>
          <w:t>QA00158 — Utilización de los instrumentos financieros en el marco del FEMPA</w:t>
        </w:r>
      </w:hyperlink>
    </w:p>
    <w:p w:rsidR="0005656A" w:rsidRPr="008D61CE" w:rsidRDefault="0005656A" w:rsidP="0005656A">
      <w:pPr>
        <w:pStyle w:val="P68B1DB1-Normal5"/>
        <w:shd w:val="clear" w:color="auto" w:fill="FFFFFF"/>
        <w:spacing w:after="0" w:afterAutospacing="1"/>
        <w:ind w:right="-852"/>
        <w:rPr>
          <w:sz w:val="22"/>
        </w:rPr>
      </w:pPr>
      <w:hyperlink r:id="rId106" w:history="1">
        <w:r w:rsidRPr="008D61CE">
          <w:rPr>
            <w:sz w:val="22"/>
          </w:rPr>
          <w:t>QA00162 — Un instrumento financiero único que recibe contribución de diferentes Fondos</w:t>
        </w:r>
      </w:hyperlink>
    </w:p>
    <w:p w:rsidR="0005656A" w:rsidRPr="008D61CE" w:rsidRDefault="0005656A" w:rsidP="0005656A">
      <w:pPr>
        <w:pStyle w:val="P68B1DB1-Normal5"/>
        <w:shd w:val="clear" w:color="auto" w:fill="FFFFFF"/>
        <w:spacing w:after="0" w:afterAutospacing="1"/>
        <w:ind w:right="-852"/>
        <w:rPr>
          <w:sz w:val="22"/>
        </w:rPr>
      </w:pPr>
      <w:hyperlink r:id="rId107" w:history="1">
        <w:r w:rsidRPr="008D61CE">
          <w:rPr>
            <w:sz w:val="22"/>
          </w:rPr>
          <w:t>QA00164 — Combinación de instrumentos financieros y bonificaciones de intereses y cálculo de los costes y comisiones de gestión</w:t>
        </w:r>
      </w:hyperlink>
    </w:p>
    <w:p w:rsidR="0005656A" w:rsidRPr="008D61CE" w:rsidRDefault="0005656A" w:rsidP="0005656A">
      <w:pPr>
        <w:pStyle w:val="P68B1DB1-Normal5"/>
        <w:shd w:val="clear" w:color="auto" w:fill="FFFFFF"/>
        <w:spacing w:after="0" w:afterAutospacing="1"/>
        <w:ind w:right="-852"/>
        <w:rPr>
          <w:sz w:val="22"/>
        </w:rPr>
      </w:pPr>
      <w:hyperlink r:id="rId108" w:history="1">
        <w:r w:rsidRPr="008D61CE">
          <w:rPr>
            <w:sz w:val="22"/>
          </w:rPr>
          <w:t>QA00170 — Participación voluntaria en el FSE + en combinación con OCS</w:t>
        </w:r>
      </w:hyperlink>
    </w:p>
    <w:p w:rsidR="0005656A" w:rsidRPr="008D61CE" w:rsidRDefault="0005656A" w:rsidP="0005656A">
      <w:pPr>
        <w:pStyle w:val="P68B1DB1-Normal5"/>
        <w:shd w:val="clear" w:color="auto" w:fill="FFFFFF"/>
        <w:spacing w:after="0" w:afterAutospacing="1"/>
        <w:ind w:right="-852"/>
        <w:rPr>
          <w:sz w:val="22"/>
        </w:rPr>
      </w:pPr>
      <w:hyperlink r:id="rId109" w:history="1">
        <w:r w:rsidRPr="008D61CE">
          <w:rPr>
            <w:sz w:val="22"/>
          </w:rPr>
          <w:t>QA00184 — Uso obligatorio de las OCS — desarrollo urbano sostenible</w:t>
        </w:r>
      </w:hyperlink>
    </w:p>
    <w:p w:rsidR="0005656A" w:rsidRPr="008D61CE" w:rsidRDefault="0005656A" w:rsidP="0005656A">
      <w:pPr>
        <w:pStyle w:val="P68B1DB1-Normal5"/>
        <w:shd w:val="clear" w:color="auto" w:fill="FFFFFF"/>
        <w:spacing w:after="0" w:afterAutospacing="1"/>
        <w:ind w:right="-852"/>
        <w:rPr>
          <w:sz w:val="22"/>
        </w:rPr>
      </w:pPr>
      <w:hyperlink r:id="rId110" w:history="1">
        <w:r w:rsidRPr="008D61CE">
          <w:rPr>
            <w:sz w:val="22"/>
          </w:rPr>
          <w:t>QA00200 — OCS — campos de datos 23 y 24 del anexo XVII y cumplimiento de la duración máxima del tiempo de trabajo en caso de costes unitarios</w:t>
        </w:r>
      </w:hyperlink>
    </w:p>
    <w:p w:rsidR="0005656A" w:rsidRPr="008D61CE" w:rsidRDefault="0005656A" w:rsidP="0005656A">
      <w:pPr>
        <w:pStyle w:val="P68B1DB1-Normal5"/>
        <w:shd w:val="clear" w:color="auto" w:fill="FFFFFF"/>
        <w:spacing w:after="0" w:afterAutospacing="1"/>
        <w:ind w:right="-852"/>
        <w:rPr>
          <w:sz w:val="22"/>
        </w:rPr>
      </w:pPr>
      <w:hyperlink r:id="rId111" w:history="1">
        <w:r w:rsidRPr="008D61CE">
          <w:rPr>
            <w:sz w:val="22"/>
          </w:rPr>
          <w:t>QA00201 — Utilización de instrumentos financieros para la cofinanciación de proyectos en 2021-2027 y la defensa contra el cambio climático</w:t>
        </w:r>
      </w:hyperlink>
    </w:p>
    <w:p w:rsidR="0005656A" w:rsidRPr="008D61CE" w:rsidRDefault="0005656A" w:rsidP="0005656A">
      <w:pPr>
        <w:pStyle w:val="P68B1DB1-Normal5"/>
        <w:shd w:val="clear" w:color="auto" w:fill="FFFFFF"/>
        <w:spacing w:after="0" w:afterAutospacing="1"/>
        <w:ind w:right="-852"/>
        <w:rPr>
          <w:sz w:val="22"/>
        </w:rPr>
      </w:pPr>
      <w:hyperlink r:id="rId112" w:history="1">
        <w:r w:rsidRPr="008D61CE">
          <w:rPr>
            <w:sz w:val="22"/>
          </w:rPr>
          <w:t>QA00205 — Plazo del FTJ NGEU y consecuencias para los instrumentos financieros</w:t>
        </w:r>
      </w:hyperlink>
    </w:p>
    <w:p w:rsidR="0005656A" w:rsidRPr="008D61CE" w:rsidRDefault="0005656A" w:rsidP="0005656A">
      <w:pPr>
        <w:pStyle w:val="P68B1DB1-Normal5"/>
        <w:shd w:val="clear" w:color="auto" w:fill="FFFFFF"/>
        <w:spacing w:after="0" w:afterAutospacing="1"/>
        <w:ind w:right="-852"/>
        <w:rPr>
          <w:sz w:val="22"/>
        </w:rPr>
      </w:pPr>
      <w:hyperlink r:id="rId113" w:history="1">
        <w:r w:rsidRPr="008D61CE">
          <w:rPr>
            <w:sz w:val="22"/>
          </w:rPr>
          <w:t>QA00214 — Financiación a tanto alzado de los costes indirectos</w:t>
        </w:r>
      </w:hyperlink>
    </w:p>
    <w:p w:rsidR="0005656A" w:rsidRPr="008D61CE" w:rsidRDefault="0005656A" w:rsidP="0005656A">
      <w:pPr>
        <w:pStyle w:val="P68B1DB1-Normal5"/>
        <w:shd w:val="clear" w:color="auto" w:fill="FFFFFF"/>
        <w:spacing w:after="0" w:afterAutospacing="1"/>
        <w:ind w:right="-852"/>
        <w:rPr>
          <w:sz w:val="22"/>
        </w:rPr>
      </w:pPr>
      <w:hyperlink r:id="rId114" w:history="1">
        <w:r w:rsidRPr="008D61CE">
          <w:rPr>
            <w:sz w:val="22"/>
          </w:rPr>
          <w:t>QA00216 — Subvenciones en condiciones y requisitos de durabilidad</w:t>
        </w:r>
      </w:hyperlink>
    </w:p>
    <w:p w:rsidR="0005656A" w:rsidRPr="008D61CE" w:rsidRDefault="0005656A" w:rsidP="0005656A">
      <w:pPr>
        <w:pStyle w:val="P68B1DB1-Normal5"/>
        <w:shd w:val="clear" w:color="auto" w:fill="FFFFFF"/>
        <w:spacing w:after="0" w:afterAutospacing="1"/>
        <w:ind w:right="-852"/>
        <w:rPr>
          <w:sz w:val="22"/>
        </w:rPr>
      </w:pPr>
      <w:hyperlink r:id="rId115" w:history="1">
        <w:r w:rsidRPr="008D61CE">
          <w:rPr>
            <w:sz w:val="22"/>
          </w:rPr>
          <w:t>QA00228 — Cálculo del efecto de apalancamiento estimado de los instrumentos financieros combinados con subvenciones</w:t>
        </w:r>
      </w:hyperlink>
    </w:p>
    <w:p w:rsidR="0005656A" w:rsidRPr="008D61CE" w:rsidRDefault="0005656A" w:rsidP="0005656A">
      <w:pPr>
        <w:pStyle w:val="P68B1DB1-Normal5"/>
        <w:shd w:val="clear" w:color="auto" w:fill="FFFFFF"/>
        <w:spacing w:after="0" w:afterAutospacing="1"/>
        <w:ind w:right="-852"/>
        <w:rPr>
          <w:sz w:val="22"/>
        </w:rPr>
      </w:pPr>
      <w:hyperlink r:id="rId116" w:history="1">
        <w:r w:rsidRPr="008D61CE">
          <w:rPr>
            <w:sz w:val="22"/>
          </w:rPr>
          <w:t>QA00230 — Seguimiento de la financiación cruzada cuando se utiliza el tipo fijo para los costes indirectos</w:t>
        </w:r>
      </w:hyperlink>
    </w:p>
    <w:p w:rsidR="0005656A" w:rsidRPr="008D61CE" w:rsidRDefault="0005656A" w:rsidP="0005656A">
      <w:pPr>
        <w:pStyle w:val="P68B1DB1-Normal5"/>
        <w:shd w:val="clear" w:color="auto" w:fill="FFFFFF"/>
        <w:spacing w:after="0" w:afterAutospacing="1"/>
        <w:ind w:right="-852"/>
        <w:rPr>
          <w:sz w:val="22"/>
        </w:rPr>
      </w:pPr>
      <w:hyperlink r:id="rId117" w:history="1">
        <w:r w:rsidRPr="008D61CE">
          <w:rPr>
            <w:sz w:val="22"/>
          </w:rPr>
          <w:t>QA00235 — Contratos de contragarantía</w:t>
        </w:r>
      </w:hyperlink>
    </w:p>
    <w:p w:rsidR="0005656A" w:rsidRPr="008D61CE" w:rsidRDefault="0005656A" w:rsidP="0005656A">
      <w:pPr>
        <w:pStyle w:val="P68B1DB1-Normal5"/>
        <w:shd w:val="clear" w:color="auto" w:fill="FFFFFF"/>
        <w:spacing w:after="0" w:afterAutospacing="1"/>
        <w:ind w:right="-852"/>
        <w:rPr>
          <w:sz w:val="22"/>
        </w:rPr>
      </w:pPr>
      <w:hyperlink r:id="rId118" w:history="1">
        <w:r w:rsidRPr="008D61CE">
          <w:rPr>
            <w:sz w:val="22"/>
          </w:rPr>
          <w:t>QA00242 — Utilización de un tipo fijo del Reglamento general de exención por categorías</w:t>
        </w:r>
      </w:hyperlink>
    </w:p>
    <w:p w:rsidR="0005656A" w:rsidRPr="008D61CE" w:rsidRDefault="0005656A" w:rsidP="0005656A">
      <w:pPr>
        <w:pStyle w:val="P68B1DB1-Normal5"/>
        <w:shd w:val="clear" w:color="auto" w:fill="FFFFFF"/>
        <w:spacing w:after="0" w:afterAutospacing="1"/>
        <w:ind w:right="-852"/>
        <w:rPr>
          <w:sz w:val="22"/>
        </w:rPr>
      </w:pPr>
      <w:hyperlink r:id="rId119" w:history="1">
        <w:r w:rsidRPr="008D61CE">
          <w:rPr>
            <w:sz w:val="22"/>
          </w:rPr>
          <w:t>QA00246 — Pregunta relativa a la financiación a tanto alzado a nivel de los beneficiarios</w:t>
        </w:r>
      </w:hyperlink>
    </w:p>
    <w:p w:rsidR="0005656A" w:rsidRPr="008D61CE" w:rsidRDefault="0005656A" w:rsidP="0005656A">
      <w:pPr>
        <w:pStyle w:val="P68B1DB1-Normal5"/>
        <w:shd w:val="clear" w:color="auto" w:fill="FFFFFF"/>
        <w:spacing w:after="0" w:afterAutospacing="1"/>
        <w:ind w:right="-852"/>
        <w:rPr>
          <w:sz w:val="22"/>
        </w:rPr>
      </w:pPr>
      <w:hyperlink r:id="rId120" w:history="1">
        <w:r w:rsidRPr="008D61CE">
          <w:rPr>
            <w:sz w:val="22"/>
          </w:rPr>
          <w:t>QA00252 — Preguntas relativas a los anexos XXIII y XXIV del RDC</w:t>
        </w:r>
      </w:hyperlink>
    </w:p>
    <w:p w:rsidR="0005656A" w:rsidRPr="008D61CE" w:rsidRDefault="0005656A" w:rsidP="0005656A">
      <w:pPr>
        <w:pStyle w:val="P68B1DB1-Normal5"/>
        <w:shd w:val="clear" w:color="auto" w:fill="FFFFFF"/>
        <w:spacing w:after="0" w:afterAutospacing="1"/>
        <w:ind w:right="-852"/>
        <w:rPr>
          <w:sz w:val="22"/>
        </w:rPr>
      </w:pPr>
      <w:hyperlink r:id="rId121" w:history="1">
        <w:r w:rsidRPr="008D61CE">
          <w:rPr>
            <w:sz w:val="22"/>
          </w:rPr>
          <w:t>QA00260 — Continuación de la ejecución de los instrumentos financieros a lo largo de dos períodos de programación consecutivos — contribución de los recursos del programa 2021-2027 al fondo de cartera existente</w:t>
        </w:r>
      </w:hyperlink>
    </w:p>
    <w:p w:rsidR="0005656A" w:rsidRPr="008D61CE" w:rsidRDefault="0005656A" w:rsidP="0005656A">
      <w:pPr>
        <w:pStyle w:val="P68B1DB1-Normal5"/>
        <w:shd w:val="clear" w:color="auto" w:fill="FFFFFF"/>
        <w:spacing w:after="0" w:afterAutospacing="1"/>
        <w:ind w:right="-852"/>
        <w:rPr>
          <w:sz w:val="22"/>
        </w:rPr>
      </w:pPr>
      <w:hyperlink r:id="rId122" w:history="1">
        <w:r w:rsidRPr="008D61CE">
          <w:rPr>
            <w:sz w:val="22"/>
          </w:rPr>
          <w:t>QA00265 — Financiación a tanto alzado de los costes indirectos artículos 54 y 94 del RDC</w:t>
        </w:r>
      </w:hyperlink>
    </w:p>
    <w:p w:rsidR="0005656A" w:rsidRPr="008D61CE" w:rsidRDefault="0005656A" w:rsidP="0005656A">
      <w:pPr>
        <w:pStyle w:val="P68B1DB1-Normal5"/>
        <w:shd w:val="clear" w:color="auto" w:fill="FFFFFF"/>
        <w:spacing w:after="0" w:afterAutospacing="1"/>
        <w:ind w:right="-852"/>
        <w:rPr>
          <w:sz w:val="22"/>
        </w:rPr>
      </w:pPr>
      <w:hyperlink r:id="rId123" w:history="1">
        <w:r w:rsidRPr="008D61CE">
          <w:rPr>
            <w:sz w:val="22"/>
          </w:rPr>
          <w:t>QA00269 — Subvencionabilidad de los gastos generales en el marco de los regímenes de ayudas estatales del FSE +</w:t>
        </w:r>
      </w:hyperlink>
    </w:p>
    <w:p w:rsidR="0005656A" w:rsidRPr="008D61CE" w:rsidRDefault="0005656A" w:rsidP="0005656A">
      <w:pPr>
        <w:pStyle w:val="P68B1DB1-Normal5"/>
        <w:shd w:val="clear" w:color="auto" w:fill="FFFFFF"/>
        <w:spacing w:after="0" w:afterAutospacing="1"/>
        <w:ind w:right="-852"/>
        <w:rPr>
          <w:sz w:val="22"/>
        </w:rPr>
      </w:pPr>
      <w:hyperlink r:id="rId124" w:history="1">
        <w:r w:rsidRPr="008D61CE">
          <w:rPr>
            <w:sz w:val="22"/>
          </w:rPr>
          <w:t>QA00270 — Respuesta revisada a la pregunta 1 de la QA00200 sobre OCS — Anexo XVII, campos de datos 23 y 24 (cumplimiento máximo del tiempo de trabajo en caso de costes unitarios)</w:t>
        </w:r>
      </w:hyperlink>
    </w:p>
    <w:p w:rsidR="0005656A" w:rsidRPr="008D61CE" w:rsidRDefault="0005656A" w:rsidP="0005656A">
      <w:pPr>
        <w:pStyle w:val="P68B1DB1-Normal5"/>
        <w:shd w:val="clear" w:color="auto" w:fill="FFFFFF"/>
        <w:spacing w:after="0" w:afterAutospacing="1"/>
        <w:ind w:right="-852"/>
        <w:rPr>
          <w:sz w:val="22"/>
        </w:rPr>
      </w:pPr>
      <w:hyperlink r:id="rId125" w:history="1">
        <w:r w:rsidRPr="008D61CE">
          <w:rPr>
            <w:sz w:val="22"/>
          </w:rPr>
          <w:t>QA00284 — Redistribución de la ayuda mediante un método de OCS</w:t>
        </w:r>
      </w:hyperlink>
    </w:p>
    <w:p w:rsidR="0005656A" w:rsidRPr="008D61CE" w:rsidRDefault="0005656A" w:rsidP="0005656A">
      <w:pPr>
        <w:pStyle w:val="P68B1DB1-Normal5"/>
        <w:shd w:val="clear" w:color="auto" w:fill="FFFFFF"/>
        <w:spacing w:after="0" w:afterAutospacing="1"/>
        <w:ind w:right="-852"/>
        <w:rPr>
          <w:sz w:val="22"/>
        </w:rPr>
      </w:pPr>
      <w:hyperlink r:id="rId126" w:history="1">
        <w:r w:rsidRPr="008D61CE">
          <w:rPr>
            <w:sz w:val="22"/>
          </w:rPr>
          <w:t>QA00293 — Inclusión de vacaciones retribuidas para los costes directos de personal con arreglo al artículo 55, apartado 2, letra b), del RDC</w:t>
        </w:r>
      </w:hyperlink>
    </w:p>
    <w:p w:rsidR="0005656A" w:rsidRPr="008D61CE" w:rsidRDefault="0005656A" w:rsidP="0005656A">
      <w:pPr>
        <w:pStyle w:val="P68B1DB1-Normal5"/>
        <w:shd w:val="clear" w:color="auto" w:fill="FFFFFF"/>
        <w:spacing w:after="0" w:afterAutospacing="1"/>
        <w:ind w:right="-852"/>
        <w:rPr>
          <w:sz w:val="22"/>
        </w:rPr>
      </w:pPr>
      <w:hyperlink r:id="rId127" w:history="1">
        <w:r w:rsidRPr="008D61CE">
          <w:rPr>
            <w:sz w:val="22"/>
          </w:rPr>
          <w:t>QA00298 — Utilización de OCS a la luz del artículo 56, apartado 1, del RDC</w:t>
        </w:r>
      </w:hyperlink>
    </w:p>
    <w:p w:rsidR="0005656A" w:rsidRPr="008D61CE" w:rsidRDefault="0005656A" w:rsidP="0005656A">
      <w:pPr>
        <w:pStyle w:val="P68B1DB1-Normal5"/>
        <w:shd w:val="clear" w:color="auto" w:fill="FFFFFF"/>
        <w:spacing w:after="0" w:afterAutospacing="1"/>
        <w:ind w:right="-852"/>
        <w:rPr>
          <w:sz w:val="22"/>
        </w:rPr>
      </w:pPr>
      <w:hyperlink r:id="rId128" w:history="1">
        <w:r w:rsidRPr="008D61CE">
          <w:rPr>
            <w:sz w:val="22"/>
          </w:rPr>
          <w:t>QA00318 — Contribución en especie en forma de trabajo voluntario con arreglo al artículo 39 de la CTE</w:t>
        </w:r>
      </w:hyperlink>
    </w:p>
    <w:p w:rsidR="0005656A" w:rsidRPr="008D61CE" w:rsidRDefault="0005656A" w:rsidP="0005656A">
      <w:pPr>
        <w:pStyle w:val="P68B1DB1-Normal5"/>
        <w:shd w:val="clear" w:color="auto" w:fill="FFFFFF"/>
        <w:spacing w:after="0" w:afterAutospacing="1"/>
        <w:ind w:right="-852"/>
        <w:rPr>
          <w:color w:val="050505"/>
          <w:sz w:val="22"/>
        </w:rPr>
      </w:pPr>
      <w:hyperlink r:id="rId129" w:history="1">
        <w:r w:rsidRPr="008D61CE">
          <w:rPr>
            <w:sz w:val="22"/>
          </w:rPr>
          <w:t>QA00319 — Costes generales, enfoque de costes simplificados — artículo 25, apartado 3, letra e), del RGEC</w:t>
        </w:r>
      </w:hyperlink>
    </w:p>
    <w:p w:rsidR="0005656A" w:rsidRPr="008D61CE" w:rsidRDefault="0005656A" w:rsidP="0005656A">
      <w:pPr>
        <w:pStyle w:val="P68B1DB1-Normal3"/>
        <w:shd w:val="clear" w:color="auto" w:fill="FFFFFF"/>
        <w:spacing w:after="0"/>
        <w:ind w:right="-852"/>
        <w:rPr>
          <w:b/>
          <w:sz w:val="20"/>
        </w:rPr>
      </w:pPr>
      <w:r w:rsidRPr="008D61CE">
        <w:rPr>
          <w:b/>
          <w:sz w:val="20"/>
        </w:rPr>
        <w:t>(3) Criterios de subvencionabilidad</w:t>
      </w:r>
    </w:p>
    <w:p w:rsidR="0005656A" w:rsidRPr="008D61CE" w:rsidRDefault="0005656A" w:rsidP="0005656A">
      <w:pPr>
        <w:pStyle w:val="P68B1DB1-Normal5"/>
        <w:shd w:val="clear" w:color="auto" w:fill="FFFFFF"/>
        <w:spacing w:after="0" w:afterAutospacing="1"/>
        <w:ind w:right="-852"/>
        <w:rPr>
          <w:sz w:val="22"/>
        </w:rPr>
      </w:pPr>
      <w:hyperlink r:id="rId130" w:history="1">
        <w:r w:rsidRPr="008D61CE">
          <w:rPr>
            <w:sz w:val="22"/>
          </w:rPr>
          <w:t>QA00002 — Admisibilidad del IVA con arreglo a las normas de la política de cohesión en el período de programación 2021-2027</w:t>
        </w:r>
      </w:hyperlink>
    </w:p>
    <w:p w:rsidR="0005656A" w:rsidRPr="008D61CE" w:rsidRDefault="0005656A" w:rsidP="0005656A">
      <w:pPr>
        <w:pStyle w:val="P68B1DB1-Normal5"/>
        <w:shd w:val="clear" w:color="auto" w:fill="FFFFFF"/>
        <w:spacing w:after="0" w:afterAutospacing="1"/>
        <w:ind w:right="-852"/>
        <w:rPr>
          <w:sz w:val="22"/>
        </w:rPr>
      </w:pPr>
      <w:hyperlink r:id="rId131" w:history="1">
        <w:r w:rsidRPr="008D61CE">
          <w:rPr>
            <w:sz w:val="22"/>
          </w:rPr>
          <w:t>QA00003 — Admisibilidad de los costes de amortización</w:t>
        </w:r>
      </w:hyperlink>
    </w:p>
    <w:p w:rsidR="0005656A" w:rsidRPr="008D61CE" w:rsidRDefault="0005656A" w:rsidP="0005656A">
      <w:pPr>
        <w:pStyle w:val="P68B1DB1-Normal5"/>
        <w:shd w:val="clear" w:color="auto" w:fill="FFFFFF"/>
        <w:spacing w:after="0" w:afterAutospacing="1"/>
        <w:ind w:right="-852"/>
        <w:rPr>
          <w:sz w:val="22"/>
        </w:rPr>
      </w:pPr>
      <w:hyperlink r:id="rId132" w:history="1">
        <w:r w:rsidRPr="008D61CE">
          <w:rPr>
            <w:sz w:val="22"/>
          </w:rPr>
          <w:t>QA00009 — En el período 2021-27, la adquisición de terrenos por un importe superior al 10 % del gasto total subvencionable de la operación en cuestión no será subvencionable. ¿Qué significa «terrenos» en este contexto?</w:t>
        </w:r>
      </w:hyperlink>
    </w:p>
    <w:p w:rsidR="0005656A" w:rsidRPr="008D61CE" w:rsidRDefault="0005656A" w:rsidP="0005656A">
      <w:pPr>
        <w:pStyle w:val="P68B1DB1-Normal5"/>
        <w:shd w:val="clear" w:color="auto" w:fill="FFFFFF"/>
        <w:spacing w:after="0" w:afterAutospacing="1"/>
        <w:ind w:right="-852"/>
        <w:rPr>
          <w:sz w:val="22"/>
        </w:rPr>
      </w:pPr>
      <w:hyperlink r:id="rId133" w:history="1">
        <w:r w:rsidRPr="008D61CE">
          <w:rPr>
            <w:sz w:val="22"/>
          </w:rPr>
          <w:t>QA00045 — Fecha de subvencionabilidad de las operaciones y de las acciones colaborativas</w:t>
        </w:r>
      </w:hyperlink>
    </w:p>
    <w:p w:rsidR="0005656A" w:rsidRPr="008D61CE" w:rsidRDefault="0005656A" w:rsidP="0005656A">
      <w:pPr>
        <w:pStyle w:val="P68B1DB1-Normal5"/>
        <w:shd w:val="clear" w:color="auto" w:fill="FFFFFF"/>
        <w:spacing w:after="0" w:afterAutospacing="1"/>
        <w:ind w:right="-852"/>
        <w:rPr>
          <w:sz w:val="22"/>
        </w:rPr>
      </w:pPr>
      <w:hyperlink r:id="rId134" w:history="1">
        <w:r w:rsidRPr="008D61CE">
          <w:rPr>
            <w:sz w:val="22"/>
          </w:rPr>
          <w:t>QA00050 — Campo de datos 137, anexo XVII</w:t>
        </w:r>
      </w:hyperlink>
    </w:p>
    <w:p w:rsidR="0005656A" w:rsidRPr="008D61CE" w:rsidRDefault="0005656A" w:rsidP="0005656A">
      <w:pPr>
        <w:pStyle w:val="P68B1DB1-Normal5"/>
        <w:shd w:val="clear" w:color="auto" w:fill="FFFFFF"/>
        <w:spacing w:after="0" w:afterAutospacing="1"/>
        <w:ind w:right="-852"/>
        <w:rPr>
          <w:sz w:val="22"/>
        </w:rPr>
      </w:pPr>
      <w:hyperlink r:id="rId135" w:history="1">
        <w:r w:rsidRPr="008D61CE">
          <w:rPr>
            <w:sz w:val="22"/>
          </w:rPr>
          <w:t>QA00104- Durabilidad de las operaciones destinadas a adaptar los hogares a las personas necesitadas (por ejemplo, de edad avanzada)</w:t>
        </w:r>
      </w:hyperlink>
    </w:p>
    <w:p w:rsidR="0005656A" w:rsidRPr="008D61CE" w:rsidRDefault="0005656A" w:rsidP="0005656A">
      <w:pPr>
        <w:pStyle w:val="P68B1DB1-Normal5"/>
        <w:shd w:val="clear" w:color="auto" w:fill="FFFFFF"/>
        <w:spacing w:after="0" w:afterAutospacing="1"/>
        <w:ind w:right="-852"/>
        <w:rPr>
          <w:sz w:val="22"/>
        </w:rPr>
      </w:pPr>
      <w:hyperlink r:id="rId136" w:history="1">
        <w:r w:rsidRPr="008D61CE">
          <w:rPr>
            <w:sz w:val="22"/>
          </w:rPr>
          <w:t>QA00112 — Financiación acumulativa de DIGITAL y FEDER (EDIH)</w:t>
        </w:r>
      </w:hyperlink>
    </w:p>
    <w:p w:rsidR="0005656A" w:rsidRPr="008D61CE" w:rsidRDefault="0005656A" w:rsidP="0005656A">
      <w:pPr>
        <w:pStyle w:val="P68B1DB1-Normal5"/>
        <w:shd w:val="clear" w:color="auto" w:fill="FFFFFF"/>
        <w:spacing w:after="0" w:afterAutospacing="1"/>
        <w:ind w:right="-852"/>
        <w:rPr>
          <w:sz w:val="22"/>
        </w:rPr>
      </w:pPr>
      <w:hyperlink r:id="rId137" w:history="1">
        <w:r w:rsidRPr="008D61CE">
          <w:rPr>
            <w:sz w:val="22"/>
          </w:rPr>
          <w:t>QA00131 — Apoyo a los instrumentos combinados</w:t>
        </w:r>
      </w:hyperlink>
    </w:p>
    <w:p w:rsidR="0005656A" w:rsidRPr="008D61CE" w:rsidRDefault="0005656A" w:rsidP="0005656A">
      <w:pPr>
        <w:pStyle w:val="P68B1DB1-Normal5"/>
        <w:shd w:val="clear" w:color="auto" w:fill="FFFFFF"/>
        <w:spacing w:after="0" w:afterAutospacing="1"/>
        <w:ind w:right="-852"/>
        <w:rPr>
          <w:sz w:val="22"/>
        </w:rPr>
      </w:pPr>
      <w:hyperlink r:id="rId138" w:history="1">
        <w:r w:rsidRPr="008D61CE">
          <w:rPr>
            <w:sz w:val="22"/>
          </w:rPr>
          <w:t>QA00155 — Verificaciones relativas a la reubicación — RDC y Reglamento CTE 2021-2027</w:t>
        </w:r>
      </w:hyperlink>
    </w:p>
    <w:p w:rsidR="0005656A" w:rsidRPr="008D61CE" w:rsidRDefault="0005656A" w:rsidP="0005656A">
      <w:pPr>
        <w:pStyle w:val="P68B1DB1-Normal5"/>
        <w:shd w:val="clear" w:color="auto" w:fill="FFFFFF"/>
        <w:spacing w:after="0" w:afterAutospacing="1"/>
        <w:ind w:right="-852"/>
        <w:rPr>
          <w:sz w:val="22"/>
        </w:rPr>
      </w:pPr>
      <w:hyperlink r:id="rId139" w:history="1">
        <w:r w:rsidRPr="008D61CE">
          <w:rPr>
            <w:sz w:val="22"/>
          </w:rPr>
          <w:t>QA00165 — Límite de compra de tierras</w:t>
        </w:r>
      </w:hyperlink>
    </w:p>
    <w:p w:rsidR="0005656A" w:rsidRPr="008D61CE" w:rsidRDefault="0005656A" w:rsidP="0005656A">
      <w:pPr>
        <w:pStyle w:val="P68B1DB1-Normal5"/>
        <w:shd w:val="clear" w:color="auto" w:fill="FFFFFF"/>
        <w:spacing w:after="0" w:afterAutospacing="1"/>
        <w:ind w:right="-852"/>
        <w:rPr>
          <w:sz w:val="22"/>
        </w:rPr>
      </w:pPr>
      <w:hyperlink r:id="rId140" w:history="1">
        <w:r w:rsidRPr="008D61CE">
          <w:rPr>
            <w:sz w:val="22"/>
          </w:rPr>
          <w:t>QA00166 — Admisibilidad y tratamiento de los costes generados por los tipos de interés negativos en el marco de Interreg 2021-2027</w:t>
        </w:r>
      </w:hyperlink>
    </w:p>
    <w:p w:rsidR="0005656A" w:rsidRPr="008D61CE" w:rsidRDefault="0005656A" w:rsidP="0005656A">
      <w:pPr>
        <w:pStyle w:val="P68B1DB1-Normal5"/>
        <w:shd w:val="clear" w:color="auto" w:fill="FFFFFF"/>
        <w:spacing w:after="0" w:afterAutospacing="1"/>
        <w:ind w:right="-852"/>
        <w:rPr>
          <w:sz w:val="22"/>
        </w:rPr>
      </w:pPr>
      <w:hyperlink r:id="rId141" w:history="1">
        <w:r w:rsidRPr="008D61CE">
          <w:rPr>
            <w:sz w:val="22"/>
          </w:rPr>
          <w:t>QA00168 — Relocalización en el contexto del RGEC</w:t>
        </w:r>
      </w:hyperlink>
    </w:p>
    <w:p w:rsidR="0005656A" w:rsidRPr="008D61CE" w:rsidRDefault="0005656A" w:rsidP="0005656A">
      <w:pPr>
        <w:pStyle w:val="P68B1DB1-Normal5"/>
        <w:shd w:val="clear" w:color="auto" w:fill="FFFFFF"/>
        <w:spacing w:after="0" w:afterAutospacing="1"/>
        <w:ind w:right="-852"/>
        <w:rPr>
          <w:sz w:val="22"/>
        </w:rPr>
      </w:pPr>
      <w:hyperlink r:id="rId142" w:history="1">
        <w:r w:rsidRPr="008D61CE">
          <w:rPr>
            <w:sz w:val="22"/>
          </w:rPr>
          <w:t>QA00176 — Admisibilidad del IVA y costes totales del proyecto</w:t>
        </w:r>
      </w:hyperlink>
    </w:p>
    <w:p w:rsidR="0005656A" w:rsidRPr="008D61CE" w:rsidRDefault="0005656A" w:rsidP="0005656A">
      <w:pPr>
        <w:pStyle w:val="P68B1DB1-Normal5"/>
        <w:shd w:val="clear" w:color="auto" w:fill="FFFFFF"/>
        <w:spacing w:after="0" w:afterAutospacing="1"/>
        <w:ind w:right="-852"/>
        <w:rPr>
          <w:sz w:val="22"/>
        </w:rPr>
      </w:pPr>
      <w:hyperlink r:id="rId143" w:history="1">
        <w:r w:rsidRPr="008D61CE">
          <w:rPr>
            <w:sz w:val="22"/>
          </w:rPr>
          <w:t>QA00180 — Durabilidad y transferencia fuera de la región NUTS2</w:t>
        </w:r>
      </w:hyperlink>
    </w:p>
    <w:p w:rsidR="0005656A" w:rsidRPr="008D61CE" w:rsidRDefault="0005656A" w:rsidP="0005656A">
      <w:pPr>
        <w:pStyle w:val="P68B1DB1-Normal5"/>
        <w:shd w:val="clear" w:color="auto" w:fill="FFFFFF"/>
        <w:spacing w:after="0" w:afterAutospacing="1"/>
        <w:ind w:right="-852"/>
        <w:rPr>
          <w:sz w:val="22"/>
        </w:rPr>
      </w:pPr>
      <w:hyperlink r:id="rId144" w:history="1">
        <w:r w:rsidRPr="008D61CE">
          <w:rPr>
            <w:sz w:val="22"/>
          </w:rPr>
          <w:t>QA00183 — Adquisición de terrenos — derechos de propiedad</w:t>
        </w:r>
      </w:hyperlink>
    </w:p>
    <w:p w:rsidR="0005656A" w:rsidRPr="008D61CE" w:rsidRDefault="0005656A" w:rsidP="0005656A">
      <w:pPr>
        <w:pStyle w:val="P68B1DB1-Normal5"/>
        <w:shd w:val="clear" w:color="auto" w:fill="FFFFFF"/>
        <w:spacing w:after="0" w:afterAutospacing="1"/>
        <w:ind w:right="-852"/>
        <w:rPr>
          <w:sz w:val="22"/>
        </w:rPr>
      </w:pPr>
      <w:hyperlink r:id="rId145" w:history="1">
        <w:r w:rsidRPr="008D61CE">
          <w:rPr>
            <w:sz w:val="22"/>
          </w:rPr>
          <w:t>QA00206 — Financiación en cascada — seguimiento del QA00132</w:t>
        </w:r>
      </w:hyperlink>
    </w:p>
    <w:p w:rsidR="0005656A" w:rsidRPr="008D61CE" w:rsidRDefault="0005656A" w:rsidP="0005656A">
      <w:pPr>
        <w:pStyle w:val="P68B1DB1-Normal5"/>
        <w:shd w:val="clear" w:color="auto" w:fill="FFFFFF"/>
        <w:spacing w:after="0" w:afterAutospacing="1"/>
        <w:ind w:right="-852"/>
        <w:rPr>
          <w:sz w:val="22"/>
        </w:rPr>
      </w:pPr>
      <w:hyperlink r:id="rId146" w:history="1">
        <w:r w:rsidRPr="008D61CE">
          <w:rPr>
            <w:sz w:val="22"/>
          </w:rPr>
          <w:t>QA00217 — «Conservación del medio ambiente» con arreglo al artículo 64, apartado 1, del RDC</w:t>
        </w:r>
      </w:hyperlink>
    </w:p>
    <w:p w:rsidR="0005656A" w:rsidRPr="008D61CE" w:rsidRDefault="0005656A" w:rsidP="0005656A">
      <w:pPr>
        <w:pStyle w:val="P68B1DB1-Normal5"/>
        <w:shd w:val="clear" w:color="auto" w:fill="FFFFFF"/>
        <w:spacing w:after="0" w:afterAutospacing="1"/>
        <w:ind w:right="-852"/>
        <w:rPr>
          <w:sz w:val="22"/>
        </w:rPr>
      </w:pPr>
      <w:hyperlink r:id="rId147" w:history="1">
        <w:r w:rsidRPr="008D61CE">
          <w:rPr>
            <w:sz w:val="22"/>
          </w:rPr>
          <w:t>QA00227 — Admisibilidad de las operaciones presentadas a las convocatorias publicadas antes de la adopción de los programas 2021-27 y que se completaron en el período comprendido entre la solicitud y la adopción del programa</w:t>
        </w:r>
      </w:hyperlink>
    </w:p>
    <w:p w:rsidR="0005656A" w:rsidRPr="008D61CE" w:rsidRDefault="0005656A" w:rsidP="0005656A">
      <w:pPr>
        <w:pStyle w:val="P68B1DB1-Normal5"/>
        <w:shd w:val="clear" w:color="auto" w:fill="FFFFFF"/>
        <w:spacing w:after="0" w:afterAutospacing="1"/>
        <w:ind w:right="-852"/>
        <w:rPr>
          <w:sz w:val="22"/>
        </w:rPr>
      </w:pPr>
      <w:hyperlink r:id="rId148" w:history="1">
        <w:r w:rsidRPr="008D61CE">
          <w:rPr>
            <w:sz w:val="22"/>
          </w:rPr>
          <w:t>QA00250 — Aplicabilidad de la operación (completada)</w:t>
        </w:r>
      </w:hyperlink>
    </w:p>
    <w:p w:rsidR="0005656A" w:rsidRPr="008D61CE" w:rsidRDefault="0005656A" w:rsidP="0005656A">
      <w:pPr>
        <w:pStyle w:val="P68B1DB1-Normal5"/>
        <w:shd w:val="clear" w:color="auto" w:fill="FFFFFF"/>
        <w:spacing w:after="0" w:afterAutospacing="1"/>
        <w:ind w:right="-852"/>
        <w:rPr>
          <w:sz w:val="22"/>
        </w:rPr>
      </w:pPr>
      <w:hyperlink r:id="rId149" w:history="1">
        <w:r w:rsidRPr="008D61CE">
          <w:rPr>
            <w:sz w:val="22"/>
          </w:rPr>
          <w:t>QA00254 — Facultad de apreciación entre el artículo 64, apartado 1, del RDC 2021-2027 y el artículo 7, apartado 1, del Reglamento (CE) n.º 651/20142023/1315 (RGEC)</w:t>
        </w:r>
      </w:hyperlink>
    </w:p>
    <w:p w:rsidR="0005656A" w:rsidRPr="008D61CE" w:rsidRDefault="0005656A" w:rsidP="0005656A">
      <w:pPr>
        <w:pStyle w:val="P68B1DB1-Normal5"/>
        <w:shd w:val="clear" w:color="auto" w:fill="FFFFFF"/>
        <w:spacing w:after="0" w:afterAutospacing="1"/>
        <w:ind w:right="-852"/>
        <w:rPr>
          <w:sz w:val="22"/>
        </w:rPr>
      </w:pPr>
      <w:hyperlink r:id="rId150" w:history="1">
        <w:r w:rsidRPr="008D61CE">
          <w:rPr>
            <w:sz w:val="22"/>
          </w:rPr>
          <w:t>QA00258 — Contribuciones en especie en forma de terrenos o bienes inmuebles en el contexto de las normas sobre admisibilidad de terrenos</w:t>
        </w:r>
      </w:hyperlink>
    </w:p>
    <w:p w:rsidR="0005656A" w:rsidRPr="008D61CE" w:rsidRDefault="0005656A" w:rsidP="0005656A">
      <w:pPr>
        <w:pStyle w:val="P68B1DB1-Normal5"/>
        <w:shd w:val="clear" w:color="auto" w:fill="FFFFFF"/>
        <w:spacing w:after="0" w:afterAutospacing="1"/>
        <w:ind w:right="-852"/>
        <w:rPr>
          <w:sz w:val="22"/>
        </w:rPr>
      </w:pPr>
      <w:hyperlink r:id="rId151" w:history="1">
        <w:r w:rsidRPr="008D61CE">
          <w:rPr>
            <w:sz w:val="22"/>
          </w:rPr>
          <w:t>QA00261 — Admisibilidad de los costes salariales en el marco del FTJ y de los fondos del RDC para la subvencionabilidad de los costes/RGEC</w:t>
        </w:r>
      </w:hyperlink>
    </w:p>
    <w:p w:rsidR="0005656A" w:rsidRPr="008D61CE" w:rsidRDefault="0005656A" w:rsidP="0005656A">
      <w:pPr>
        <w:pStyle w:val="P68B1DB1-Normal5"/>
        <w:shd w:val="clear" w:color="auto" w:fill="FFFFFF"/>
        <w:spacing w:after="0" w:afterAutospacing="1"/>
        <w:ind w:right="-852"/>
        <w:rPr>
          <w:sz w:val="22"/>
        </w:rPr>
      </w:pPr>
      <w:hyperlink r:id="rId152" w:history="1">
        <w:r w:rsidRPr="008D61CE">
          <w:rPr>
            <w:sz w:val="22"/>
          </w:rPr>
          <w:t>QA00262 — Subvencionabilidad del IVA</w:t>
        </w:r>
      </w:hyperlink>
    </w:p>
    <w:p w:rsidR="0005656A" w:rsidRPr="008D61CE" w:rsidRDefault="0005656A" w:rsidP="0005656A">
      <w:pPr>
        <w:pStyle w:val="P68B1DB1-Normal5"/>
        <w:shd w:val="clear" w:color="auto" w:fill="FFFFFF"/>
        <w:spacing w:after="0" w:afterAutospacing="1"/>
        <w:ind w:right="-852"/>
        <w:rPr>
          <w:sz w:val="22"/>
        </w:rPr>
      </w:pPr>
      <w:hyperlink r:id="rId153" w:history="1">
        <w:r w:rsidRPr="008D61CE">
          <w:rPr>
            <w:sz w:val="22"/>
          </w:rPr>
          <w:t>QA00281 — Período de subvencionabilidad del FEMPA</w:t>
        </w:r>
      </w:hyperlink>
    </w:p>
    <w:p w:rsidR="0005656A" w:rsidRPr="008D61CE" w:rsidRDefault="0005656A" w:rsidP="0005656A">
      <w:pPr>
        <w:pStyle w:val="P68B1DB1-Normal5"/>
        <w:shd w:val="clear" w:color="auto" w:fill="FFFFFF"/>
        <w:spacing w:after="0" w:afterAutospacing="1"/>
        <w:ind w:right="-852"/>
        <w:rPr>
          <w:sz w:val="22"/>
        </w:rPr>
      </w:pPr>
      <w:hyperlink r:id="rId154" w:history="1">
        <w:r w:rsidRPr="008D61CE">
          <w:rPr>
            <w:sz w:val="22"/>
          </w:rPr>
          <w:t>QA00285 — Admisibilidad del IVA en proyectos de más de 5 millones EUR de segundo nivel a la luz del artículo 64, apartado 1, del RDC</w:t>
        </w:r>
      </w:hyperlink>
    </w:p>
    <w:p w:rsidR="0005656A" w:rsidRPr="008D61CE" w:rsidRDefault="0005656A" w:rsidP="0005656A">
      <w:pPr>
        <w:pStyle w:val="P68B1DB1-Normal5"/>
        <w:shd w:val="clear" w:color="auto" w:fill="FFFFFF"/>
        <w:spacing w:after="0" w:afterAutospacing="1"/>
        <w:ind w:right="-852"/>
        <w:rPr>
          <w:sz w:val="22"/>
        </w:rPr>
      </w:pPr>
      <w:hyperlink r:id="rId155" w:history="1">
        <w:r w:rsidRPr="008D61CE">
          <w:rPr>
            <w:sz w:val="22"/>
          </w:rPr>
          <w:t>QA00286 — Aplicabilidad del artículo 22, apartado 1, párrafo segundo, de la CTE en caso de participación en conferencias fuera de la zona del programa</w:t>
        </w:r>
      </w:hyperlink>
    </w:p>
    <w:p w:rsidR="0005656A" w:rsidRPr="008D61CE" w:rsidRDefault="0005656A" w:rsidP="0005656A">
      <w:pPr>
        <w:pStyle w:val="P68B1DB1-Normal5"/>
        <w:shd w:val="clear" w:color="auto" w:fill="FFFFFF"/>
        <w:spacing w:after="0" w:afterAutospacing="1"/>
        <w:ind w:right="-852"/>
        <w:rPr>
          <w:sz w:val="22"/>
        </w:rPr>
      </w:pPr>
      <w:hyperlink r:id="rId156" w:history="1">
        <w:r w:rsidRPr="008D61CE">
          <w:rPr>
            <w:sz w:val="22"/>
          </w:rPr>
          <w:t>QA00288 — Durabilidad del equipo</w:t>
        </w:r>
      </w:hyperlink>
    </w:p>
    <w:p w:rsidR="0005656A" w:rsidRPr="008D61CE" w:rsidRDefault="0005656A" w:rsidP="0005656A">
      <w:pPr>
        <w:pStyle w:val="P68B1DB1-Normal5"/>
        <w:shd w:val="clear" w:color="auto" w:fill="FFFFFF"/>
        <w:spacing w:after="0" w:afterAutospacing="1"/>
        <w:ind w:right="-852"/>
        <w:rPr>
          <w:sz w:val="22"/>
        </w:rPr>
      </w:pPr>
      <w:hyperlink r:id="rId157" w:history="1">
        <w:r w:rsidRPr="008D61CE">
          <w:rPr>
            <w:sz w:val="22"/>
          </w:rPr>
          <w:t>QA00291 — Términos de «actividad productiva», «inversión en infraestructuras e inversiones productivas» — (art. 65 (1) RDC)</w:t>
        </w:r>
      </w:hyperlink>
    </w:p>
    <w:p w:rsidR="0005656A" w:rsidRPr="008D61CE" w:rsidRDefault="0005656A" w:rsidP="0005656A">
      <w:pPr>
        <w:pStyle w:val="P68B1DB1-Normal5"/>
        <w:shd w:val="clear" w:color="auto" w:fill="FFFFFF"/>
        <w:spacing w:after="0" w:afterAutospacing="1"/>
        <w:ind w:right="-852"/>
        <w:rPr>
          <w:sz w:val="22"/>
        </w:rPr>
      </w:pPr>
      <w:hyperlink r:id="rId158" w:history="1">
        <w:r w:rsidRPr="008D61CE">
          <w:rPr>
            <w:sz w:val="22"/>
          </w:rPr>
          <w:t>QA00305 — Preguntas relacionadas con las normas de subvencionabilidad, la fecha de inicio de la subvencionabilidad y los códigos de intervención</w:t>
        </w:r>
      </w:hyperlink>
    </w:p>
    <w:p w:rsidR="0005656A" w:rsidRPr="008D61CE" w:rsidRDefault="0005656A" w:rsidP="0005656A">
      <w:pPr>
        <w:pStyle w:val="P68B1DB1-Normal5"/>
        <w:shd w:val="clear" w:color="auto" w:fill="FFFFFF"/>
        <w:spacing w:after="0" w:afterAutospacing="1"/>
        <w:ind w:right="-852"/>
        <w:rPr>
          <w:sz w:val="22"/>
        </w:rPr>
      </w:pPr>
      <w:hyperlink r:id="rId159" w:history="1">
        <w:r w:rsidRPr="008D61CE">
          <w:rPr>
            <w:sz w:val="22"/>
          </w:rPr>
          <w:t>QA00311 — Financiación acumulativa del FAMI y del FSE + para la creación de centros de integración de extranjeros en Polonia</w:t>
        </w:r>
      </w:hyperlink>
    </w:p>
    <w:p w:rsidR="0005656A" w:rsidRPr="008D61CE" w:rsidRDefault="0005656A" w:rsidP="0005656A">
      <w:pPr>
        <w:pStyle w:val="P68B1DB1-Normal5"/>
        <w:shd w:val="clear" w:color="auto" w:fill="FFFFFF"/>
        <w:spacing w:after="0" w:afterAutospacing="1"/>
        <w:ind w:right="-852"/>
        <w:rPr>
          <w:sz w:val="22"/>
        </w:rPr>
      </w:pPr>
      <w:hyperlink r:id="rId160" w:history="1">
        <w:r w:rsidRPr="008D61CE">
          <w:rPr>
            <w:sz w:val="22"/>
          </w:rPr>
          <w:t>QA00322 — Plazo decisivo para que las operaciones finalizadas físicamente o totalmente ejecutadas no sean subvencionables</w:t>
        </w:r>
      </w:hyperlink>
    </w:p>
    <w:p w:rsidR="0005656A" w:rsidRPr="008D61CE" w:rsidRDefault="0005656A" w:rsidP="0005656A">
      <w:pPr>
        <w:pStyle w:val="P68B1DB1-Normal5"/>
        <w:shd w:val="clear" w:color="auto" w:fill="FFFFFF"/>
        <w:spacing w:after="0" w:afterAutospacing="1"/>
        <w:ind w:right="-852"/>
        <w:rPr>
          <w:sz w:val="22"/>
        </w:rPr>
      </w:pPr>
      <w:hyperlink r:id="rId161" w:history="1">
        <w:r w:rsidRPr="008D61CE">
          <w:rPr>
            <w:sz w:val="22"/>
          </w:rPr>
          <w:t>QA00332 — Infraestructura de la red RTE-T recientemente clasificada</w:t>
        </w:r>
      </w:hyperlink>
    </w:p>
    <w:p w:rsidR="0005656A" w:rsidRPr="008D61CE" w:rsidRDefault="0005656A" w:rsidP="0005656A">
      <w:pPr>
        <w:pStyle w:val="P68B1DB1-Normal3"/>
        <w:shd w:val="clear" w:color="auto" w:fill="FFFFFF"/>
        <w:spacing w:after="0"/>
        <w:ind w:right="-852"/>
        <w:rPr>
          <w:b/>
          <w:sz w:val="20"/>
        </w:rPr>
      </w:pPr>
      <w:r w:rsidRPr="008D61CE">
        <w:rPr>
          <w:b/>
          <w:sz w:val="20"/>
        </w:rPr>
        <w:t>(6) GESTIÓN Y CONTROL</w:t>
      </w:r>
    </w:p>
    <w:p w:rsidR="0005656A" w:rsidRPr="008D61CE" w:rsidRDefault="0005656A" w:rsidP="0005656A">
      <w:pPr>
        <w:pStyle w:val="P68B1DB1-Normal3"/>
        <w:shd w:val="clear" w:color="auto" w:fill="FFFFFF"/>
        <w:spacing w:after="0"/>
        <w:ind w:right="-852"/>
        <w:rPr>
          <w:b/>
          <w:sz w:val="20"/>
        </w:rPr>
      </w:pPr>
      <w:r w:rsidRPr="008D61CE">
        <w:rPr>
          <w:b/>
          <w:sz w:val="20"/>
        </w:rPr>
        <w:t>(1) Normas generales de gestión y control</w:t>
      </w:r>
    </w:p>
    <w:p w:rsidR="0005656A" w:rsidRPr="008D61CE" w:rsidRDefault="0005656A" w:rsidP="0005656A">
      <w:pPr>
        <w:pStyle w:val="P68B1DB1-Normal5"/>
        <w:shd w:val="clear" w:color="auto" w:fill="FFFFFF"/>
        <w:spacing w:after="0" w:afterAutospacing="1"/>
        <w:ind w:right="-852"/>
        <w:rPr>
          <w:sz w:val="22"/>
        </w:rPr>
      </w:pPr>
      <w:hyperlink r:id="rId162" w:history="1">
        <w:r w:rsidRPr="008D61CE">
          <w:rPr>
            <w:sz w:val="22"/>
          </w:rPr>
          <w:t>QA00157 — Importe incobrable inferior a 250 EUR en el período de programación 2021-2027</w:t>
        </w:r>
      </w:hyperlink>
    </w:p>
    <w:p w:rsidR="0005656A" w:rsidRPr="008D61CE" w:rsidRDefault="0005656A" w:rsidP="0005656A">
      <w:pPr>
        <w:pStyle w:val="P68B1DB1-Normal5"/>
        <w:shd w:val="clear" w:color="auto" w:fill="FFFFFF"/>
        <w:spacing w:after="0" w:afterAutospacing="1"/>
        <w:ind w:right="-852"/>
        <w:rPr>
          <w:sz w:val="22"/>
        </w:rPr>
      </w:pPr>
      <w:hyperlink r:id="rId163" w:history="1">
        <w:r w:rsidRPr="008D61CE">
          <w:rPr>
            <w:sz w:val="22"/>
          </w:rPr>
          <w:t>QA00175 — Autoridades del programa/Función de contabilidad de los Estados miembros</w:t>
        </w:r>
      </w:hyperlink>
    </w:p>
    <w:p w:rsidR="0005656A" w:rsidRPr="008D61CE" w:rsidRDefault="0005656A" w:rsidP="0005656A">
      <w:pPr>
        <w:pStyle w:val="P68B1DB1-Normal5"/>
        <w:shd w:val="clear" w:color="auto" w:fill="FFFFFF"/>
        <w:spacing w:after="0" w:afterAutospacing="1"/>
        <w:ind w:right="-852"/>
        <w:rPr>
          <w:sz w:val="22"/>
        </w:rPr>
      </w:pPr>
      <w:hyperlink r:id="rId164" w:history="1">
        <w:r w:rsidRPr="008D61CE">
          <w:rPr>
            <w:sz w:val="22"/>
          </w:rPr>
          <w:t>QA00182 — Recursos que deben indicarse en la descripción del sistema de gestión y control</w:t>
        </w:r>
      </w:hyperlink>
    </w:p>
    <w:p w:rsidR="0005656A" w:rsidRPr="008D61CE" w:rsidRDefault="0005656A" w:rsidP="0005656A">
      <w:pPr>
        <w:pStyle w:val="P68B1DB1-Normal3"/>
        <w:shd w:val="clear" w:color="auto" w:fill="FFFFFF"/>
        <w:spacing w:after="0"/>
        <w:ind w:right="-852"/>
        <w:rPr>
          <w:b/>
          <w:sz w:val="20"/>
        </w:rPr>
      </w:pPr>
      <w:r w:rsidRPr="008D61CE">
        <w:rPr>
          <w:b/>
          <w:sz w:val="20"/>
        </w:rPr>
        <w:t>(2) Sistemas estándar de gestión y control</w:t>
      </w:r>
    </w:p>
    <w:p w:rsidR="0005656A" w:rsidRPr="008D61CE" w:rsidRDefault="0005656A" w:rsidP="0005656A">
      <w:pPr>
        <w:pStyle w:val="P68B1DB1-Normal5"/>
        <w:shd w:val="clear" w:color="auto" w:fill="FFFFFF"/>
        <w:spacing w:after="0" w:afterAutospacing="1"/>
        <w:ind w:right="-852"/>
        <w:rPr>
          <w:sz w:val="22"/>
        </w:rPr>
      </w:pPr>
      <w:hyperlink r:id="rId165" w:history="1">
        <w:r w:rsidRPr="008D61CE">
          <w:rPr>
            <w:sz w:val="22"/>
          </w:rPr>
          <w:t>QA00004 — Apoyo a personas físicas o físicas para la inversión en viviendas vinculadas a la adaptación al cambio climático</w:t>
        </w:r>
      </w:hyperlink>
    </w:p>
    <w:p w:rsidR="0005656A" w:rsidRPr="008D61CE" w:rsidRDefault="0005656A" w:rsidP="0005656A">
      <w:pPr>
        <w:pStyle w:val="P68B1DB1-Normal5"/>
        <w:shd w:val="clear" w:color="auto" w:fill="FFFFFF"/>
        <w:spacing w:after="0" w:afterAutospacing="1"/>
        <w:ind w:right="-852"/>
        <w:rPr>
          <w:sz w:val="22"/>
        </w:rPr>
      </w:pPr>
      <w:hyperlink r:id="rId166" w:history="1">
        <w:r w:rsidRPr="008D61CE">
          <w:rPr>
            <w:sz w:val="22"/>
          </w:rPr>
          <w:t>QA00008 — Proyectos generadores de ingresos</w:t>
        </w:r>
      </w:hyperlink>
    </w:p>
    <w:p w:rsidR="0005656A" w:rsidRPr="008D61CE" w:rsidRDefault="0005656A" w:rsidP="0005656A">
      <w:pPr>
        <w:pStyle w:val="P68B1DB1-Normal5"/>
        <w:shd w:val="clear" w:color="auto" w:fill="FFFFFF"/>
        <w:spacing w:after="0" w:afterAutospacing="1"/>
        <w:ind w:right="-852"/>
        <w:rPr>
          <w:sz w:val="22"/>
        </w:rPr>
      </w:pPr>
      <w:hyperlink r:id="rId167" w:history="1">
        <w:r w:rsidRPr="008D61CE">
          <w:rPr>
            <w:sz w:val="22"/>
          </w:rPr>
          <w:t>QA00014 — Campo de datos 95 (anexo XVII)</w:t>
        </w:r>
      </w:hyperlink>
    </w:p>
    <w:p w:rsidR="0005656A" w:rsidRPr="008D61CE" w:rsidRDefault="0005656A" w:rsidP="0005656A">
      <w:pPr>
        <w:pStyle w:val="P68B1DB1-Normal5"/>
        <w:shd w:val="clear" w:color="auto" w:fill="FFFFFF"/>
        <w:spacing w:after="0" w:afterAutospacing="1"/>
        <w:ind w:right="-852"/>
        <w:rPr>
          <w:sz w:val="22"/>
        </w:rPr>
      </w:pPr>
      <w:hyperlink r:id="rId168" w:history="1">
        <w:r w:rsidRPr="008D61CE">
          <w:rPr>
            <w:sz w:val="22"/>
          </w:rPr>
          <w:t>QA00031 — Campo de datos 59, campo de datos 60, anexo XVII</w:t>
        </w:r>
      </w:hyperlink>
    </w:p>
    <w:p w:rsidR="0005656A" w:rsidRPr="008D61CE" w:rsidRDefault="0005656A" w:rsidP="0005656A">
      <w:pPr>
        <w:pStyle w:val="P68B1DB1-Normal5"/>
        <w:shd w:val="clear" w:color="auto" w:fill="FFFFFF"/>
        <w:spacing w:after="0" w:afterAutospacing="1"/>
        <w:ind w:right="-852"/>
        <w:rPr>
          <w:sz w:val="22"/>
        </w:rPr>
      </w:pPr>
      <w:hyperlink r:id="rId169" w:history="1">
        <w:r w:rsidRPr="008D61CE">
          <w:rPr>
            <w:sz w:val="22"/>
          </w:rPr>
          <w:t>QA00038 — Selección de operaciones por parte de la autoridad de gestión en materia de infraestructuras — defensa contra el cambio climático</w:t>
        </w:r>
      </w:hyperlink>
    </w:p>
    <w:p w:rsidR="0005656A" w:rsidRPr="008D61CE" w:rsidRDefault="0005656A" w:rsidP="0005656A">
      <w:pPr>
        <w:pStyle w:val="P68B1DB1-Normal5"/>
        <w:shd w:val="clear" w:color="auto" w:fill="FFFFFF"/>
        <w:spacing w:after="0" w:afterAutospacing="1"/>
        <w:ind w:right="-852"/>
        <w:rPr>
          <w:sz w:val="22"/>
        </w:rPr>
      </w:pPr>
      <w:hyperlink r:id="rId170" w:history="1">
        <w:r w:rsidRPr="008D61CE">
          <w:rPr>
            <w:sz w:val="22"/>
          </w:rPr>
          <w:t>QA00041 — Disponibilidad de documentos y verificaciones de gestión y auditorías de instrumentos financieros</w:t>
        </w:r>
      </w:hyperlink>
    </w:p>
    <w:p w:rsidR="0005656A" w:rsidRPr="008D61CE" w:rsidRDefault="0005656A" w:rsidP="0005656A">
      <w:pPr>
        <w:pStyle w:val="P68B1DB1-Normal5"/>
        <w:shd w:val="clear" w:color="auto" w:fill="FFFFFF"/>
        <w:spacing w:after="0" w:afterAutospacing="1"/>
        <w:ind w:right="-852"/>
        <w:rPr>
          <w:sz w:val="22"/>
        </w:rPr>
      </w:pPr>
      <w:hyperlink r:id="rId171" w:history="1">
        <w:r w:rsidRPr="008D61CE">
          <w:rPr>
            <w:sz w:val="22"/>
          </w:rPr>
          <w:t>QA00054 — Preguntas sobre la función contable y la solicitud de pago</w:t>
        </w:r>
      </w:hyperlink>
    </w:p>
    <w:p w:rsidR="0005656A" w:rsidRPr="008D61CE" w:rsidRDefault="0005656A" w:rsidP="0005656A">
      <w:pPr>
        <w:pStyle w:val="P68B1DB1-Normal5"/>
        <w:shd w:val="clear" w:color="auto" w:fill="FFFFFF"/>
        <w:spacing w:after="0" w:afterAutospacing="1"/>
        <w:ind w:right="-852"/>
        <w:rPr>
          <w:sz w:val="22"/>
        </w:rPr>
      </w:pPr>
      <w:hyperlink r:id="rId172" w:history="1">
        <w:r w:rsidRPr="008D61CE">
          <w:rPr>
            <w:sz w:val="22"/>
          </w:rPr>
          <w:t>QA00064 — Responsabilidades de la autoridad de gestión y función de contabilidad</w:t>
        </w:r>
      </w:hyperlink>
    </w:p>
    <w:p w:rsidR="0005656A" w:rsidRPr="008D61CE" w:rsidRDefault="0005656A" w:rsidP="0005656A">
      <w:pPr>
        <w:pStyle w:val="P68B1DB1-Normal5"/>
        <w:shd w:val="clear" w:color="auto" w:fill="FFFFFF"/>
        <w:spacing w:after="0" w:afterAutospacing="1"/>
        <w:ind w:right="-852"/>
        <w:rPr>
          <w:sz w:val="22"/>
        </w:rPr>
      </w:pPr>
      <w:hyperlink r:id="rId173" w:history="1">
        <w:r w:rsidRPr="008D61CE">
          <w:rPr>
            <w:sz w:val="22"/>
          </w:rPr>
          <w:t>A00075 — Puede que los programas del FEDER apoyen infraestructuras para centros de formación profesional en el marco del objetivo político 1</w:t>
        </w:r>
      </w:hyperlink>
    </w:p>
    <w:p w:rsidR="0005656A" w:rsidRPr="008D61CE" w:rsidRDefault="0005656A" w:rsidP="0005656A">
      <w:pPr>
        <w:pStyle w:val="P68B1DB1-Normal5"/>
        <w:shd w:val="clear" w:color="auto" w:fill="FFFFFF"/>
        <w:spacing w:after="0" w:afterAutospacing="1"/>
        <w:ind w:right="-852"/>
        <w:rPr>
          <w:sz w:val="22"/>
        </w:rPr>
      </w:pPr>
      <w:hyperlink r:id="rId174" w:history="1">
        <w:r w:rsidRPr="008D61CE">
          <w:rPr>
            <w:sz w:val="22"/>
          </w:rPr>
          <w:t>QA00077 — Estrategias territoriales y conflictos de intereses</w:t>
        </w:r>
      </w:hyperlink>
    </w:p>
    <w:p w:rsidR="0005656A" w:rsidRPr="008D61CE" w:rsidRDefault="0005656A" w:rsidP="0005656A">
      <w:pPr>
        <w:pStyle w:val="P68B1DB1-Normal5"/>
        <w:shd w:val="clear" w:color="auto" w:fill="FFFFFF"/>
        <w:spacing w:after="0" w:afterAutospacing="1"/>
        <w:ind w:right="-852"/>
        <w:rPr>
          <w:sz w:val="22"/>
        </w:rPr>
      </w:pPr>
      <w:hyperlink r:id="rId175" w:history="1">
        <w:r w:rsidRPr="008D61CE">
          <w:rPr>
            <w:sz w:val="22"/>
          </w:rPr>
          <w:t>QA00093 — La defensa contra el cambio climático</w:t>
        </w:r>
      </w:hyperlink>
    </w:p>
    <w:p w:rsidR="0005656A" w:rsidRPr="008D61CE" w:rsidRDefault="0005656A" w:rsidP="0005656A">
      <w:pPr>
        <w:pStyle w:val="P68B1DB1-Normal5"/>
        <w:shd w:val="clear" w:color="auto" w:fill="FFFFFF"/>
        <w:spacing w:after="0" w:afterAutospacing="1"/>
        <w:ind w:right="-852"/>
        <w:rPr>
          <w:sz w:val="22"/>
        </w:rPr>
      </w:pPr>
      <w:hyperlink r:id="rId176" w:history="1">
        <w:r w:rsidRPr="008D61CE">
          <w:rPr>
            <w:sz w:val="22"/>
          </w:rPr>
          <w:t>QA00163 — ¿Los costes de las verificaciones de la gestión pagados con cargo al presupuesto del proyecto por los beneficiarios de los programas de CTE en consonancia con el RDC 2021-2027?</w:t>
        </w:r>
      </w:hyperlink>
    </w:p>
    <w:p w:rsidR="0005656A" w:rsidRPr="008D61CE" w:rsidRDefault="0005656A" w:rsidP="0005656A">
      <w:pPr>
        <w:pStyle w:val="P68B1DB1-Normal5"/>
        <w:shd w:val="clear" w:color="auto" w:fill="FFFFFF"/>
        <w:spacing w:after="0" w:afterAutospacing="1"/>
        <w:ind w:right="-852"/>
        <w:rPr>
          <w:sz w:val="22"/>
        </w:rPr>
      </w:pPr>
      <w:hyperlink r:id="rId177" w:history="1">
        <w:r w:rsidRPr="008D61CE">
          <w:rPr>
            <w:sz w:val="22"/>
          </w:rPr>
          <w:t>QA00167 — Recopilación de datos</w:t>
        </w:r>
      </w:hyperlink>
    </w:p>
    <w:p w:rsidR="0005656A" w:rsidRPr="008D61CE" w:rsidRDefault="0005656A" w:rsidP="0005656A">
      <w:pPr>
        <w:pStyle w:val="P68B1DB1-Normal5"/>
        <w:shd w:val="clear" w:color="auto" w:fill="FFFFFF"/>
        <w:spacing w:after="0" w:afterAutospacing="1"/>
        <w:ind w:right="-852"/>
        <w:rPr>
          <w:sz w:val="22"/>
        </w:rPr>
      </w:pPr>
      <w:hyperlink r:id="rId178" w:history="1">
        <w:r w:rsidRPr="008D61CE">
          <w:rPr>
            <w:sz w:val="22"/>
          </w:rPr>
          <w:t>QA00185 — Operaciones de importancia estratégica — qué información, a qué nivel</w:t>
        </w:r>
      </w:hyperlink>
    </w:p>
    <w:p w:rsidR="0005656A" w:rsidRPr="008D61CE" w:rsidRDefault="0005656A" w:rsidP="0005656A">
      <w:pPr>
        <w:pStyle w:val="P68B1DB1-Normal5"/>
        <w:shd w:val="clear" w:color="auto" w:fill="FFFFFF"/>
        <w:spacing w:after="0" w:afterAutospacing="1"/>
        <w:ind w:right="-852"/>
        <w:rPr>
          <w:sz w:val="22"/>
        </w:rPr>
      </w:pPr>
      <w:hyperlink r:id="rId179" w:history="1">
        <w:r w:rsidRPr="008D61CE">
          <w:rPr>
            <w:sz w:val="22"/>
          </w:rPr>
          <w:t>QA00188 — Campos financieros 81 y 82 del anexo XVII</w:t>
        </w:r>
      </w:hyperlink>
    </w:p>
    <w:p w:rsidR="0005656A" w:rsidRPr="008D61CE" w:rsidRDefault="0005656A" w:rsidP="0005656A">
      <w:pPr>
        <w:pStyle w:val="P68B1DB1-Normal5"/>
        <w:shd w:val="clear" w:color="auto" w:fill="FFFFFF"/>
        <w:spacing w:after="0" w:afterAutospacing="1"/>
        <w:ind w:right="-852"/>
        <w:rPr>
          <w:sz w:val="22"/>
        </w:rPr>
      </w:pPr>
      <w:hyperlink r:id="rId180" w:history="1">
        <w:r w:rsidRPr="008D61CE">
          <w:rPr>
            <w:sz w:val="22"/>
          </w:rPr>
          <w:t>QA00196 — Información a la Comisión sobre la selección de una operación de importancia estratégica</w:t>
        </w:r>
      </w:hyperlink>
    </w:p>
    <w:p w:rsidR="0005656A" w:rsidRPr="008D61CE" w:rsidRDefault="0005656A" w:rsidP="0005656A">
      <w:pPr>
        <w:pStyle w:val="P68B1DB1-Normal5"/>
        <w:shd w:val="clear" w:color="auto" w:fill="FFFFFF"/>
        <w:spacing w:after="0" w:afterAutospacing="1"/>
        <w:ind w:right="-852"/>
        <w:rPr>
          <w:sz w:val="22"/>
        </w:rPr>
      </w:pPr>
      <w:hyperlink r:id="rId181" w:history="1">
        <w:r w:rsidRPr="008D61CE">
          <w:rPr>
            <w:sz w:val="22"/>
          </w:rPr>
          <w:t>QA00211 — Ejecución de las asociaciones europeas financiadas por Horizonte Europeo y el FEDER y selección de operaciones a las que se ha atribuido un Sello de Excelencia u operaciones cofinanciadas por Horizonte Europa</w:t>
        </w:r>
      </w:hyperlink>
    </w:p>
    <w:p w:rsidR="0005656A" w:rsidRPr="008D61CE" w:rsidRDefault="0005656A" w:rsidP="0005656A">
      <w:pPr>
        <w:pStyle w:val="P68B1DB1-Normal5"/>
        <w:shd w:val="clear" w:color="auto" w:fill="FFFFFF"/>
        <w:spacing w:after="0" w:afterAutospacing="1"/>
        <w:ind w:right="-852"/>
        <w:rPr>
          <w:sz w:val="22"/>
        </w:rPr>
      </w:pPr>
      <w:hyperlink r:id="rId182" w:history="1">
        <w:r w:rsidRPr="008D61CE">
          <w:rPr>
            <w:sz w:val="22"/>
          </w:rPr>
          <w:t>QA00259 — La defensa contra el cambio climático</w:t>
        </w:r>
      </w:hyperlink>
    </w:p>
    <w:p w:rsidR="0005656A" w:rsidRPr="008D61CE" w:rsidRDefault="0005656A" w:rsidP="0005656A">
      <w:pPr>
        <w:pStyle w:val="P68B1DB1-Normal5"/>
        <w:shd w:val="clear" w:color="auto" w:fill="FFFFFF"/>
        <w:spacing w:after="0" w:afterAutospacing="1"/>
        <w:ind w:right="-852"/>
        <w:rPr>
          <w:sz w:val="22"/>
        </w:rPr>
      </w:pPr>
      <w:hyperlink r:id="rId183" w:history="1">
        <w:r w:rsidRPr="008D61CE">
          <w:rPr>
            <w:sz w:val="22"/>
          </w:rPr>
          <w:t>QA00263 — Admisibilidad del combustible de carbono reciclado en el marco del FTJ y protección frente al cambio climático de las infraestructuras</w:t>
        </w:r>
      </w:hyperlink>
    </w:p>
    <w:p w:rsidR="0005656A" w:rsidRPr="008D61CE" w:rsidRDefault="0005656A" w:rsidP="0005656A">
      <w:pPr>
        <w:pStyle w:val="P68B1DB1-Normal5"/>
        <w:shd w:val="clear" w:color="auto" w:fill="FFFFFF"/>
        <w:spacing w:after="0" w:afterAutospacing="1"/>
        <w:ind w:right="-852"/>
        <w:rPr>
          <w:sz w:val="22"/>
        </w:rPr>
      </w:pPr>
      <w:hyperlink r:id="rId184" w:history="1">
        <w:r w:rsidRPr="008D61CE">
          <w:rPr>
            <w:sz w:val="22"/>
          </w:rPr>
          <w:t>QA00283 — Cumplimiento de las convocatorias no competitivas con el artículo 73 del RDC</w:t>
        </w:r>
      </w:hyperlink>
    </w:p>
    <w:p w:rsidR="0005656A" w:rsidRPr="008D61CE" w:rsidRDefault="0005656A" w:rsidP="0005656A">
      <w:pPr>
        <w:pStyle w:val="P68B1DB1-Normal5"/>
        <w:shd w:val="clear" w:color="auto" w:fill="FFFFFF"/>
        <w:spacing w:after="0" w:afterAutospacing="1"/>
        <w:ind w:right="-852"/>
        <w:rPr>
          <w:sz w:val="22"/>
        </w:rPr>
      </w:pPr>
      <w:hyperlink r:id="rId185" w:history="1">
        <w:r w:rsidRPr="008D61CE">
          <w:rPr>
            <w:sz w:val="22"/>
          </w:rPr>
          <w:t>QA00309 — Preguntas relacionadas con el SEAL SOVEREIGNTY, SYNERGIES, FINANCIACIÓN CUMULATIVA</w:t>
        </w:r>
      </w:hyperlink>
    </w:p>
    <w:p w:rsidR="0005656A" w:rsidRPr="008D61CE" w:rsidRDefault="0005656A" w:rsidP="0005656A">
      <w:pPr>
        <w:pStyle w:val="P68B1DB1-Normal5"/>
        <w:shd w:val="clear" w:color="auto" w:fill="FFFFFF"/>
        <w:spacing w:after="0" w:afterAutospacing="1"/>
        <w:ind w:right="-852"/>
        <w:rPr>
          <w:sz w:val="22"/>
        </w:rPr>
      </w:pPr>
      <w:hyperlink r:id="rId186" w:history="1">
        <w:r w:rsidRPr="008D61CE">
          <w:rPr>
            <w:sz w:val="22"/>
          </w:rPr>
          <w:t>QA00315 — Recopilación y registro de los datos sobre los titulares reales de los beneficiarios de la financiación de la Unión</w:t>
        </w:r>
      </w:hyperlink>
    </w:p>
    <w:p w:rsidR="0005656A" w:rsidRPr="008D61CE" w:rsidRDefault="0005656A" w:rsidP="0005656A">
      <w:pPr>
        <w:pStyle w:val="P68B1DB1-Normal3"/>
        <w:shd w:val="clear" w:color="auto" w:fill="FFFFFF"/>
        <w:spacing w:after="0"/>
        <w:ind w:right="-852"/>
        <w:rPr>
          <w:b/>
          <w:sz w:val="20"/>
        </w:rPr>
      </w:pPr>
      <w:r w:rsidRPr="008D61CE">
        <w:rPr>
          <w:b/>
          <w:sz w:val="20"/>
        </w:rPr>
        <w:t>(3) Confianza en los sistemas nacionales de gestión</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(7) GESTIÓN FINANCIERA, PRESENTACIÓN Y EXAMEN DE CUENTAS Y CORRECCIONES FINANCIERAS</w:t>
      </w:r>
    </w:p>
    <w:p w:rsidR="0005656A" w:rsidRPr="008D61CE" w:rsidRDefault="0005656A" w:rsidP="0005656A">
      <w:pPr>
        <w:pStyle w:val="P68B1DB1-Normal3"/>
        <w:shd w:val="clear" w:color="auto" w:fill="FFFFFF"/>
        <w:spacing w:after="0"/>
        <w:ind w:right="-852"/>
        <w:rPr>
          <w:b/>
          <w:sz w:val="20"/>
        </w:rPr>
      </w:pPr>
      <w:r w:rsidRPr="008D61CE">
        <w:rPr>
          <w:b/>
          <w:sz w:val="20"/>
        </w:rPr>
        <w:t>(1) Gestión financiera,</w:t>
      </w:r>
    </w:p>
    <w:p w:rsidR="0005656A" w:rsidRPr="008D61CE" w:rsidRDefault="0005656A" w:rsidP="0005656A">
      <w:pPr>
        <w:pStyle w:val="P68B1DB1-Normal5"/>
        <w:shd w:val="clear" w:color="auto" w:fill="FFFFFF"/>
        <w:spacing w:after="0" w:afterAutospacing="1"/>
        <w:ind w:right="-852"/>
        <w:rPr>
          <w:sz w:val="22"/>
        </w:rPr>
      </w:pPr>
      <w:hyperlink r:id="rId187" w:history="1">
        <w:r w:rsidRPr="008D61CE">
          <w:rPr>
            <w:sz w:val="22"/>
          </w:rPr>
          <w:t>QA00048 — Importe de flexibilidad y futuras transferencias de asignaciones del FEDER entre programas</w:t>
        </w:r>
      </w:hyperlink>
    </w:p>
    <w:p w:rsidR="0005656A" w:rsidRPr="008D61CE" w:rsidRDefault="0005656A" w:rsidP="0005656A">
      <w:pPr>
        <w:pStyle w:val="P68B1DB1-Normal5"/>
        <w:shd w:val="clear" w:color="auto" w:fill="FFFFFF"/>
        <w:spacing w:after="0" w:afterAutospacing="1"/>
        <w:ind w:right="-852"/>
        <w:rPr>
          <w:sz w:val="22"/>
        </w:rPr>
      </w:pPr>
      <w:hyperlink r:id="rId188" w:history="1">
        <w:r w:rsidRPr="008D61CE">
          <w:rPr>
            <w:sz w:val="22"/>
          </w:rPr>
          <w:t>QA00054 — Preguntas sobre la función contable y la solicitud de pago</w:t>
        </w:r>
      </w:hyperlink>
    </w:p>
    <w:p w:rsidR="0005656A" w:rsidRPr="008D61CE" w:rsidRDefault="0005656A" w:rsidP="0005656A">
      <w:pPr>
        <w:pStyle w:val="P68B1DB1-Normal5"/>
        <w:shd w:val="clear" w:color="auto" w:fill="FFFFFF"/>
        <w:spacing w:after="0" w:afterAutospacing="1"/>
        <w:ind w:right="-852"/>
        <w:rPr>
          <w:sz w:val="22"/>
        </w:rPr>
      </w:pPr>
      <w:hyperlink r:id="rId189" w:history="1">
        <w:r w:rsidRPr="008D61CE">
          <w:rPr>
            <w:sz w:val="22"/>
          </w:rPr>
          <w:t>QA00083 — Apéndice 1 del anexo XXIII y apéndice 3 del anexo XXIV</w:t>
        </w:r>
      </w:hyperlink>
    </w:p>
    <w:p w:rsidR="0005656A" w:rsidRPr="008D61CE" w:rsidRDefault="0005656A" w:rsidP="0005656A">
      <w:pPr>
        <w:pStyle w:val="P68B1DB1-Normal5"/>
        <w:shd w:val="clear" w:color="auto" w:fill="FFFFFF"/>
        <w:spacing w:after="0" w:afterAutospacing="1"/>
        <w:ind w:right="-852"/>
        <w:rPr>
          <w:sz w:val="22"/>
        </w:rPr>
      </w:pPr>
      <w:hyperlink r:id="rId190" w:history="1">
        <w:r w:rsidRPr="008D61CE">
          <w:rPr>
            <w:sz w:val="22"/>
          </w:rPr>
          <w:t>QA00088 — Reembolso de la contribución de la Unión al programa sobre la base de costes unitarios, importes a tanto alzado y tipos fijos</w:t>
        </w:r>
      </w:hyperlink>
    </w:p>
    <w:p w:rsidR="0005656A" w:rsidRPr="008D61CE" w:rsidRDefault="0005656A" w:rsidP="0005656A">
      <w:pPr>
        <w:pStyle w:val="P68B1DB1-Normal5"/>
        <w:shd w:val="clear" w:color="auto" w:fill="FFFFFF"/>
        <w:spacing w:after="0" w:afterAutospacing="1"/>
        <w:ind w:right="-852"/>
        <w:rPr>
          <w:sz w:val="22"/>
        </w:rPr>
      </w:pPr>
      <w:hyperlink r:id="rId191" w:history="1">
        <w:r w:rsidRPr="008D61CE">
          <w:rPr>
            <w:sz w:val="22"/>
          </w:rPr>
          <w:t>QA00089 — Utilización del euro</w:t>
        </w:r>
      </w:hyperlink>
    </w:p>
    <w:p w:rsidR="0005656A" w:rsidRPr="008D61CE" w:rsidRDefault="0005656A" w:rsidP="0005656A">
      <w:pPr>
        <w:pStyle w:val="P68B1DB1-Normal5"/>
        <w:shd w:val="clear" w:color="auto" w:fill="FFFFFF"/>
        <w:spacing w:after="0" w:afterAutospacing="1"/>
        <w:ind w:right="-852"/>
        <w:rPr>
          <w:sz w:val="22"/>
        </w:rPr>
      </w:pPr>
      <w:hyperlink r:id="rId192" w:history="1">
        <w:r w:rsidRPr="008D61CE">
          <w:rPr>
            <w:sz w:val="22"/>
          </w:rPr>
          <w:t>QA00100 — Preguntas técnicas sobre las solicitudes de pago y las cuentas del período de programación 2021-2027</w:t>
        </w:r>
      </w:hyperlink>
    </w:p>
    <w:p w:rsidR="0005656A" w:rsidRPr="008D61CE" w:rsidRDefault="0005656A" w:rsidP="0005656A">
      <w:pPr>
        <w:pStyle w:val="P68B1DB1-Normal5"/>
        <w:shd w:val="clear" w:color="auto" w:fill="FFFFFF"/>
        <w:spacing w:after="0" w:afterAutospacing="1"/>
        <w:ind w:right="-852"/>
        <w:rPr>
          <w:sz w:val="22"/>
        </w:rPr>
      </w:pPr>
      <w:hyperlink r:id="rId193" w:history="1">
        <w:r w:rsidRPr="008D61CE">
          <w:rPr>
            <w:sz w:val="22"/>
          </w:rPr>
          <w:t>QA00117 — Aclaración relativa a los anexos XXIII (solicitud de pago) y XXIV (cuentas) del RDC en el período de programación 2021-2027</w:t>
        </w:r>
      </w:hyperlink>
    </w:p>
    <w:p w:rsidR="0005656A" w:rsidRPr="008D61CE" w:rsidRDefault="0005656A" w:rsidP="0005656A">
      <w:pPr>
        <w:pStyle w:val="P68B1DB1-Normal5"/>
        <w:shd w:val="clear" w:color="auto" w:fill="FFFFFF"/>
        <w:spacing w:after="0" w:afterAutospacing="1"/>
        <w:ind w:right="-852"/>
        <w:rPr>
          <w:sz w:val="22"/>
        </w:rPr>
      </w:pPr>
      <w:hyperlink r:id="rId194" w:history="1">
        <w:r w:rsidRPr="008D61CE">
          <w:rPr>
            <w:sz w:val="22"/>
          </w:rPr>
          <w:t>QA00138 — Cómo declarar los gastos en caso de que las OCS se apliquen con arreglo a los artículos 53 a 56 del RDC y, a continuación, se introduzcan en un régimen de OCS en virtud del artículo 94: opciones y riesgos</w:t>
        </w:r>
      </w:hyperlink>
    </w:p>
    <w:p w:rsidR="0005656A" w:rsidRPr="008D61CE" w:rsidRDefault="0005656A" w:rsidP="0005656A">
      <w:pPr>
        <w:pStyle w:val="P68B1DB1-Normal5"/>
        <w:shd w:val="clear" w:color="auto" w:fill="FFFFFF"/>
        <w:spacing w:after="0" w:afterAutospacing="1"/>
        <w:ind w:right="-852"/>
        <w:rPr>
          <w:sz w:val="22"/>
        </w:rPr>
      </w:pPr>
      <w:hyperlink r:id="rId195" w:history="1">
        <w:r w:rsidRPr="008D61CE">
          <w:rPr>
            <w:sz w:val="22"/>
          </w:rPr>
          <w:t>QA00153 — Tratamiento/verificación de las infracciones — solicitud de aclaración (RDC y Reglamento CTE 2021-2027)</w:t>
        </w:r>
      </w:hyperlink>
    </w:p>
    <w:p w:rsidR="0005656A" w:rsidRPr="008D61CE" w:rsidRDefault="0005656A" w:rsidP="0005656A">
      <w:pPr>
        <w:pStyle w:val="P68B1DB1-Normal5"/>
        <w:shd w:val="clear" w:color="auto" w:fill="FFFFFF"/>
        <w:spacing w:after="0" w:afterAutospacing="1"/>
        <w:ind w:right="-852"/>
        <w:rPr>
          <w:sz w:val="22"/>
        </w:rPr>
      </w:pPr>
      <w:hyperlink r:id="rId196" w:history="1">
        <w:r w:rsidRPr="008D61CE">
          <w:rPr>
            <w:sz w:val="22"/>
          </w:rPr>
          <w:t>QA00154 — Requisitos de notificación para los campos de datos 112 y 115 — Anexo XVII del RDC</w:t>
        </w:r>
      </w:hyperlink>
    </w:p>
    <w:p w:rsidR="0005656A" w:rsidRPr="008D61CE" w:rsidRDefault="0005656A" w:rsidP="0005656A">
      <w:pPr>
        <w:pStyle w:val="P68B1DB1-Normal5"/>
        <w:shd w:val="clear" w:color="auto" w:fill="FFFFFF"/>
        <w:spacing w:after="0" w:afterAutospacing="1"/>
        <w:ind w:right="-852"/>
        <w:rPr>
          <w:sz w:val="22"/>
        </w:rPr>
      </w:pPr>
      <w:hyperlink r:id="rId197" w:history="1">
        <w:r w:rsidRPr="008D61CE">
          <w:rPr>
            <w:sz w:val="22"/>
          </w:rPr>
          <w:t>QA00156 — Tipo de cambio en el caso de las OCS como contribución de la Unión</w:t>
        </w:r>
      </w:hyperlink>
    </w:p>
    <w:p w:rsidR="0005656A" w:rsidRPr="008D61CE" w:rsidRDefault="0005656A" w:rsidP="0005656A">
      <w:pPr>
        <w:pStyle w:val="P68B1DB1-Normal5"/>
        <w:shd w:val="clear" w:color="auto" w:fill="FFFFFF"/>
        <w:spacing w:after="0" w:afterAutospacing="1"/>
        <w:ind w:right="-852"/>
        <w:rPr>
          <w:sz w:val="22"/>
        </w:rPr>
      </w:pPr>
      <w:hyperlink r:id="rId198" w:history="1">
        <w:r w:rsidRPr="008D61CE">
          <w:rPr>
            <w:sz w:val="22"/>
          </w:rPr>
          <w:t>QA00197 — Interpretación de «fabricado o por hacer» en el artículo 91 (3) c del RDC</w:t>
        </w:r>
      </w:hyperlink>
    </w:p>
    <w:p w:rsidR="0005656A" w:rsidRPr="008D61CE" w:rsidRDefault="0005656A" w:rsidP="0005656A">
      <w:pPr>
        <w:pStyle w:val="P68B1DB1-Normal5"/>
        <w:shd w:val="clear" w:color="auto" w:fill="FFFFFF"/>
        <w:spacing w:after="0" w:afterAutospacing="1"/>
        <w:ind w:right="-852"/>
        <w:rPr>
          <w:sz w:val="22"/>
        </w:rPr>
      </w:pPr>
      <w:hyperlink r:id="rId199" w:history="1">
        <w:r w:rsidRPr="008D61CE">
          <w:rPr>
            <w:sz w:val="22"/>
          </w:rPr>
          <w:t>QA00222 — Pista de auditoría/verificaciones de gestión FNLC</w:t>
        </w:r>
      </w:hyperlink>
    </w:p>
    <w:p w:rsidR="0005656A" w:rsidRPr="008D61CE" w:rsidRDefault="0005656A" w:rsidP="0005656A">
      <w:pPr>
        <w:pStyle w:val="P68B1DB1-Normal5"/>
        <w:shd w:val="clear" w:color="auto" w:fill="FFFFFF"/>
        <w:spacing w:after="0" w:afterAutospacing="1"/>
        <w:ind w:right="-852"/>
        <w:rPr>
          <w:sz w:val="22"/>
        </w:rPr>
      </w:pPr>
      <w:hyperlink r:id="rId200" w:history="1">
        <w:r w:rsidRPr="008D61CE">
          <w:rPr>
            <w:sz w:val="22"/>
          </w:rPr>
          <w:t>QA00247 — Posibilidad de definir las OCS aprobadas en el apéndice 1 como importes máximos/importes a tanto alzado</w:t>
        </w:r>
      </w:hyperlink>
    </w:p>
    <w:p w:rsidR="0005656A" w:rsidRPr="008D61CE" w:rsidRDefault="0005656A" w:rsidP="0005656A">
      <w:pPr>
        <w:pStyle w:val="P68B1DB1-Normal5"/>
        <w:shd w:val="clear" w:color="auto" w:fill="FFFFFF"/>
        <w:spacing w:after="0" w:afterAutospacing="1"/>
        <w:ind w:right="-852"/>
        <w:rPr>
          <w:sz w:val="22"/>
        </w:rPr>
      </w:pPr>
      <w:hyperlink r:id="rId201" w:history="1">
        <w:r w:rsidRPr="008D61CE">
          <w:rPr>
            <w:sz w:val="22"/>
          </w:rPr>
          <w:t>QA00292 — Declaración de anticipos</w:t>
        </w:r>
      </w:hyperlink>
    </w:p>
    <w:p w:rsidR="0005656A" w:rsidRPr="008D61CE" w:rsidRDefault="0005656A" w:rsidP="0005656A">
      <w:pPr>
        <w:pStyle w:val="P68B1DB1-Normal5"/>
        <w:shd w:val="clear" w:color="auto" w:fill="FFFFFF"/>
        <w:spacing w:after="0" w:afterAutospacing="1"/>
        <w:ind w:right="-852"/>
        <w:rPr>
          <w:sz w:val="22"/>
        </w:rPr>
      </w:pPr>
      <w:hyperlink r:id="rId202" w:history="1">
        <w:r w:rsidRPr="008D61CE">
          <w:rPr>
            <w:sz w:val="22"/>
          </w:rPr>
          <w:t>QA00308 — Preguntas relacionadas con la prefinanciación y el porcentaje de cofinanciación</w:t>
        </w:r>
      </w:hyperlink>
    </w:p>
    <w:p w:rsidR="0005656A" w:rsidRPr="008D61CE" w:rsidRDefault="0005656A" w:rsidP="0005656A">
      <w:pPr>
        <w:pStyle w:val="P68B1DB1-Normal3"/>
        <w:shd w:val="clear" w:color="auto" w:fill="FFFFFF"/>
        <w:spacing w:after="0"/>
        <w:ind w:right="-852"/>
        <w:rPr>
          <w:b/>
          <w:sz w:val="20"/>
        </w:rPr>
      </w:pPr>
      <w:r w:rsidRPr="008D61CE">
        <w:rPr>
          <w:b/>
          <w:sz w:val="20"/>
        </w:rPr>
        <w:t>(2) Presentación y examen de las cuentas</w:t>
      </w:r>
    </w:p>
    <w:p w:rsidR="0005656A" w:rsidRPr="008D61CE" w:rsidRDefault="0005656A" w:rsidP="0005656A">
      <w:pPr>
        <w:pStyle w:val="P68B1DB1-Normal5"/>
        <w:shd w:val="clear" w:color="auto" w:fill="FFFFFF"/>
        <w:spacing w:after="0" w:afterAutospacing="1"/>
        <w:ind w:right="-852"/>
        <w:rPr>
          <w:sz w:val="22"/>
        </w:rPr>
      </w:pPr>
      <w:hyperlink r:id="rId203" w:history="1">
        <w:r w:rsidRPr="008D61CE">
          <w:rPr>
            <w:sz w:val="22"/>
          </w:rPr>
          <w:t>QA00013 — Campos de datos 103, 104 y 130, anexo XVII</w:t>
        </w:r>
      </w:hyperlink>
    </w:p>
    <w:p w:rsidR="0005656A" w:rsidRPr="008D61CE" w:rsidRDefault="0005656A" w:rsidP="0005656A">
      <w:pPr>
        <w:pStyle w:val="P68B1DB1-Normal5"/>
        <w:shd w:val="clear" w:color="auto" w:fill="FFFFFF"/>
        <w:spacing w:after="0" w:afterAutospacing="1"/>
        <w:ind w:right="-852"/>
        <w:rPr>
          <w:sz w:val="22"/>
        </w:rPr>
      </w:pPr>
      <w:hyperlink r:id="rId204" w:history="1">
        <w:r w:rsidRPr="008D61CE">
          <w:rPr>
            <w:sz w:val="22"/>
          </w:rPr>
          <w:t>QA00043 — Pagos y verificaciones de la gestión en proyectos de APP</w:t>
        </w:r>
      </w:hyperlink>
    </w:p>
    <w:p w:rsidR="0005656A" w:rsidRPr="008D61CE" w:rsidRDefault="0005656A" w:rsidP="0005656A">
      <w:pPr>
        <w:pStyle w:val="P68B1DB1-Normal5"/>
        <w:shd w:val="clear" w:color="auto" w:fill="FFFFFF"/>
        <w:spacing w:after="0" w:afterAutospacing="1"/>
        <w:ind w:right="-852"/>
        <w:rPr>
          <w:sz w:val="22"/>
        </w:rPr>
      </w:pPr>
      <w:hyperlink r:id="rId205" w:history="1">
        <w:r w:rsidRPr="008D61CE">
          <w:rPr>
            <w:sz w:val="22"/>
          </w:rPr>
          <w:t>QA00171 — Anexo XXIII (solicitud de pago) Apéndice 2 — Asistencia técnica a tanto alzado</w:t>
        </w:r>
      </w:hyperlink>
    </w:p>
    <w:p w:rsidR="0005656A" w:rsidRPr="008D61CE" w:rsidRDefault="0005656A" w:rsidP="0005656A">
      <w:pPr>
        <w:pStyle w:val="P68B1DB1-Normal5"/>
        <w:shd w:val="clear" w:color="auto" w:fill="FFFFFF"/>
        <w:spacing w:after="0" w:afterAutospacing="1"/>
        <w:ind w:right="-852"/>
        <w:rPr>
          <w:sz w:val="22"/>
        </w:rPr>
      </w:pPr>
      <w:hyperlink r:id="rId206" w:history="1">
        <w:r w:rsidRPr="008D61CE">
          <w:rPr>
            <w:sz w:val="22"/>
          </w:rPr>
          <w:t>QA00179 — Anexo XVII del Reglamento RDC (campos 20, 102, 103 y 130)</w:t>
        </w:r>
      </w:hyperlink>
    </w:p>
    <w:p w:rsidR="0005656A" w:rsidRPr="008D61CE" w:rsidRDefault="0005656A" w:rsidP="0005656A">
      <w:pPr>
        <w:pStyle w:val="P68B1DB1-Normal3"/>
        <w:shd w:val="clear" w:color="auto" w:fill="FFFFFF"/>
        <w:spacing w:after="0"/>
        <w:ind w:right="-852"/>
        <w:rPr>
          <w:b/>
          <w:sz w:val="20"/>
        </w:rPr>
      </w:pPr>
      <w:r w:rsidRPr="008D61CE">
        <w:rPr>
          <w:b/>
          <w:sz w:val="20"/>
        </w:rPr>
        <w:t>(3) Correcciones financieras</w:t>
      </w:r>
    </w:p>
    <w:p w:rsidR="0005656A" w:rsidRPr="008D61CE" w:rsidRDefault="0005656A" w:rsidP="0005656A">
      <w:pPr>
        <w:pStyle w:val="P68B1DB1-Normal5"/>
        <w:shd w:val="clear" w:color="auto" w:fill="FFFFFF"/>
        <w:spacing w:after="0" w:afterAutospacing="1"/>
        <w:ind w:right="-852"/>
        <w:rPr>
          <w:sz w:val="22"/>
        </w:rPr>
      </w:pPr>
      <w:hyperlink r:id="rId207" w:history="1">
        <w:r w:rsidRPr="008D61CE">
          <w:rPr>
            <w:sz w:val="22"/>
          </w:rPr>
          <w:t>QA00033 — Comunicación eficaz y cumplimiento de las disposiciones del RDC relativas a la comunicación</w:t>
        </w:r>
      </w:hyperlink>
    </w:p>
    <w:p w:rsidR="0005656A" w:rsidRPr="008D61CE" w:rsidRDefault="0005656A" w:rsidP="0005656A">
      <w:pPr>
        <w:pStyle w:val="P68B1DB1-Normal5"/>
        <w:shd w:val="clear" w:color="auto" w:fill="FFFFFF"/>
        <w:spacing w:after="0" w:afterAutospacing="1"/>
        <w:ind w:right="-852"/>
        <w:rPr>
          <w:sz w:val="22"/>
        </w:rPr>
      </w:pPr>
      <w:hyperlink r:id="rId208" w:history="1">
        <w:r w:rsidRPr="008D61CE">
          <w:rPr>
            <w:sz w:val="22"/>
          </w:rPr>
          <w:t>QA00139 — RDC y Reglamento Interreg 2021-2027 — posible doble corrección</w:t>
        </w:r>
      </w:hyperlink>
    </w:p>
    <w:p w:rsidR="0005656A" w:rsidRPr="008D61CE" w:rsidRDefault="0005656A" w:rsidP="0005656A">
      <w:pPr>
        <w:pStyle w:val="P68B1DB1-Normal3"/>
        <w:shd w:val="clear" w:color="auto" w:fill="FFFFFF"/>
        <w:spacing w:after="0"/>
        <w:ind w:right="-852"/>
        <w:rPr>
          <w:b/>
          <w:sz w:val="20"/>
        </w:rPr>
      </w:pPr>
      <w:r w:rsidRPr="008D61CE">
        <w:rPr>
          <w:b/>
          <w:sz w:val="20"/>
        </w:rPr>
        <w:t>(4) Liberación</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(8) FINANCIERO PLURIANUAL</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(9) DELEGACIÓN DE COMPETENCIAS Y DISPOSICIONES DE EJECUCIÓN, TRANSITORIAS Y FINALES</w:t>
      </w:r>
    </w:p>
    <w:p w:rsidR="0005656A" w:rsidRPr="008D61CE" w:rsidRDefault="0005656A" w:rsidP="0005656A">
      <w:pPr>
        <w:pStyle w:val="P68B1DB1-Normal3"/>
        <w:shd w:val="clear" w:color="auto" w:fill="FFFFFF"/>
        <w:spacing w:after="0"/>
        <w:ind w:right="-852"/>
        <w:rPr>
          <w:b/>
          <w:sz w:val="20"/>
        </w:rPr>
      </w:pPr>
      <w:r w:rsidRPr="008D61CE">
        <w:rPr>
          <w:b/>
          <w:sz w:val="20"/>
        </w:rPr>
        <w:t>(1) Delegación de poderes y disposiciones de aplicación</w:t>
      </w:r>
    </w:p>
    <w:p w:rsidR="0005656A" w:rsidRPr="008D61CE" w:rsidRDefault="0005656A" w:rsidP="0005656A">
      <w:pPr>
        <w:pStyle w:val="P68B1DB1-Normal5"/>
        <w:shd w:val="clear" w:color="auto" w:fill="FFFFFF"/>
        <w:spacing w:after="0" w:afterAutospacing="1"/>
        <w:ind w:right="-852"/>
        <w:rPr>
          <w:sz w:val="22"/>
        </w:rPr>
      </w:pPr>
      <w:hyperlink r:id="rId209" w:history="1">
        <w:r w:rsidRPr="008D61CE">
          <w:rPr>
            <w:sz w:val="22"/>
          </w:rPr>
          <w:t>QA00105 — Fase gradual de las operaciones REACT-UE y tratamiento de la cofinanciación</w:t>
        </w:r>
      </w:hyperlink>
    </w:p>
    <w:p w:rsidR="0005656A" w:rsidRPr="008D61CE" w:rsidRDefault="0005656A" w:rsidP="0005656A">
      <w:pPr>
        <w:pStyle w:val="P68B1DB1-Normal3"/>
        <w:shd w:val="clear" w:color="auto" w:fill="FFFFFF"/>
        <w:spacing w:after="0"/>
        <w:ind w:right="-852"/>
        <w:rPr>
          <w:b/>
          <w:sz w:val="20"/>
        </w:rPr>
      </w:pPr>
      <w:r w:rsidRPr="008D61CE">
        <w:rPr>
          <w:b/>
          <w:sz w:val="20"/>
        </w:rPr>
        <w:t>(2) Disposiciones transitorias y finales</w:t>
      </w:r>
    </w:p>
    <w:p w:rsidR="0005656A" w:rsidRPr="008D61CE" w:rsidRDefault="0005656A" w:rsidP="0005656A">
      <w:pPr>
        <w:pStyle w:val="P68B1DB1-Normal5"/>
        <w:shd w:val="clear" w:color="auto" w:fill="FFFFFF"/>
        <w:spacing w:after="0" w:afterAutospacing="1"/>
        <w:ind w:right="-852"/>
        <w:rPr>
          <w:sz w:val="22"/>
        </w:rPr>
      </w:pPr>
      <w:hyperlink r:id="rId210" w:history="1">
        <w:r w:rsidRPr="008D61CE">
          <w:rPr>
            <w:sz w:val="22"/>
          </w:rPr>
          <w:t>QA00193 — Requisitos de visibilidad para operaciones escalonadas</w:t>
        </w:r>
      </w:hyperlink>
    </w:p>
    <w:p w:rsidR="0005656A" w:rsidRPr="008D61CE" w:rsidRDefault="0005656A" w:rsidP="0005656A">
      <w:pPr>
        <w:pStyle w:val="P68B1DB1-Normal5"/>
        <w:shd w:val="clear" w:color="auto" w:fill="FFFFFF"/>
        <w:spacing w:after="0" w:afterAutospacing="1"/>
        <w:ind w:right="-852"/>
        <w:rPr>
          <w:sz w:val="22"/>
        </w:rPr>
      </w:pPr>
      <w:hyperlink r:id="rId211" w:history="1">
        <w:r w:rsidRPr="008D61CE">
          <w:rPr>
            <w:sz w:val="22"/>
          </w:rPr>
          <w:t>QA00203 — Aplicación del artículo 118 bis y cofinanciación de la segunda fase también con cargo a los demás Fondos (FTJ, FAMI, FSI)</w:t>
        </w:r>
      </w:hyperlink>
    </w:p>
    <w:p w:rsidR="0005656A" w:rsidRPr="008D61CE" w:rsidRDefault="0005656A" w:rsidP="0005656A">
      <w:pPr>
        <w:pStyle w:val="P68B1DB1-Normal5"/>
        <w:shd w:val="clear" w:color="auto" w:fill="FFFFFF"/>
        <w:spacing w:after="0" w:afterAutospacing="1"/>
        <w:ind w:right="-852"/>
        <w:rPr>
          <w:sz w:val="22"/>
        </w:rPr>
      </w:pPr>
      <w:hyperlink r:id="rId212" w:history="1">
        <w:r w:rsidRPr="008D61CE">
          <w:rPr>
            <w:sz w:val="22"/>
          </w:rPr>
          <w:t>QA00204 — Selección de operaciones escalonadas</w:t>
        </w:r>
      </w:hyperlink>
    </w:p>
    <w:p w:rsidR="0005656A" w:rsidRPr="008D61CE" w:rsidRDefault="0005656A" w:rsidP="0005656A">
      <w:pPr>
        <w:pStyle w:val="P68B1DB1-Normal5"/>
        <w:shd w:val="clear" w:color="auto" w:fill="FFFFFF"/>
        <w:spacing w:after="0" w:afterAutospacing="1"/>
        <w:ind w:right="-852"/>
        <w:rPr>
          <w:sz w:val="22"/>
        </w:rPr>
      </w:pPr>
      <w:hyperlink r:id="rId213" w:history="1">
        <w:r w:rsidRPr="008D61CE">
          <w:rPr>
            <w:sz w:val="22"/>
          </w:rPr>
          <w:t>QA00219 — Modalidades de las operaciones escalonadas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214" w:history="1">
        <w:r w:rsidRPr="008D61CE">
          <w:rPr>
            <w:sz w:val="22"/>
          </w:rPr>
          <w:t>A00233 — ¿Es necesario que la modificación del programa basada en el artículo 118 bis del RDC esté en consonancia con el acuerdo de asociación?</w:t>
        </w:r>
      </w:hyperlink>
    </w:p>
    <w:p w:rsidR="0005656A" w:rsidRPr="008D61CE" w:rsidRDefault="0005656A" w:rsidP="0005656A">
      <w:pPr>
        <w:pStyle w:val="P68B1DB1-Normal5"/>
        <w:shd w:val="clear" w:color="auto" w:fill="FFFFFF"/>
        <w:spacing w:after="0" w:afterAutospacing="1"/>
        <w:ind w:right="-852"/>
        <w:rPr>
          <w:sz w:val="22"/>
        </w:rPr>
      </w:pPr>
      <w:hyperlink r:id="rId215" w:history="1">
        <w:r w:rsidRPr="008D61CE">
          <w:rPr>
            <w:sz w:val="22"/>
          </w:rPr>
          <w:t>QA00301 — Declarar gastos en el período de programación 2021-2027 para la segunda fase de un gran proyecto escalonado antes de su aprobación por la Comisión en el marco del RDC 2014-2020</w:t>
        </w:r>
      </w:hyperlink>
    </w:p>
    <w:p w:rsidR="0005656A" w:rsidRPr="008D61CE" w:rsidRDefault="0005656A" w:rsidP="0005656A">
      <w:pPr>
        <w:pStyle w:val="P68B1DB1-Normal5"/>
        <w:shd w:val="clear" w:color="auto" w:fill="FFFFFF"/>
        <w:spacing w:after="0" w:afterAutospacing="1"/>
        <w:ind w:right="-852"/>
        <w:rPr>
          <w:sz w:val="22"/>
        </w:rPr>
      </w:pPr>
      <w:hyperlink r:id="rId216" w:history="1">
        <w:r w:rsidRPr="008D61CE">
          <w:rPr>
            <w:sz w:val="22"/>
          </w:rPr>
          <w:t>QA00316 — Códigos del mecanismo de ejecución territorial para proyectos escalonados en virtud del artículo 118 bis del RDC 2021-2027</w:t>
        </w:r>
      </w:hyperlink>
    </w:p>
    <w:p w:rsidR="0005656A" w:rsidRPr="008D61CE" w:rsidRDefault="0005656A" w:rsidP="0005656A">
      <w:pPr>
        <w:pStyle w:val="P68B1DB1-Normal5"/>
        <w:shd w:val="clear" w:color="auto" w:fill="FFFFFF"/>
        <w:spacing w:after="0" w:afterAutospacing="1"/>
        <w:ind w:right="-852"/>
        <w:rPr>
          <w:sz w:val="22"/>
        </w:rPr>
      </w:pPr>
      <w:hyperlink r:id="rId217" w:history="1">
        <w:r w:rsidRPr="008D61CE">
          <w:rPr>
            <w:sz w:val="22"/>
          </w:rPr>
          <w:t>QA00320 — Fase gradual de proyectos para los que se limitó el gasto subvencionable en 2014-2020</w:t>
        </w:r>
      </w:hyperlink>
    </w:p>
    <w:p w:rsidR="0005656A" w:rsidRPr="008D61CE" w:rsidRDefault="0005656A" w:rsidP="0005656A">
      <w:pPr>
        <w:pStyle w:val="P68B1DB1-Normal2"/>
        <w:shd w:val="clear" w:color="auto" w:fill="FFFFFF"/>
        <w:spacing w:before="450" w:after="0"/>
        <w:ind w:right="-852"/>
        <w:outlineLvl w:val="1"/>
        <w:rPr>
          <w:b/>
          <w:sz w:val="32"/>
        </w:rPr>
      </w:pPr>
      <w:r w:rsidRPr="008D61CE">
        <w:rPr>
          <w:b/>
          <w:sz w:val="32"/>
        </w:rPr>
        <w:t>Plataforma de Tecnologías Estratégicas para Europa (STEP)</w:t>
      </w:r>
    </w:p>
    <w:p w:rsidR="0005656A" w:rsidRPr="008D61CE" w:rsidRDefault="0005656A" w:rsidP="0005656A">
      <w:pPr>
        <w:pStyle w:val="P68B1DB1-Normal5"/>
        <w:shd w:val="clear" w:color="auto" w:fill="FFFFFF"/>
        <w:spacing w:after="0" w:afterAutospacing="1"/>
        <w:ind w:right="-852"/>
        <w:rPr>
          <w:sz w:val="22"/>
        </w:rPr>
      </w:pPr>
    </w:p>
    <w:p w:rsidR="0005656A" w:rsidRPr="008D61CE" w:rsidRDefault="0005656A" w:rsidP="0005656A">
      <w:pPr>
        <w:pStyle w:val="P68B1DB1-Normal5"/>
        <w:shd w:val="clear" w:color="auto" w:fill="FFFFFF"/>
        <w:spacing w:after="0" w:afterAutospacing="1"/>
        <w:ind w:right="-852"/>
        <w:rPr>
          <w:sz w:val="22"/>
        </w:rPr>
      </w:pPr>
      <w:hyperlink r:id="rId218"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5"/>
        <w:shd w:val="clear" w:color="auto" w:fill="FFFFFF"/>
        <w:spacing w:after="0" w:afterAutospacing="1"/>
        <w:ind w:right="-852"/>
        <w:rPr>
          <w:sz w:val="22"/>
        </w:rPr>
      </w:pPr>
      <w:hyperlink r:id="rId219" w:history="1">
        <w:r w:rsidRPr="008D61CE">
          <w:rPr>
            <w:sz w:val="22"/>
          </w:rPr>
          <w:t>QA00303 — Ámbito de aplicación de STEP y relación con las normas de subvencionabilidad en el marco de los fondos</w:t>
        </w:r>
      </w:hyperlink>
    </w:p>
    <w:p w:rsidR="0005656A" w:rsidRPr="008D61CE" w:rsidRDefault="0005656A" w:rsidP="0005656A">
      <w:pPr>
        <w:pStyle w:val="P68B1DB1-Normal5"/>
        <w:shd w:val="clear" w:color="auto" w:fill="FFFFFF"/>
        <w:spacing w:after="0" w:afterAutospacing="1"/>
        <w:ind w:right="-852"/>
        <w:rPr>
          <w:sz w:val="22"/>
        </w:rPr>
      </w:pPr>
      <w:hyperlink r:id="rId220" w:history="1">
        <w:r w:rsidRPr="008D61CE">
          <w:rPr>
            <w:sz w:val="22"/>
          </w:rPr>
          <w:t>QA00304 — Preguntas relacionadas con los objetivos climáticos, el límite máximo del 20 % de los recursos del FEDER y la comunicación</w:t>
        </w:r>
      </w:hyperlink>
    </w:p>
    <w:p w:rsidR="0005656A" w:rsidRPr="008D61CE" w:rsidRDefault="0005656A" w:rsidP="0005656A">
      <w:pPr>
        <w:pStyle w:val="P68B1DB1-Normal5"/>
        <w:shd w:val="clear" w:color="auto" w:fill="FFFFFF"/>
        <w:spacing w:after="0" w:afterAutospacing="1"/>
        <w:ind w:right="-852"/>
        <w:rPr>
          <w:sz w:val="22"/>
        </w:rPr>
      </w:pPr>
      <w:hyperlink r:id="rId221" w:history="1">
        <w:r w:rsidRPr="008D61CE">
          <w:rPr>
            <w:sz w:val="22"/>
          </w:rPr>
          <w:t>QA00305 — Preguntas relacionadas con las normas de subvencionabilidad, la fecha de inicio de la subvencionabilidad y los códigos de intervención</w:t>
        </w:r>
      </w:hyperlink>
    </w:p>
    <w:p w:rsidR="0005656A" w:rsidRPr="008D61CE" w:rsidRDefault="0005656A" w:rsidP="0005656A">
      <w:pPr>
        <w:pStyle w:val="P68B1DB1-Normal5"/>
        <w:shd w:val="clear" w:color="auto" w:fill="FFFFFF"/>
        <w:spacing w:after="0" w:afterAutospacing="1"/>
        <w:ind w:right="-852"/>
        <w:rPr>
          <w:sz w:val="22"/>
        </w:rPr>
      </w:pPr>
      <w:hyperlink r:id="rId222" w:history="1">
        <w:r w:rsidRPr="008D61CE">
          <w:rPr>
            <w:sz w:val="22"/>
          </w:rPr>
          <w:t>QA00306 — Preguntas relacionadas con la revisión intermedia</w:t>
        </w:r>
      </w:hyperlink>
    </w:p>
    <w:p w:rsidR="0005656A" w:rsidRPr="008D61CE" w:rsidRDefault="0005656A" w:rsidP="0005656A">
      <w:pPr>
        <w:pStyle w:val="P68B1DB1-Normal5"/>
        <w:shd w:val="clear" w:color="auto" w:fill="FFFFFF"/>
        <w:spacing w:after="0" w:afterAutospacing="1"/>
        <w:ind w:right="-852"/>
        <w:rPr>
          <w:sz w:val="22"/>
        </w:rPr>
      </w:pPr>
      <w:hyperlink r:id="rId223" w:history="1">
        <w:r w:rsidRPr="008D61CE">
          <w:rPr>
            <w:sz w:val="22"/>
          </w:rPr>
          <w:t>QA00307 — Preguntas relacionadas con la modificación del acuerdo de asociación</w:t>
        </w:r>
      </w:hyperlink>
    </w:p>
    <w:p w:rsidR="0005656A" w:rsidRPr="008D61CE" w:rsidRDefault="0005656A" w:rsidP="0005656A">
      <w:pPr>
        <w:pStyle w:val="P68B1DB1-Normal5"/>
        <w:shd w:val="clear" w:color="auto" w:fill="FFFFFF"/>
        <w:spacing w:after="0" w:afterAutospacing="1"/>
        <w:ind w:right="-852"/>
        <w:rPr>
          <w:sz w:val="22"/>
        </w:rPr>
      </w:pPr>
      <w:hyperlink r:id="rId224" w:history="1">
        <w:r w:rsidRPr="008D61CE">
          <w:rPr>
            <w:sz w:val="22"/>
          </w:rPr>
          <w:t>QA00308 — Preguntas relacionadas con la prefinanciación y el porcentaje de cofinanciación</w:t>
        </w:r>
      </w:hyperlink>
    </w:p>
    <w:p w:rsidR="0005656A" w:rsidRPr="008D61CE" w:rsidRDefault="0005656A" w:rsidP="0005656A">
      <w:pPr>
        <w:pStyle w:val="P68B1DB1-Normal5"/>
        <w:shd w:val="clear" w:color="auto" w:fill="FFFFFF"/>
        <w:spacing w:after="0" w:afterAutospacing="1"/>
        <w:ind w:right="-852"/>
        <w:rPr>
          <w:sz w:val="22"/>
        </w:rPr>
      </w:pPr>
      <w:hyperlink r:id="rId225" w:history="1">
        <w:r w:rsidRPr="008D61CE">
          <w:rPr>
            <w:sz w:val="22"/>
          </w:rPr>
          <w:t>QA00309 — Preguntas relacionadas con el SEAL SOVEREIGNTY, sinergias, financiación acumulativa</w:t>
        </w:r>
      </w:hyperlink>
    </w:p>
    <w:p w:rsidR="0005656A" w:rsidRPr="008D61CE" w:rsidRDefault="0005656A" w:rsidP="0005656A">
      <w:pPr>
        <w:pStyle w:val="P68B1DB1-Normal5"/>
        <w:shd w:val="clear" w:color="auto" w:fill="FFFFFF"/>
        <w:spacing w:after="0" w:afterAutospacing="1"/>
        <w:ind w:right="-852"/>
        <w:rPr>
          <w:sz w:val="22"/>
        </w:rPr>
      </w:pPr>
      <w:hyperlink r:id="rId226" w:history="1">
        <w:r w:rsidRPr="008D61CE">
          <w:rPr>
            <w:sz w:val="22"/>
          </w:rPr>
          <w:t>QA00310 — Preguntas relacionadas con aspectos relacionados con las ayudas estatales</w:t>
        </w:r>
      </w:hyperlink>
    </w:p>
    <w:p w:rsidR="0005656A" w:rsidRPr="008D61CE" w:rsidRDefault="0005656A" w:rsidP="0005656A">
      <w:pPr>
        <w:pStyle w:val="P68B1DB1-Normal5"/>
        <w:shd w:val="clear" w:color="auto" w:fill="FFFFFF"/>
        <w:spacing w:after="0" w:afterAutospacing="1"/>
        <w:ind w:right="-852"/>
        <w:rPr>
          <w:sz w:val="22"/>
        </w:rPr>
      </w:pPr>
      <w:hyperlink r:id="rId227" w:history="1">
        <w:r w:rsidRPr="008D61CE">
          <w:rPr>
            <w:sz w:val="22"/>
          </w:rPr>
          <w:t>QA00323 — Inversiones subvencionables en el marco de STEP e implicaciones en materia de ayudas estatales</w:t>
        </w:r>
      </w:hyperlink>
    </w:p>
    <w:p w:rsidR="0005656A" w:rsidRPr="008D61CE" w:rsidRDefault="0005656A" w:rsidP="0005656A">
      <w:pPr>
        <w:pStyle w:val="P68B1DB1-Normal5"/>
        <w:shd w:val="clear" w:color="auto" w:fill="FFFFFF"/>
        <w:spacing w:after="0" w:afterAutospacing="1"/>
        <w:ind w:right="-852"/>
        <w:rPr>
          <w:sz w:val="22"/>
        </w:rPr>
      </w:pPr>
      <w:hyperlink r:id="rId228" w:history="1">
        <w:r w:rsidRPr="008D61CE">
          <w:rPr>
            <w:sz w:val="22"/>
          </w:rPr>
          <w:t>QA00324 — Primas STEP — modificación de los mapas de ayudas regionales</w:t>
        </w:r>
      </w:hyperlink>
    </w:p>
    <w:p w:rsidR="0005656A" w:rsidRPr="008D61CE" w:rsidRDefault="0005656A" w:rsidP="0005656A">
      <w:pPr>
        <w:pStyle w:val="P68B1DB1-Normal5"/>
        <w:shd w:val="clear" w:color="auto" w:fill="FFFFFF"/>
        <w:spacing w:after="0" w:afterAutospacing="1"/>
        <w:ind w:right="-852"/>
        <w:rPr>
          <w:sz w:val="22"/>
        </w:rPr>
      </w:pPr>
      <w:hyperlink r:id="rId229" w:history="1">
        <w:r w:rsidRPr="008D61CE">
          <w:rPr>
            <w:sz w:val="22"/>
          </w:rPr>
          <w:t>QA00325 — Preguntas adicionales de STEP sobre cuestiones relativas a las ayudas estatales</w:t>
        </w:r>
      </w:hyperlink>
    </w:p>
    <w:p w:rsidR="0005656A" w:rsidRPr="008D61CE" w:rsidRDefault="0005656A" w:rsidP="0005656A">
      <w:pPr>
        <w:pStyle w:val="P68B1DB1-Normal5"/>
        <w:shd w:val="clear" w:color="auto" w:fill="FFFFFF"/>
        <w:spacing w:after="0" w:afterAutospacing="1"/>
        <w:ind w:right="-852"/>
        <w:rPr>
          <w:sz w:val="22"/>
        </w:rPr>
      </w:pPr>
      <w:hyperlink r:id="rId230" w:history="1">
        <w:r w:rsidRPr="008D61CE">
          <w:rPr>
            <w:sz w:val="22"/>
          </w:rPr>
          <w:t>QA00326 — Normas de aplicación de las primas STEP</w:t>
        </w:r>
      </w:hyperlink>
    </w:p>
    <w:p w:rsidR="0005656A" w:rsidRPr="008D61CE" w:rsidRDefault="0005656A" w:rsidP="0005656A">
      <w:pPr>
        <w:pStyle w:val="P68B1DB1-Normal5"/>
        <w:shd w:val="clear" w:color="auto" w:fill="FFFFFF"/>
        <w:spacing w:after="0" w:afterAutospacing="1"/>
        <w:ind w:right="-852"/>
        <w:rPr>
          <w:sz w:val="22"/>
        </w:rPr>
      </w:pPr>
      <w:hyperlink r:id="rId231" w:history="1">
        <w:r w:rsidRPr="008D61CE">
          <w:rPr>
            <w:sz w:val="22"/>
          </w:rPr>
          <w:t>QA00327 — Tecnologías STEP</w:t>
        </w:r>
      </w:hyperlink>
    </w:p>
    <w:p w:rsidR="0005656A" w:rsidRPr="008D61CE" w:rsidRDefault="0005656A" w:rsidP="0005656A">
      <w:pPr>
        <w:pStyle w:val="P68B1DB1-Normal5"/>
        <w:shd w:val="clear" w:color="auto" w:fill="FFFFFF"/>
        <w:spacing w:after="0" w:afterAutospacing="1"/>
        <w:ind w:right="-852"/>
        <w:rPr>
          <w:sz w:val="22"/>
        </w:rPr>
      </w:pPr>
      <w:hyperlink r:id="rId232" w:history="1">
        <w:r w:rsidRPr="008D61CE">
          <w:rPr>
            <w:sz w:val="22"/>
          </w:rPr>
          <w:t>QA00328 — STEP — Ayudas estatales — varios</w:t>
        </w:r>
      </w:hyperlink>
    </w:p>
    <w:p w:rsidR="0005656A" w:rsidRPr="008D61CE" w:rsidRDefault="0005656A" w:rsidP="0005656A">
      <w:pPr>
        <w:pStyle w:val="P68B1DB1-Normal5"/>
        <w:shd w:val="clear" w:color="auto" w:fill="FFFFFF"/>
        <w:spacing w:after="0" w:afterAutospacing="1"/>
        <w:ind w:right="-852"/>
        <w:rPr>
          <w:sz w:val="22"/>
        </w:rPr>
      </w:pPr>
      <w:hyperlink r:id="rId233" w:history="1">
        <w:r w:rsidRPr="008D61CE">
          <w:rPr>
            <w:sz w:val="22"/>
          </w:rPr>
          <w:t>QA00329 — Tecnologías STEP — grandes empresas — admisibilidad de las convocatorias de propuestas</w:t>
        </w:r>
      </w:hyperlink>
    </w:p>
    <w:p w:rsidR="0005656A" w:rsidRPr="008D61CE" w:rsidRDefault="0005656A" w:rsidP="0005656A">
      <w:pPr>
        <w:pStyle w:val="P68B1DB1-Normal2"/>
        <w:shd w:val="clear" w:color="auto" w:fill="FFFFFF"/>
        <w:spacing w:before="450" w:after="0"/>
        <w:ind w:right="-852"/>
        <w:outlineLvl w:val="1"/>
        <w:rPr>
          <w:b/>
          <w:sz w:val="32"/>
        </w:rPr>
      </w:pPr>
      <w:r w:rsidRPr="008D61CE">
        <w:rPr>
          <w:b/>
          <w:sz w:val="32"/>
        </w:rPr>
        <w:t>Fondo Europeo Marítimo, de Pesca y de Acuicultura (FEMPA)</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(0) CONSIDERANDOS</w:t>
      </w:r>
    </w:p>
    <w:p w:rsidR="0005656A" w:rsidRPr="008D61CE" w:rsidRDefault="0005656A" w:rsidP="0005656A">
      <w:pPr>
        <w:pStyle w:val="P68B1DB1-Normal5"/>
        <w:shd w:val="clear" w:color="auto" w:fill="FFFFFF"/>
        <w:spacing w:after="0" w:afterAutospacing="1"/>
        <w:ind w:right="-852"/>
        <w:rPr>
          <w:sz w:val="22"/>
        </w:rPr>
      </w:pPr>
      <w:hyperlink r:id="rId234" w:history="1">
        <w:r w:rsidRPr="008D61CE">
          <w:rPr>
            <w:sz w:val="22"/>
          </w:rPr>
          <w:t>QA573: FEMPA Métodos alternativos de pesca</w:t>
        </w:r>
      </w:hyperlink>
    </w:p>
    <w:p w:rsidR="0005656A" w:rsidRPr="008D61CE" w:rsidRDefault="0005656A" w:rsidP="0005656A">
      <w:pPr>
        <w:pStyle w:val="P68B1DB1-Normal3"/>
        <w:shd w:val="clear" w:color="auto" w:fill="FFFFFF"/>
        <w:spacing w:after="0"/>
        <w:ind w:right="-852"/>
        <w:rPr>
          <w:b/>
          <w:sz w:val="20"/>
        </w:rPr>
      </w:pPr>
      <w:r w:rsidRPr="008D61CE">
        <w:rPr>
          <w:b/>
          <w:sz w:val="20"/>
        </w:rPr>
        <w:t>(1) EL MARCO GENERAL</w:t>
      </w:r>
    </w:p>
    <w:p w:rsidR="0005656A" w:rsidRPr="008D61CE" w:rsidRDefault="0005656A" w:rsidP="0005656A">
      <w:pPr>
        <w:pStyle w:val="P68B1DB1-Normal3"/>
        <w:shd w:val="clear" w:color="auto" w:fill="FFFFFF"/>
        <w:spacing w:after="0"/>
        <w:ind w:right="-852"/>
        <w:rPr>
          <w:b/>
          <w:sz w:val="20"/>
        </w:rPr>
      </w:pPr>
      <w:r w:rsidRPr="008D61CE">
        <w:rPr>
          <w:b/>
          <w:sz w:val="20"/>
        </w:rPr>
        <w:t>(1) Disposiciones generales.</w:t>
      </w:r>
    </w:p>
    <w:p w:rsidR="0005656A" w:rsidRPr="008D61CE" w:rsidRDefault="0005656A" w:rsidP="0005656A">
      <w:pPr>
        <w:pStyle w:val="P68B1DB1-Normal5"/>
        <w:shd w:val="clear" w:color="auto" w:fill="FFFFFF"/>
        <w:spacing w:after="0" w:afterAutospacing="1"/>
        <w:ind w:right="-852"/>
        <w:rPr>
          <w:sz w:val="22"/>
        </w:rPr>
      </w:pPr>
      <w:hyperlink r:id="rId235" w:history="1">
        <w:r w:rsidRPr="008D61CE">
          <w:rPr>
            <w:sz w:val="22"/>
          </w:rPr>
          <w:t>QA696: FEMPA Intensidad máxima de la ayuda para los buques de pesca interior</w:t>
        </w:r>
      </w:hyperlink>
    </w:p>
    <w:p w:rsidR="0005656A" w:rsidRPr="008D61CE" w:rsidRDefault="0005656A" w:rsidP="0005656A">
      <w:pPr>
        <w:pStyle w:val="P68B1DB1-Normal3"/>
        <w:shd w:val="clear" w:color="auto" w:fill="FFFFFF"/>
        <w:spacing w:after="0"/>
        <w:ind w:right="-852"/>
        <w:rPr>
          <w:b/>
          <w:sz w:val="20"/>
        </w:rPr>
      </w:pPr>
      <w:r w:rsidRPr="008D61CE">
        <w:rPr>
          <w:b/>
          <w:sz w:val="20"/>
        </w:rPr>
        <w:t>(2) Financiero plurianual</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(3) Programación</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(2) APOYO EN RÉGIMEN DE GESTIÓN COMPARTIDA</w:t>
      </w:r>
    </w:p>
    <w:p w:rsidR="0005656A" w:rsidRPr="008D61CE" w:rsidRDefault="0005656A" w:rsidP="0005656A">
      <w:pPr>
        <w:pStyle w:val="P68B1DB1-Normal3"/>
        <w:shd w:val="clear" w:color="auto" w:fill="FFFFFF"/>
        <w:spacing w:after="0"/>
        <w:ind w:right="-852"/>
        <w:rPr>
          <w:b/>
          <w:sz w:val="20"/>
        </w:rPr>
      </w:pPr>
      <w:r w:rsidRPr="008D61CE">
        <w:rPr>
          <w:b/>
          <w:sz w:val="20"/>
        </w:rPr>
        <w:t>(1) Principios generales de apoyo</w:t>
      </w:r>
    </w:p>
    <w:p w:rsidR="0005656A" w:rsidRPr="008D61CE" w:rsidRDefault="0005656A" w:rsidP="0005656A">
      <w:pPr>
        <w:pStyle w:val="P68B1DB1-Normal5"/>
        <w:shd w:val="clear" w:color="auto" w:fill="FFFFFF"/>
        <w:spacing w:after="0" w:afterAutospacing="1"/>
        <w:ind w:right="-852"/>
        <w:rPr>
          <w:sz w:val="22"/>
        </w:rPr>
      </w:pPr>
      <w:hyperlink r:id="rId236" w:history="1">
        <w:r w:rsidRPr="008D61CE">
          <w:rPr>
            <w:sz w:val="22"/>
          </w:rPr>
          <w:t>QA593 FEMPA Eligibilidad del apoyo a la formación</w:t>
        </w:r>
      </w:hyperlink>
    </w:p>
    <w:p w:rsidR="0005656A" w:rsidRPr="008D61CE" w:rsidRDefault="0005656A" w:rsidP="0005656A">
      <w:pPr>
        <w:pStyle w:val="P68B1DB1-Normal5"/>
        <w:shd w:val="clear" w:color="auto" w:fill="FFFFFF"/>
        <w:spacing w:after="0" w:afterAutospacing="1"/>
        <w:ind w:right="-852"/>
        <w:rPr>
          <w:sz w:val="22"/>
        </w:rPr>
      </w:pPr>
      <w:hyperlink r:id="rId237" w:history="1">
        <w:r w:rsidRPr="008D61CE">
          <w:rPr>
            <w:sz w:val="22"/>
          </w:rPr>
          <w:t>QA594: FEMPA Inversiones a bordo de buques pesqueros</w:t>
        </w:r>
      </w:hyperlink>
    </w:p>
    <w:p w:rsidR="0005656A" w:rsidRPr="008D61CE" w:rsidRDefault="0005656A" w:rsidP="0005656A">
      <w:pPr>
        <w:pStyle w:val="P68B1DB1-Normal5"/>
        <w:shd w:val="clear" w:color="auto" w:fill="FFFFFF"/>
        <w:spacing w:after="0" w:afterAutospacing="1"/>
        <w:ind w:right="-852"/>
        <w:rPr>
          <w:sz w:val="22"/>
        </w:rPr>
      </w:pPr>
      <w:hyperlink r:id="rId238" w:history="1">
        <w:r w:rsidRPr="008D61CE">
          <w:rPr>
            <w:sz w:val="22"/>
          </w:rPr>
          <w:t>QA616: FEMPA Autorización de ayudas estatales necesaria en el marco del FEMPA</w:t>
        </w:r>
      </w:hyperlink>
    </w:p>
    <w:p w:rsidR="0005656A" w:rsidRPr="008D61CE" w:rsidRDefault="0005656A" w:rsidP="0005656A">
      <w:pPr>
        <w:pStyle w:val="P68B1DB1-Normal5"/>
        <w:shd w:val="clear" w:color="auto" w:fill="FFFFFF"/>
        <w:spacing w:after="0" w:afterAutospacing="1"/>
        <w:ind w:right="-852"/>
        <w:rPr>
          <w:sz w:val="22"/>
        </w:rPr>
      </w:pPr>
      <w:hyperlink r:id="rId239" w:history="1">
        <w:r w:rsidRPr="008D61CE">
          <w:rPr>
            <w:sz w:val="22"/>
          </w:rPr>
          <w:t>QA626: FEMPA Autorización de ayudas estatales necesaria en el marco del FEMPA</w:t>
        </w:r>
      </w:hyperlink>
    </w:p>
    <w:p w:rsidR="0005656A" w:rsidRPr="008D61CE" w:rsidRDefault="0005656A" w:rsidP="0005656A">
      <w:pPr>
        <w:pStyle w:val="P68B1DB1-Normal5"/>
        <w:shd w:val="clear" w:color="auto" w:fill="FFFFFF"/>
        <w:spacing w:after="0" w:afterAutospacing="1"/>
        <w:ind w:right="-852"/>
        <w:rPr>
          <w:sz w:val="22"/>
        </w:rPr>
      </w:pPr>
      <w:hyperlink r:id="rId240" w:history="1">
        <w:r w:rsidRPr="008D61CE">
          <w:rPr>
            <w:sz w:val="22"/>
          </w:rPr>
          <w:t>QA640: FEMPA Modernización de los buques pesqueros de más de 12 m en el marco del FEMPA</w:t>
        </w:r>
      </w:hyperlink>
    </w:p>
    <w:p w:rsidR="0005656A" w:rsidRPr="008D61CE" w:rsidRDefault="0005656A" w:rsidP="0005656A">
      <w:pPr>
        <w:pStyle w:val="P68B1DB1-Normal5"/>
        <w:shd w:val="clear" w:color="auto" w:fill="FFFFFF"/>
        <w:spacing w:after="0" w:afterAutospacing="1"/>
        <w:ind w:right="-852"/>
        <w:rPr>
          <w:sz w:val="22"/>
        </w:rPr>
      </w:pPr>
      <w:hyperlink r:id="rId241" w:history="1">
        <w:r w:rsidRPr="008D61CE">
          <w:rPr>
            <w:sz w:val="22"/>
          </w:rPr>
          <w:t>QA649: FEMPA Interpretación del artículo 13 y 14 del FEMPA</w:t>
        </w:r>
      </w:hyperlink>
    </w:p>
    <w:p w:rsidR="0005656A" w:rsidRPr="008D61CE" w:rsidRDefault="0005656A" w:rsidP="0005656A">
      <w:pPr>
        <w:pStyle w:val="P68B1DB1-Normal5"/>
        <w:shd w:val="clear" w:color="auto" w:fill="FFFFFF"/>
        <w:spacing w:after="0" w:afterAutospacing="1"/>
        <w:ind w:right="-852"/>
        <w:rPr>
          <w:sz w:val="22"/>
        </w:rPr>
      </w:pPr>
      <w:hyperlink r:id="rId242" w:history="1">
        <w:r w:rsidRPr="008D61CE">
          <w:rPr>
            <w:sz w:val="22"/>
          </w:rPr>
          <w:t>QA658: FEMPA/ayuda estatal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QA658: FEMPA </w:t>
      </w:r>
      <w:hyperlink r:id="rId243" w:history="1">
        <w:r w:rsidRPr="008D61CE">
          <w:rPr>
            <w:sz w:val="22"/>
          </w:rPr>
          <w:t>Operaciones/Aumento del arqueo bruto de un buque pesquero</w:t>
        </w:r>
      </w:hyperlink>
    </w:p>
    <w:p w:rsidR="0005656A" w:rsidRPr="008D61CE" w:rsidRDefault="0005656A" w:rsidP="0005656A">
      <w:pPr>
        <w:pStyle w:val="P68B1DB1-Normal5"/>
        <w:shd w:val="clear" w:color="auto" w:fill="FFFFFF"/>
        <w:spacing w:after="0" w:afterAutospacing="1"/>
        <w:ind w:right="-852"/>
        <w:rPr>
          <w:sz w:val="22"/>
        </w:rPr>
      </w:pPr>
      <w:hyperlink r:id="rId244" w:history="1">
        <w:r w:rsidRPr="008D61CE">
          <w:rPr>
            <w:sz w:val="22"/>
          </w:rPr>
          <w:t>QA662 FEMPA Eligibilidad de la inversión en buques</w:t>
        </w:r>
      </w:hyperlink>
    </w:p>
    <w:p w:rsidR="0005656A" w:rsidRPr="008D61CE" w:rsidRDefault="0005656A" w:rsidP="0005656A">
      <w:pPr>
        <w:pStyle w:val="P68B1DB1-Normal5"/>
        <w:shd w:val="clear" w:color="auto" w:fill="FFFFFF"/>
        <w:spacing w:after="0" w:afterAutospacing="1"/>
        <w:ind w:right="-852"/>
        <w:rPr>
          <w:sz w:val="22"/>
        </w:rPr>
      </w:pPr>
      <w:hyperlink r:id="rId245" w:history="1">
        <w:r w:rsidRPr="008D61CE">
          <w:rPr>
            <w:sz w:val="22"/>
          </w:rPr>
          <w:t>QA665 FEMPA Ayuda estatal/FEMPA</w:t>
        </w:r>
      </w:hyperlink>
    </w:p>
    <w:p w:rsidR="0005656A" w:rsidRPr="008D61CE" w:rsidRDefault="0005656A" w:rsidP="0005656A">
      <w:pPr>
        <w:pStyle w:val="P68B1DB1-Normal5"/>
        <w:shd w:val="clear" w:color="auto" w:fill="FFFFFF"/>
        <w:spacing w:after="0" w:afterAutospacing="1"/>
        <w:ind w:right="-852"/>
        <w:rPr>
          <w:sz w:val="22"/>
        </w:rPr>
      </w:pPr>
      <w:hyperlink r:id="rId246" w:history="1">
        <w:r w:rsidRPr="008D61CE">
          <w:rPr>
            <w:sz w:val="22"/>
          </w:rPr>
          <w:t>QA677: FEMPA Inversiones a bordo de buques pesqueros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247" w:history="1">
        <w:r w:rsidRPr="008D61CE">
          <w:rPr>
            <w:sz w:val="22"/>
          </w:rPr>
          <w:t>A680 FEMPA FEMPA/Ayuda estatal</w:t>
        </w:r>
      </w:hyperlink>
    </w:p>
    <w:p w:rsidR="0005656A" w:rsidRPr="008D61CE" w:rsidRDefault="0005656A" w:rsidP="0005656A">
      <w:pPr>
        <w:pStyle w:val="P68B1DB1-Normal5"/>
        <w:shd w:val="clear" w:color="auto" w:fill="FFFFFF"/>
        <w:spacing w:after="0" w:afterAutospacing="1"/>
        <w:ind w:right="-852"/>
        <w:rPr>
          <w:sz w:val="22"/>
        </w:rPr>
      </w:pPr>
      <w:hyperlink r:id="rId248" w:history="1">
        <w:r w:rsidRPr="008D61CE">
          <w:rPr>
            <w:sz w:val="22"/>
          </w:rPr>
          <w:t>QA688 FEMPA Ayuda estatal</w:t>
        </w:r>
      </w:hyperlink>
    </w:p>
    <w:p w:rsidR="0005656A" w:rsidRPr="008D61CE" w:rsidRDefault="0005656A" w:rsidP="0005656A">
      <w:pPr>
        <w:pStyle w:val="P68B1DB1-Normal5"/>
        <w:shd w:val="clear" w:color="auto" w:fill="FFFFFF"/>
        <w:spacing w:after="0" w:afterAutospacing="1"/>
        <w:ind w:right="-852"/>
        <w:rPr>
          <w:sz w:val="22"/>
        </w:rPr>
      </w:pPr>
      <w:hyperlink r:id="rId249" w:history="1">
        <w:r w:rsidRPr="008D61CE">
          <w:rPr>
            <w:sz w:val="22"/>
          </w:rPr>
          <w:t>QA691 FEMPA Eficiencia energética</w:t>
        </w:r>
      </w:hyperlink>
    </w:p>
    <w:p w:rsidR="0005656A" w:rsidRPr="008D61CE" w:rsidRDefault="0005656A" w:rsidP="0005656A">
      <w:pPr>
        <w:pStyle w:val="P68B1DB1-Normal5"/>
        <w:shd w:val="clear" w:color="auto" w:fill="FFFFFF"/>
        <w:spacing w:after="0" w:afterAutospacing="1"/>
        <w:ind w:right="-852"/>
        <w:rPr>
          <w:sz w:val="22"/>
        </w:rPr>
      </w:pPr>
      <w:hyperlink r:id="rId250" w:history="1">
        <w:r w:rsidRPr="008D61CE">
          <w:rPr>
            <w:sz w:val="22"/>
          </w:rPr>
          <w:t>QA693: FEMPA interpretación del artículo 11</w:t>
        </w:r>
      </w:hyperlink>
    </w:p>
    <w:p w:rsidR="0005656A" w:rsidRPr="008D61CE" w:rsidRDefault="0005656A" w:rsidP="0005656A">
      <w:pPr>
        <w:pStyle w:val="P68B1DB1-Normal5"/>
        <w:shd w:val="clear" w:color="auto" w:fill="FFFFFF"/>
        <w:spacing w:after="0" w:afterAutospacing="1"/>
        <w:ind w:right="-852"/>
        <w:rPr>
          <w:sz w:val="22"/>
        </w:rPr>
      </w:pPr>
      <w:hyperlink r:id="rId251" w:history="1">
        <w:r w:rsidRPr="008D61CE">
          <w:rPr>
            <w:sz w:val="22"/>
          </w:rPr>
          <w:t>QA721 FEMPA Ayudas estatales y verificación de empresas en crisis, incluidas las pymes</w:t>
        </w:r>
      </w:hyperlink>
    </w:p>
    <w:p w:rsidR="0005656A" w:rsidRPr="008D61CE" w:rsidRDefault="0005656A" w:rsidP="0005656A">
      <w:pPr>
        <w:pStyle w:val="P68B1DB1-Normal3"/>
        <w:shd w:val="clear" w:color="auto" w:fill="FFFFFF"/>
        <w:spacing w:after="0"/>
        <w:ind w:right="-852"/>
        <w:rPr>
          <w:b/>
          <w:sz w:val="20"/>
        </w:rPr>
      </w:pPr>
      <w:r w:rsidRPr="008D61CE">
        <w:rPr>
          <w:b/>
          <w:sz w:val="20"/>
        </w:rPr>
        <w:t>(2) Prioridad 1: Fomentar una pesca sostenible y la recuperación y conservación de los recursos biológicos acuáticos</w:t>
      </w:r>
    </w:p>
    <w:p w:rsidR="0005656A" w:rsidRPr="008D61CE" w:rsidRDefault="0005656A" w:rsidP="0005656A">
      <w:pPr>
        <w:pStyle w:val="P68B1DB1-Normal5"/>
        <w:shd w:val="clear" w:color="auto" w:fill="FFFFFF"/>
        <w:spacing w:after="0" w:afterAutospacing="1"/>
        <w:ind w:right="-852"/>
        <w:rPr>
          <w:sz w:val="22"/>
        </w:rPr>
      </w:pPr>
      <w:hyperlink r:id="rId252" w:history="1">
        <w:r w:rsidRPr="008D61CE">
          <w:rPr>
            <w:sz w:val="22"/>
          </w:rPr>
          <w:t>QA585: FEMPA Primera adquisición de un buque pesquero (registro en la flota de la UE)</w:t>
        </w:r>
      </w:hyperlink>
    </w:p>
    <w:p w:rsidR="0005656A" w:rsidRPr="008D61CE" w:rsidRDefault="0005656A" w:rsidP="0005656A">
      <w:pPr>
        <w:pStyle w:val="P68B1DB1-Normal5"/>
        <w:shd w:val="clear" w:color="auto" w:fill="FFFFFF"/>
        <w:spacing w:after="0" w:afterAutospacing="1"/>
        <w:ind w:right="-852"/>
        <w:rPr>
          <w:sz w:val="22"/>
        </w:rPr>
      </w:pPr>
      <w:hyperlink r:id="rId253" w:history="1">
        <w:r w:rsidRPr="008D61CE">
          <w:rPr>
            <w:sz w:val="22"/>
          </w:rPr>
          <w:t>QA587: FEMPA Apoyo a la recogida de datos</w:t>
        </w:r>
      </w:hyperlink>
    </w:p>
    <w:p w:rsidR="0005656A" w:rsidRPr="008D61CE" w:rsidRDefault="0005656A" w:rsidP="0005656A">
      <w:pPr>
        <w:pStyle w:val="P68B1DB1-Normal5"/>
        <w:shd w:val="clear" w:color="auto" w:fill="FFFFFF"/>
        <w:spacing w:after="0" w:afterAutospacing="1"/>
        <w:ind w:right="-852"/>
        <w:rPr>
          <w:sz w:val="22"/>
        </w:rPr>
      </w:pPr>
      <w:hyperlink r:id="rId254" w:history="1">
        <w:r w:rsidRPr="008D61CE">
          <w:rPr>
            <w:sz w:val="22"/>
          </w:rPr>
          <w:t>QA606 FEMPA Aclaración de los gastos de control</w:t>
        </w:r>
      </w:hyperlink>
    </w:p>
    <w:p w:rsidR="0005656A" w:rsidRPr="008D61CE" w:rsidRDefault="0005656A" w:rsidP="0005656A">
      <w:pPr>
        <w:pStyle w:val="P68B1DB1-Normal5"/>
        <w:shd w:val="clear" w:color="auto" w:fill="FFFFFF"/>
        <w:spacing w:after="0" w:afterAutospacing="1"/>
        <w:ind w:right="-852"/>
        <w:rPr>
          <w:sz w:val="22"/>
        </w:rPr>
      </w:pPr>
      <w:hyperlink r:id="rId255" w:history="1">
        <w:r w:rsidRPr="008D61CE">
          <w:rPr>
            <w:sz w:val="22"/>
          </w:rPr>
          <w:t>QA611: FEMPA Presentación de programas</w:t>
        </w:r>
      </w:hyperlink>
    </w:p>
    <w:p w:rsidR="0005656A" w:rsidRPr="008D61CE" w:rsidRDefault="0005656A" w:rsidP="0005656A">
      <w:pPr>
        <w:pStyle w:val="P68B1DB1-Normal5"/>
        <w:shd w:val="clear" w:color="auto" w:fill="FFFFFF"/>
        <w:spacing w:after="0" w:afterAutospacing="1"/>
        <w:ind w:right="-852"/>
        <w:rPr>
          <w:sz w:val="22"/>
        </w:rPr>
      </w:pPr>
      <w:hyperlink r:id="rId256" w:history="1">
        <w:r w:rsidRPr="008D61CE">
          <w:rPr>
            <w:sz w:val="22"/>
          </w:rPr>
          <w:t xml:space="preserve">QA614: FEMPA El cese permanente con </w:t>
        </w:r>
        <w:proofErr w:type="spellStart"/>
        <w:r w:rsidRPr="008D61CE">
          <w:rPr>
            <w:sz w:val="22"/>
          </w:rPr>
          <w:t>retroadaptación</w:t>
        </w:r>
        <w:proofErr w:type="spellEnd"/>
        <w:r w:rsidRPr="008D61CE">
          <w:rPr>
            <w:sz w:val="22"/>
          </w:rPr>
          <w:t xml:space="preserve"> en el marco del plan plurianual para el Báltico y el FEMPA</w:t>
        </w:r>
      </w:hyperlink>
    </w:p>
    <w:p w:rsidR="0005656A" w:rsidRPr="008D61CE" w:rsidRDefault="0005656A" w:rsidP="0005656A">
      <w:pPr>
        <w:pStyle w:val="P68B1DB1-Normal5"/>
        <w:shd w:val="clear" w:color="auto" w:fill="FFFFFF"/>
        <w:spacing w:after="0" w:afterAutospacing="1"/>
        <w:ind w:right="-852"/>
        <w:rPr>
          <w:sz w:val="22"/>
        </w:rPr>
      </w:pPr>
      <w:hyperlink r:id="rId257" w:history="1">
        <w:r w:rsidRPr="008D61CE">
          <w:rPr>
            <w:sz w:val="22"/>
          </w:rPr>
          <w:t>QA618: FEMPA Utilización del FEMPA para cofinanciar campañas de sensibilización sobre la basura marina</w:t>
        </w:r>
      </w:hyperlink>
    </w:p>
    <w:p w:rsidR="0005656A" w:rsidRPr="008D61CE" w:rsidRDefault="0005656A" w:rsidP="0005656A">
      <w:pPr>
        <w:pStyle w:val="P68B1DB1-Normal5"/>
        <w:shd w:val="clear" w:color="auto" w:fill="FFFFFF"/>
        <w:spacing w:after="0" w:afterAutospacing="1"/>
        <w:ind w:right="-852"/>
        <w:rPr>
          <w:sz w:val="22"/>
        </w:rPr>
      </w:pPr>
      <w:hyperlink r:id="rId258" w:history="1">
        <w:r w:rsidRPr="008D61CE">
          <w:rPr>
            <w:sz w:val="22"/>
          </w:rPr>
          <w:t>QA619: FEMPA Aprobación temporal en el marco del FEMPA</w:t>
        </w:r>
      </w:hyperlink>
    </w:p>
    <w:p w:rsidR="0005656A" w:rsidRPr="008D61CE" w:rsidRDefault="0005656A" w:rsidP="0005656A">
      <w:pPr>
        <w:pStyle w:val="P68B1DB1-Normal5"/>
        <w:shd w:val="clear" w:color="auto" w:fill="FFFFFF"/>
        <w:spacing w:after="0" w:afterAutospacing="1"/>
        <w:ind w:right="-852"/>
        <w:rPr>
          <w:sz w:val="22"/>
        </w:rPr>
      </w:pPr>
      <w:hyperlink r:id="rId259" w:history="1">
        <w:r w:rsidRPr="008D61CE">
          <w:rPr>
            <w:sz w:val="22"/>
          </w:rPr>
          <w:t>QA627: FEMPA Utilización del FEMPA para cofinanciar la transformación en tierra de la basura marina recogida</w:t>
        </w:r>
      </w:hyperlink>
    </w:p>
    <w:p w:rsidR="0005656A" w:rsidRPr="008D61CE" w:rsidRDefault="0005656A" w:rsidP="0005656A">
      <w:pPr>
        <w:pStyle w:val="P68B1DB1-Normal5"/>
        <w:shd w:val="clear" w:color="auto" w:fill="FFFFFF"/>
        <w:spacing w:after="0" w:afterAutospacing="1"/>
        <w:ind w:right="-852"/>
        <w:rPr>
          <w:sz w:val="22"/>
        </w:rPr>
      </w:pPr>
      <w:hyperlink r:id="rId260" w:history="1">
        <w:r w:rsidRPr="008D61CE">
          <w:rPr>
            <w:sz w:val="22"/>
          </w:rPr>
          <w:t>QA644: FEMPA Interpretación de determinadas disposiciones del FEMPA con vistas a una programación correcta</w:t>
        </w:r>
      </w:hyperlink>
    </w:p>
    <w:p w:rsidR="0005656A" w:rsidRPr="008D61CE" w:rsidRDefault="0005656A" w:rsidP="0005656A">
      <w:pPr>
        <w:pStyle w:val="P68B1DB1-Normal5"/>
        <w:shd w:val="clear" w:color="auto" w:fill="FFFFFF"/>
        <w:spacing w:after="0" w:afterAutospacing="1"/>
        <w:ind w:right="-852"/>
        <w:rPr>
          <w:sz w:val="22"/>
        </w:rPr>
      </w:pPr>
      <w:hyperlink r:id="rId261" w:history="1">
        <w:r w:rsidRPr="008D61CE">
          <w:rPr>
            <w:sz w:val="22"/>
          </w:rPr>
          <w:t>QA647: FEMPA Art. 18 sustitución del motor — verificación</w:t>
        </w:r>
      </w:hyperlink>
    </w:p>
    <w:p w:rsidR="0005656A" w:rsidRPr="008D61CE" w:rsidRDefault="0005656A" w:rsidP="0005656A">
      <w:pPr>
        <w:pStyle w:val="P68B1DB1-Normal5"/>
        <w:shd w:val="clear" w:color="auto" w:fill="FFFFFF"/>
        <w:spacing w:after="0" w:afterAutospacing="1"/>
        <w:ind w:right="-852"/>
        <w:rPr>
          <w:sz w:val="22"/>
        </w:rPr>
      </w:pPr>
      <w:hyperlink r:id="rId262" w:history="1">
        <w:r w:rsidRPr="008D61CE">
          <w:rPr>
            <w:sz w:val="22"/>
          </w:rPr>
          <w:t>QA648: FEMPA Art. 21 (3) del Reglamento FEMPA</w:t>
        </w:r>
      </w:hyperlink>
    </w:p>
    <w:p w:rsidR="0005656A" w:rsidRPr="008D61CE" w:rsidRDefault="0005656A" w:rsidP="0005656A">
      <w:pPr>
        <w:pStyle w:val="P68B1DB1-Normal5"/>
        <w:shd w:val="clear" w:color="auto" w:fill="FFFFFF"/>
        <w:spacing w:after="0" w:afterAutospacing="1"/>
        <w:ind w:right="-852"/>
        <w:rPr>
          <w:sz w:val="22"/>
        </w:rPr>
      </w:pPr>
      <w:hyperlink r:id="rId263" w:history="1">
        <w:r w:rsidRPr="008D61CE">
          <w:rPr>
            <w:sz w:val="22"/>
          </w:rPr>
          <w:t>QA651: FEMPA elegibilidad de la ayuda para la colocación de un catalizador de nitrógeno en los buques pesqueros</w:t>
        </w:r>
      </w:hyperlink>
    </w:p>
    <w:p w:rsidR="0005656A" w:rsidRPr="008D61CE" w:rsidRDefault="0005656A" w:rsidP="0005656A">
      <w:pPr>
        <w:pStyle w:val="P68B1DB1-Normal5"/>
        <w:shd w:val="clear" w:color="auto" w:fill="FFFFFF"/>
        <w:spacing w:after="0" w:afterAutospacing="1"/>
        <w:ind w:right="-852"/>
        <w:rPr>
          <w:sz w:val="22"/>
        </w:rPr>
      </w:pPr>
      <w:hyperlink r:id="rId264" w:history="1">
        <w:r w:rsidRPr="008D61CE">
          <w:rPr>
            <w:sz w:val="22"/>
          </w:rPr>
          <w:t>QA656: FEMPA Paralización temporal</w:t>
        </w:r>
      </w:hyperlink>
    </w:p>
    <w:p w:rsidR="0005656A" w:rsidRPr="008D61CE" w:rsidRDefault="0005656A" w:rsidP="0005656A">
      <w:pPr>
        <w:pStyle w:val="P68B1DB1-Normal5"/>
        <w:shd w:val="clear" w:color="auto" w:fill="FFFFFF"/>
        <w:spacing w:after="0" w:afterAutospacing="1"/>
        <w:ind w:right="-852"/>
        <w:rPr>
          <w:sz w:val="22"/>
        </w:rPr>
      </w:pPr>
      <w:hyperlink r:id="rId265" w:history="1">
        <w:r w:rsidRPr="008D61CE">
          <w:rPr>
            <w:sz w:val="22"/>
          </w:rPr>
          <w:t>QA691 FEMPA Eficiencia energética</w:t>
        </w:r>
      </w:hyperlink>
    </w:p>
    <w:p w:rsidR="0005656A" w:rsidRPr="008D61CE" w:rsidRDefault="0005656A" w:rsidP="0005656A">
      <w:pPr>
        <w:pStyle w:val="P68B1DB1-Normal5"/>
        <w:shd w:val="clear" w:color="auto" w:fill="FFFFFF"/>
        <w:spacing w:after="0" w:afterAutospacing="1"/>
        <w:ind w:right="-852"/>
        <w:rPr>
          <w:sz w:val="22"/>
        </w:rPr>
      </w:pPr>
      <w:hyperlink r:id="rId266" w:history="1">
        <w:r w:rsidRPr="008D61CE">
          <w:rPr>
            <w:sz w:val="22"/>
          </w:rPr>
          <w:t>QA700: Apoyo a la paralización definitiva de las actividades pesqueras</w:t>
        </w:r>
      </w:hyperlink>
    </w:p>
    <w:p w:rsidR="0005656A" w:rsidRPr="008D61CE" w:rsidRDefault="0005656A" w:rsidP="0005656A">
      <w:pPr>
        <w:pStyle w:val="P68B1DB1-Normal5"/>
        <w:shd w:val="clear" w:color="auto" w:fill="FFFFFF"/>
        <w:spacing w:after="0" w:afterAutospacing="1"/>
        <w:ind w:right="-852"/>
        <w:rPr>
          <w:sz w:val="22"/>
        </w:rPr>
      </w:pPr>
      <w:hyperlink r:id="rId267" w:history="1">
        <w:r w:rsidRPr="008D61CE">
          <w:rPr>
            <w:sz w:val="22"/>
          </w:rPr>
          <w:t xml:space="preserve">QA702: FEMPA </w:t>
        </w:r>
        <w:proofErr w:type="spellStart"/>
        <w:r w:rsidRPr="008D61CE">
          <w:rPr>
            <w:sz w:val="22"/>
          </w:rPr>
          <w:t>cesaciónción</w:t>
        </w:r>
        <w:proofErr w:type="spellEnd"/>
        <w:r w:rsidRPr="008D61CE">
          <w:rPr>
            <w:sz w:val="22"/>
          </w:rPr>
          <w:t>-cambio definitivo del beneficiario</w:t>
        </w:r>
      </w:hyperlink>
    </w:p>
    <w:p w:rsidR="0005656A" w:rsidRPr="008D61CE" w:rsidRDefault="0005656A" w:rsidP="0005656A">
      <w:pPr>
        <w:pStyle w:val="P68B1DB1-Normal5"/>
        <w:shd w:val="clear" w:color="auto" w:fill="FFFFFF"/>
        <w:spacing w:after="0" w:afterAutospacing="1"/>
        <w:ind w:right="-852"/>
        <w:rPr>
          <w:sz w:val="22"/>
        </w:rPr>
      </w:pPr>
      <w:hyperlink r:id="rId268" w:history="1">
        <w:r w:rsidRPr="008D61CE">
          <w:rPr>
            <w:sz w:val="22"/>
          </w:rPr>
          <w:t>QA709: Control y observancia de la pesca en aguas interiores</w:t>
        </w:r>
      </w:hyperlink>
    </w:p>
    <w:p w:rsidR="0005656A" w:rsidRPr="008D61CE" w:rsidRDefault="0005656A" w:rsidP="0005656A">
      <w:pPr>
        <w:pStyle w:val="P68B1DB1-Normal5"/>
        <w:shd w:val="clear" w:color="auto" w:fill="FFFFFF"/>
        <w:spacing w:after="0" w:afterAutospacing="1"/>
        <w:ind w:right="-852"/>
        <w:rPr>
          <w:sz w:val="22"/>
        </w:rPr>
      </w:pPr>
      <w:hyperlink r:id="rId269" w:history="1">
        <w:r w:rsidRPr="008D61CE">
          <w:rPr>
            <w:sz w:val="22"/>
          </w:rPr>
          <w:t>QA712: FEMPA Primera adquisición de un buque pesquero</w:t>
        </w:r>
      </w:hyperlink>
    </w:p>
    <w:p w:rsidR="0005656A" w:rsidRPr="008D61CE" w:rsidRDefault="0005656A" w:rsidP="0005656A">
      <w:pPr>
        <w:pStyle w:val="P68B1DB1-Normal5"/>
        <w:shd w:val="clear" w:color="auto" w:fill="FFFFFF"/>
        <w:spacing w:after="0" w:afterAutospacing="1"/>
        <w:ind w:right="-852"/>
        <w:rPr>
          <w:sz w:val="22"/>
        </w:rPr>
      </w:pPr>
      <w:hyperlink r:id="rId270" w:history="1">
        <w:r w:rsidRPr="008D61CE">
          <w:rPr>
            <w:sz w:val="22"/>
          </w:rPr>
          <w:t>QA713: FEMPA Primera adquisición de un buque pesquero</w:t>
        </w:r>
      </w:hyperlink>
    </w:p>
    <w:p w:rsidR="0005656A" w:rsidRPr="008D61CE" w:rsidRDefault="0005656A" w:rsidP="0005656A">
      <w:pPr>
        <w:pStyle w:val="P68B1DB1-Normal5"/>
        <w:shd w:val="clear" w:color="auto" w:fill="FFFFFF"/>
        <w:spacing w:after="0" w:afterAutospacing="1"/>
        <w:ind w:right="-852"/>
        <w:rPr>
          <w:sz w:val="22"/>
        </w:rPr>
      </w:pPr>
      <w:hyperlink r:id="rId271" w:history="1">
        <w:r w:rsidRPr="008D61CE">
          <w:rPr>
            <w:sz w:val="22"/>
          </w:rPr>
          <w:t>QA714: FEMPA Cese permanente — requisito mínimo de actividad pesquera</w:t>
        </w:r>
      </w:hyperlink>
    </w:p>
    <w:p w:rsidR="0005656A" w:rsidRPr="008D61CE" w:rsidRDefault="0005656A" w:rsidP="0005656A">
      <w:pPr>
        <w:pStyle w:val="P68B1DB1-Normal5"/>
        <w:shd w:val="clear" w:color="auto" w:fill="FFFFFF"/>
        <w:spacing w:after="0" w:afterAutospacing="1"/>
        <w:ind w:right="-852"/>
        <w:rPr>
          <w:sz w:val="22"/>
        </w:rPr>
      </w:pPr>
      <w:hyperlink r:id="rId272" w:history="1">
        <w:r w:rsidRPr="008D61CE">
          <w:rPr>
            <w:sz w:val="22"/>
          </w:rPr>
          <w:t>QA716 FEMPA Transferir o cambiar el pabellón de los buques pesqueros</w:t>
        </w:r>
      </w:hyperlink>
    </w:p>
    <w:p w:rsidR="0005656A" w:rsidRPr="008D61CE" w:rsidRDefault="0005656A" w:rsidP="0005656A">
      <w:pPr>
        <w:pStyle w:val="P68B1DB1-Normal3"/>
        <w:shd w:val="clear" w:color="auto" w:fill="FFFFFF"/>
        <w:spacing w:after="0"/>
        <w:ind w:right="-852"/>
        <w:rPr>
          <w:b/>
          <w:sz w:val="20"/>
        </w:rPr>
      </w:pPr>
      <w:r w:rsidRPr="008D61CE">
        <w:rPr>
          <w:b/>
          <w:sz w:val="20"/>
        </w:rPr>
        <w:t>(3) Prioridad 2: Fomentar las actividades sostenibles de acuicultura, así como la transformación y comercialización de productos de la pesca y la acuicultura, contribuyendo así a la seguridad alimentaria en la Unión</w:t>
      </w:r>
    </w:p>
    <w:p w:rsidR="0005656A" w:rsidRPr="008D61CE" w:rsidRDefault="0005656A" w:rsidP="0005656A">
      <w:pPr>
        <w:pStyle w:val="P68B1DB1-Normal5"/>
        <w:shd w:val="clear" w:color="auto" w:fill="FFFFFF"/>
        <w:spacing w:after="0" w:afterAutospacing="1"/>
        <w:ind w:right="-852"/>
        <w:rPr>
          <w:sz w:val="22"/>
        </w:rPr>
      </w:pPr>
      <w:hyperlink r:id="rId273" w:history="1">
        <w:r w:rsidRPr="008D61CE">
          <w:rPr>
            <w:sz w:val="22"/>
          </w:rPr>
          <w:t xml:space="preserve">QA595: FEMPA La admisibilidad de la ayuda al sistema de </w:t>
        </w:r>
        <w:proofErr w:type="spellStart"/>
        <w:r w:rsidRPr="008D61CE">
          <w:rPr>
            <w:sz w:val="22"/>
          </w:rPr>
          <w:t>acuaponía</w:t>
        </w:r>
        <w:proofErr w:type="spellEnd"/>
        <w:r w:rsidRPr="008D61CE">
          <w:rPr>
            <w:sz w:val="22"/>
          </w:rPr>
          <w:t xml:space="preserve"> en el marco del FEMPA</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274" w:history="1">
        <w:r w:rsidRPr="008D61CE">
          <w:rPr>
            <w:sz w:val="22"/>
          </w:rPr>
          <w:t>A610 FEMPA Definición de pymes en el contexto de la aplicación del FEMPA</w:t>
        </w:r>
      </w:hyperlink>
    </w:p>
    <w:p w:rsidR="0005656A" w:rsidRPr="008D61CE" w:rsidRDefault="0005656A" w:rsidP="0005656A">
      <w:pPr>
        <w:pStyle w:val="P68B1DB1-Normal5"/>
        <w:shd w:val="clear" w:color="auto" w:fill="FFFFFF"/>
        <w:spacing w:after="0" w:afterAutospacing="1"/>
        <w:ind w:right="-852"/>
        <w:rPr>
          <w:sz w:val="22"/>
        </w:rPr>
      </w:pPr>
      <w:hyperlink r:id="rId275" w:history="1">
        <w:r w:rsidRPr="008D61CE">
          <w:rPr>
            <w:sz w:val="22"/>
          </w:rPr>
          <w:t>QA644: FEMPA Interpretación de determinadas disposiciones del FEMPA con vistas a una programación correcta</w:t>
        </w:r>
      </w:hyperlink>
    </w:p>
    <w:p w:rsidR="0005656A" w:rsidRPr="008D61CE" w:rsidRDefault="0005656A" w:rsidP="0005656A">
      <w:pPr>
        <w:pStyle w:val="P68B1DB1-Normal5"/>
        <w:shd w:val="clear" w:color="auto" w:fill="FFFFFF"/>
        <w:spacing w:after="0" w:afterAutospacing="1"/>
        <w:ind w:right="-852"/>
        <w:rPr>
          <w:sz w:val="22"/>
        </w:rPr>
      </w:pPr>
      <w:hyperlink r:id="rId276" w:history="1">
        <w:r w:rsidRPr="008D61CE">
          <w:rPr>
            <w:sz w:val="22"/>
          </w:rPr>
          <w:t>QA670: FEMPA artículo 28, Reglamento (CE) no 2021/1139</w:t>
        </w:r>
      </w:hyperlink>
    </w:p>
    <w:p w:rsidR="0005656A" w:rsidRPr="008D61CE" w:rsidRDefault="0005656A" w:rsidP="0005656A">
      <w:pPr>
        <w:pStyle w:val="P68B1DB1-Normal5"/>
        <w:shd w:val="clear" w:color="auto" w:fill="FFFFFF"/>
        <w:spacing w:after="0" w:afterAutospacing="1"/>
        <w:ind w:right="-852"/>
        <w:rPr>
          <w:sz w:val="22"/>
        </w:rPr>
      </w:pPr>
      <w:hyperlink r:id="rId277" w:history="1">
        <w:r w:rsidRPr="008D61CE">
          <w:rPr>
            <w:sz w:val="22"/>
          </w:rPr>
          <w:t>QA689 FEMPA Eligibilidad de la instalación de paneles solares en plantas acuícolas</w:t>
        </w:r>
      </w:hyperlink>
    </w:p>
    <w:p w:rsidR="0005656A" w:rsidRPr="008D61CE" w:rsidRDefault="0005656A" w:rsidP="0005656A">
      <w:pPr>
        <w:pStyle w:val="P68B1DB1-Normal5"/>
        <w:shd w:val="clear" w:color="auto" w:fill="FFFFFF"/>
        <w:spacing w:after="0" w:afterAutospacing="1"/>
        <w:ind w:right="-852"/>
        <w:rPr>
          <w:color w:val="050505"/>
          <w:sz w:val="22"/>
        </w:rPr>
      </w:pPr>
      <w:hyperlink r:id="rId278" w:history="1">
        <w:r w:rsidRPr="008D61CE">
          <w:rPr>
            <w:sz w:val="22"/>
          </w:rPr>
          <w:t>QA717 FEMPA Inclusión de la venta al por menor de pescado, incluida la transformación básica del pescado con arreglo al artículo 26</w:t>
        </w:r>
      </w:hyperlink>
    </w:p>
    <w:p w:rsidR="0005656A" w:rsidRPr="008D61CE" w:rsidRDefault="0005656A" w:rsidP="0005656A">
      <w:pPr>
        <w:pStyle w:val="P68B1DB1-Normal3"/>
        <w:shd w:val="clear" w:color="auto" w:fill="FFFFFF"/>
        <w:spacing w:after="0"/>
        <w:ind w:right="-852"/>
        <w:rPr>
          <w:b/>
          <w:sz w:val="20"/>
        </w:rPr>
      </w:pPr>
      <w:r w:rsidRPr="008D61CE">
        <w:rPr>
          <w:b/>
          <w:sz w:val="20"/>
        </w:rPr>
        <w:t>(4) Prioridad 3: Permitir una economía azul sostenible en las zonas costeras, insulares e interiores, y fomentar el desarrollo de las comunidades pesqueras y acuícolas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(5) Prioridad 4: Reforzar la gobernanza internacional de los océanos y hacer de los mares y océanos medios protegidos, seguros, limpios y gestionados de manera sostenible</w:t>
      </w:r>
    </w:p>
    <w:p w:rsidR="0005656A" w:rsidRPr="008D61CE" w:rsidRDefault="0005656A" w:rsidP="0005656A">
      <w:pPr>
        <w:pStyle w:val="P68B1DB1-Normal5"/>
        <w:shd w:val="clear" w:color="auto" w:fill="FFFFFF"/>
        <w:spacing w:after="0" w:afterAutospacing="1"/>
        <w:ind w:right="-852"/>
        <w:rPr>
          <w:sz w:val="22"/>
        </w:rPr>
      </w:pPr>
      <w:hyperlink r:id="rId279" w:history="1">
        <w:r w:rsidRPr="008D61CE">
          <w:rPr>
            <w:sz w:val="22"/>
          </w:rPr>
          <w:t>QA589: EMFÁFICA Utilización del artículo 32 del FEMPA para las acciones que no estén directamente relacionadas con la recopilación y gestión de datos</w:t>
        </w:r>
      </w:hyperlink>
    </w:p>
    <w:p w:rsidR="0005656A" w:rsidRPr="008D61CE" w:rsidRDefault="0005656A" w:rsidP="0005656A">
      <w:pPr>
        <w:pStyle w:val="P68B1DB1-Normal5"/>
        <w:shd w:val="clear" w:color="auto" w:fill="FFFFFF"/>
        <w:spacing w:after="0" w:afterAutospacing="1"/>
        <w:ind w:right="-852"/>
        <w:rPr>
          <w:sz w:val="22"/>
        </w:rPr>
      </w:pPr>
      <w:hyperlink r:id="rId280" w:history="1">
        <w:r w:rsidRPr="008D61CE">
          <w:rPr>
            <w:sz w:val="22"/>
          </w:rPr>
          <w:t>QA590 FEMPA pregunta de Finlandia sobre el uso del artículo 34 por parte del FEMPA para proyectos de guardacostas con o sin participación de las agencias de la UE</w:t>
        </w:r>
      </w:hyperlink>
    </w:p>
    <w:p w:rsidR="0005656A" w:rsidRPr="008D61CE" w:rsidRDefault="0005656A" w:rsidP="0005656A">
      <w:pPr>
        <w:pStyle w:val="P68B1DB1-Normal5"/>
        <w:shd w:val="clear" w:color="auto" w:fill="FFFFFF"/>
        <w:spacing w:after="0" w:afterAutospacing="1"/>
        <w:ind w:right="-852"/>
        <w:rPr>
          <w:color w:val="050505"/>
          <w:sz w:val="22"/>
        </w:rPr>
      </w:pPr>
      <w:hyperlink r:id="rId281" w:history="1">
        <w:r w:rsidRPr="008D61CE">
          <w:rPr>
            <w:sz w:val="22"/>
          </w:rPr>
          <w:t>QA644: FEMPA Interpretación de determinadas disposiciones del FEMPA con vistas a una programación correcta</w:t>
        </w:r>
      </w:hyperlink>
    </w:p>
    <w:p w:rsidR="0005656A" w:rsidRPr="008D61CE" w:rsidRDefault="0005656A" w:rsidP="0005656A">
      <w:pPr>
        <w:pStyle w:val="P68B1DB1-Normal3"/>
        <w:shd w:val="clear" w:color="auto" w:fill="FFFFFF"/>
        <w:spacing w:after="0"/>
        <w:ind w:right="-852"/>
        <w:rPr>
          <w:b/>
          <w:sz w:val="20"/>
        </w:rPr>
      </w:pPr>
      <w:r w:rsidRPr="008D61CE">
        <w:rPr>
          <w:b/>
          <w:sz w:val="20"/>
        </w:rPr>
        <w:t>(6) Desarrollo sostenible de las regiones ultraperiféricas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(7) Disposiciones de aplicación en régimen de gestión compartida</w:t>
      </w:r>
    </w:p>
    <w:p w:rsidR="0005656A" w:rsidRPr="008D61CE" w:rsidRDefault="0005656A" w:rsidP="0005656A">
      <w:pPr>
        <w:pStyle w:val="P68B1DB1-Normal5"/>
        <w:shd w:val="clear" w:color="auto" w:fill="FFFFFF"/>
        <w:spacing w:after="0" w:afterAutospacing="1"/>
        <w:ind w:right="-852"/>
        <w:rPr>
          <w:sz w:val="22"/>
        </w:rPr>
      </w:pPr>
      <w:hyperlink r:id="rId282" w:history="1">
        <w:r w:rsidRPr="008D61CE">
          <w:rPr>
            <w:sz w:val="22"/>
          </w:rPr>
          <w:t xml:space="preserve">QA00279 — Coste subvencionable total/gasto en datos transmitidos de conformidad con el artículo 42 del RDC, informes </w:t>
        </w:r>
        <w:proofErr w:type="spellStart"/>
        <w:r w:rsidRPr="008D61CE">
          <w:rPr>
            <w:sz w:val="22"/>
          </w:rPr>
          <w:t>Infosys</w:t>
        </w:r>
        <w:proofErr w:type="spellEnd"/>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QA578 — </w:t>
      </w:r>
      <w:hyperlink r:id="rId283" w:history="1">
        <w:r w:rsidRPr="008D61CE">
          <w:rPr>
            <w:sz w:val="22"/>
          </w:rPr>
          <w:t>Porcentaje de cofinanciación OE 3.1 y compensación por costes adicionales en las RUP</w:t>
        </w:r>
      </w:hyperlink>
    </w:p>
    <w:p w:rsidR="0005656A" w:rsidRPr="008D61CE" w:rsidRDefault="0005656A" w:rsidP="0005656A">
      <w:pPr>
        <w:pStyle w:val="P68B1DB1-Normal5"/>
        <w:shd w:val="clear" w:color="auto" w:fill="FFFFFF"/>
        <w:spacing w:after="0" w:afterAutospacing="1"/>
        <w:ind w:right="-852"/>
        <w:rPr>
          <w:sz w:val="22"/>
        </w:rPr>
      </w:pPr>
      <w:hyperlink r:id="rId284" w:history="1">
        <w:r w:rsidRPr="008D61CE">
          <w:rPr>
            <w:sz w:val="22"/>
          </w:rPr>
          <w:t>QA591: FEMPA Porcentaje de cofinanciación e intensidad de la ayuda pública en el marco del FEMPA — organismos de Derecho público</w:t>
        </w:r>
      </w:hyperlink>
    </w:p>
    <w:p w:rsidR="0005656A" w:rsidRPr="008D61CE" w:rsidRDefault="0005656A" w:rsidP="0005656A">
      <w:pPr>
        <w:pStyle w:val="P68B1DB1-Normal5"/>
        <w:shd w:val="clear" w:color="auto" w:fill="FFFFFF"/>
        <w:spacing w:after="0" w:afterAutospacing="1"/>
        <w:ind w:right="-852"/>
        <w:rPr>
          <w:sz w:val="22"/>
        </w:rPr>
      </w:pPr>
      <w:hyperlink r:id="rId285" w:history="1">
        <w:r w:rsidRPr="008D61CE">
          <w:rPr>
            <w:sz w:val="22"/>
          </w:rPr>
          <w:t>QA607 FEMPA Intensidad de la ayuda a los socios del consorcio en proyectos de I + D</w:t>
        </w:r>
      </w:hyperlink>
    </w:p>
    <w:p w:rsidR="0005656A" w:rsidRPr="008D61CE" w:rsidRDefault="0005656A" w:rsidP="0005656A">
      <w:pPr>
        <w:pStyle w:val="P68B1DB1-Normal5"/>
        <w:shd w:val="clear" w:color="auto" w:fill="FFFFFF"/>
        <w:spacing w:after="0" w:afterAutospacing="1"/>
        <w:ind w:right="-852"/>
        <w:rPr>
          <w:sz w:val="22"/>
        </w:rPr>
      </w:pPr>
      <w:hyperlink r:id="rId286" w:history="1">
        <w:r w:rsidRPr="008D61CE">
          <w:rPr>
            <w:sz w:val="22"/>
          </w:rPr>
          <w:t>QA615: FEMPA Anexo III Definiciones del FEMPA</w:t>
        </w:r>
      </w:hyperlink>
    </w:p>
    <w:p w:rsidR="0005656A" w:rsidRPr="008D61CE" w:rsidRDefault="0005656A" w:rsidP="0005656A">
      <w:pPr>
        <w:pStyle w:val="P68B1DB1-Normal5"/>
        <w:shd w:val="clear" w:color="auto" w:fill="FFFFFF"/>
        <w:spacing w:after="0" w:afterAutospacing="1"/>
        <w:ind w:right="-852"/>
        <w:rPr>
          <w:sz w:val="22"/>
        </w:rPr>
      </w:pPr>
      <w:hyperlink r:id="rId287" w:history="1">
        <w:r w:rsidRPr="008D61CE">
          <w:rPr>
            <w:sz w:val="22"/>
          </w:rPr>
          <w:t>QA617: FEMPA Beneficiario Colectivo, anexo III del Reglamento FEMPA</w:t>
        </w:r>
      </w:hyperlink>
    </w:p>
    <w:p w:rsidR="0005656A" w:rsidRPr="008D61CE" w:rsidRDefault="0005656A" w:rsidP="0005656A">
      <w:pPr>
        <w:pStyle w:val="P68B1DB1-Normal5"/>
        <w:shd w:val="clear" w:color="auto" w:fill="FFFFFF"/>
        <w:spacing w:after="0" w:afterAutospacing="1"/>
        <w:ind w:right="-852"/>
        <w:rPr>
          <w:sz w:val="22"/>
        </w:rPr>
      </w:pPr>
      <w:hyperlink r:id="rId288" w:history="1">
        <w:r w:rsidRPr="008D61CE">
          <w:rPr>
            <w:sz w:val="22"/>
          </w:rPr>
          <w:t>QA620: FEMPA Intensidad de la ayuda para operaciones relacionadas con la pesca costera artesanal</w:t>
        </w:r>
      </w:hyperlink>
    </w:p>
    <w:p w:rsidR="0005656A" w:rsidRPr="008D61CE" w:rsidRDefault="0005656A" w:rsidP="0005656A">
      <w:pPr>
        <w:pStyle w:val="P68B1DB1-Normal5"/>
        <w:shd w:val="clear" w:color="auto" w:fill="FFFFFF"/>
        <w:spacing w:after="0" w:afterAutospacing="1"/>
        <w:ind w:right="-852"/>
        <w:rPr>
          <w:sz w:val="22"/>
        </w:rPr>
      </w:pPr>
      <w:hyperlink r:id="rId289" w:history="1">
        <w:r w:rsidRPr="008D61CE">
          <w:rPr>
            <w:sz w:val="22"/>
          </w:rPr>
          <w:t>QA622 FEMPA Intensidad de la ayuda para proyectos de I + D e inversiones en acuicultura</w:t>
        </w:r>
      </w:hyperlink>
    </w:p>
    <w:p w:rsidR="0005656A" w:rsidRPr="008D61CE" w:rsidRDefault="0005656A" w:rsidP="0005656A">
      <w:pPr>
        <w:pStyle w:val="P68B1DB1-Normal5"/>
        <w:shd w:val="clear" w:color="auto" w:fill="FFFFFF"/>
        <w:spacing w:after="0" w:afterAutospacing="1"/>
        <w:ind w:right="-852"/>
        <w:rPr>
          <w:sz w:val="22"/>
        </w:rPr>
      </w:pPr>
      <w:hyperlink r:id="rId290" w:history="1">
        <w:r w:rsidRPr="008D61CE">
          <w:rPr>
            <w:sz w:val="22"/>
          </w:rPr>
          <w:t>QA624 FEMPA Intensidad de la ayuda para proyectos de I + D e inversiones en acuicultura</w:t>
        </w:r>
      </w:hyperlink>
    </w:p>
    <w:p w:rsidR="0005656A" w:rsidRPr="008D61CE" w:rsidRDefault="0005656A" w:rsidP="0005656A">
      <w:pPr>
        <w:pStyle w:val="P68B1DB1-Normal5"/>
        <w:shd w:val="clear" w:color="auto" w:fill="FFFFFF"/>
        <w:spacing w:after="0" w:afterAutospacing="1"/>
        <w:ind w:right="-852"/>
        <w:rPr>
          <w:sz w:val="22"/>
        </w:rPr>
      </w:pPr>
      <w:hyperlink r:id="rId291" w:history="1">
        <w:r w:rsidRPr="008D61CE">
          <w:rPr>
            <w:sz w:val="22"/>
          </w:rPr>
          <w:t>QA632: FEMPA Intensidad máxima de ayuda para las operaciones de DLP</w:t>
        </w:r>
      </w:hyperlink>
    </w:p>
    <w:p w:rsidR="0005656A" w:rsidRPr="008D61CE" w:rsidRDefault="0005656A" w:rsidP="0005656A">
      <w:pPr>
        <w:pStyle w:val="P68B1DB1-Normal5"/>
        <w:shd w:val="clear" w:color="auto" w:fill="FFFFFF"/>
        <w:spacing w:after="0" w:afterAutospacing="1"/>
        <w:ind w:right="-852"/>
        <w:rPr>
          <w:sz w:val="22"/>
        </w:rPr>
      </w:pPr>
      <w:hyperlink r:id="rId292" w:history="1">
        <w:r w:rsidRPr="008D61CE">
          <w:rPr>
            <w:sz w:val="22"/>
          </w:rPr>
          <w:t>QA634: FEMPA Intensidad máxima de la ayuda para los beneficiarios sin personalidad jurídica</w:t>
        </w:r>
      </w:hyperlink>
    </w:p>
    <w:p w:rsidR="0005656A" w:rsidRPr="008D61CE" w:rsidRDefault="0005656A" w:rsidP="0005656A">
      <w:pPr>
        <w:pStyle w:val="P68B1DB1-Normal5"/>
        <w:shd w:val="clear" w:color="auto" w:fill="FFFFFF"/>
        <w:spacing w:after="0" w:afterAutospacing="1"/>
        <w:ind w:right="-852"/>
        <w:rPr>
          <w:sz w:val="22"/>
        </w:rPr>
      </w:pPr>
      <w:hyperlink r:id="rId293" w:history="1">
        <w:r w:rsidRPr="008D61CE">
          <w:rPr>
            <w:sz w:val="22"/>
          </w:rPr>
          <w:t>QA646 FEMPA_IQ sobre los puntos 14 y 17 del anexo III del Reglamento (CE) no 2021/1139</w:t>
        </w:r>
      </w:hyperlink>
    </w:p>
    <w:p w:rsidR="0005656A" w:rsidRPr="008D61CE" w:rsidRDefault="0005656A" w:rsidP="0005656A">
      <w:pPr>
        <w:pStyle w:val="P68B1DB1-Normal5"/>
        <w:shd w:val="clear" w:color="auto" w:fill="FFFFFF"/>
        <w:spacing w:after="0" w:afterAutospacing="1"/>
        <w:ind w:right="-852"/>
        <w:rPr>
          <w:sz w:val="22"/>
        </w:rPr>
      </w:pPr>
      <w:hyperlink r:id="rId294" w:history="1">
        <w:r w:rsidRPr="008D61CE">
          <w:rPr>
            <w:sz w:val="22"/>
          </w:rPr>
          <w:t>QA655 FEMPA Intensidad de la ayuda para la concesión de ayudas a la póliza de seguro de existencias para acuicultores</w:t>
        </w:r>
      </w:hyperlink>
    </w:p>
    <w:p w:rsidR="0005656A" w:rsidRPr="008D61CE" w:rsidRDefault="0005656A" w:rsidP="0005656A">
      <w:pPr>
        <w:pStyle w:val="P68B1DB1-Normal5"/>
        <w:shd w:val="clear" w:color="auto" w:fill="FFFFFF"/>
        <w:spacing w:after="0" w:afterAutospacing="1"/>
        <w:ind w:right="-852"/>
        <w:rPr>
          <w:sz w:val="22"/>
        </w:rPr>
      </w:pPr>
      <w:hyperlink r:id="rId295" w:history="1">
        <w:r w:rsidRPr="008D61CE">
          <w:rPr>
            <w:sz w:val="22"/>
          </w:rPr>
          <w:t>QA657: FEMPA Presentación de informes de FEMPA — Anexo I del Reglamento de Ejecución (UE) 2022/79 de la Comisión</w:t>
        </w:r>
      </w:hyperlink>
    </w:p>
    <w:p w:rsidR="0005656A" w:rsidRPr="008D61CE" w:rsidRDefault="0005656A" w:rsidP="0005656A">
      <w:pPr>
        <w:pStyle w:val="P68B1DB1-Normal5"/>
        <w:shd w:val="clear" w:color="auto" w:fill="FFFFFF"/>
        <w:spacing w:after="0" w:afterAutospacing="1"/>
        <w:ind w:right="-852"/>
        <w:rPr>
          <w:sz w:val="22"/>
        </w:rPr>
      </w:pPr>
      <w:hyperlink r:id="rId296" w:history="1">
        <w:r w:rsidRPr="008D61CE">
          <w:rPr>
            <w:sz w:val="22"/>
          </w:rPr>
          <w:t>QA661 FEMPA_IQ sobre los puntos 15, 14, 7 y 4 del anexo III del Reglamento (CE) no 2021/1139</w:t>
        </w:r>
      </w:hyperlink>
    </w:p>
    <w:p w:rsidR="0005656A" w:rsidRPr="008D61CE" w:rsidRDefault="0005656A" w:rsidP="0005656A">
      <w:pPr>
        <w:pStyle w:val="P68B1DB1-Normal5"/>
        <w:shd w:val="clear" w:color="auto" w:fill="FFFFFF"/>
        <w:spacing w:after="0" w:afterAutospacing="1"/>
        <w:ind w:right="-852"/>
        <w:rPr>
          <w:sz w:val="22"/>
        </w:rPr>
      </w:pPr>
      <w:hyperlink r:id="rId297" w:history="1">
        <w:r w:rsidRPr="008D61CE">
          <w:rPr>
            <w:sz w:val="22"/>
          </w:rPr>
          <w:t>QA679: FEMPA Estado de avance de las operaciones en INFOSYS</w:t>
        </w:r>
      </w:hyperlink>
    </w:p>
    <w:p w:rsidR="0005656A" w:rsidRPr="008D61CE" w:rsidRDefault="0005656A" w:rsidP="0005656A">
      <w:pPr>
        <w:pStyle w:val="P68B1DB1-Normal5"/>
        <w:shd w:val="clear" w:color="auto" w:fill="FFFFFF"/>
        <w:spacing w:after="0" w:afterAutospacing="1"/>
        <w:ind w:right="-852"/>
        <w:rPr>
          <w:sz w:val="22"/>
        </w:rPr>
      </w:pPr>
      <w:hyperlink r:id="rId298" w:history="1">
        <w:r w:rsidRPr="008D61CE">
          <w:rPr>
            <w:sz w:val="22"/>
          </w:rPr>
          <w:t>QA687 FEMPA Beneficiarios colectivos — empresarios acuícolas</w:t>
        </w:r>
      </w:hyperlink>
    </w:p>
    <w:p w:rsidR="0005656A" w:rsidRPr="008D61CE" w:rsidRDefault="0005656A" w:rsidP="0005656A">
      <w:pPr>
        <w:pStyle w:val="P68B1DB1-Normal5"/>
        <w:shd w:val="clear" w:color="auto" w:fill="FFFFFF"/>
        <w:spacing w:after="0" w:afterAutospacing="1"/>
        <w:ind w:right="-852"/>
        <w:rPr>
          <w:sz w:val="22"/>
        </w:rPr>
      </w:pPr>
      <w:hyperlink r:id="rId299" w:history="1">
        <w:r w:rsidRPr="008D61CE">
          <w:rPr>
            <w:sz w:val="22"/>
          </w:rPr>
          <w:t>QA698: FEMPA Cálculo de la compensación</w:t>
        </w:r>
      </w:hyperlink>
    </w:p>
    <w:p w:rsidR="0005656A" w:rsidRPr="008D61CE" w:rsidRDefault="0005656A" w:rsidP="0005656A">
      <w:pPr>
        <w:pStyle w:val="P68B1DB1-Normal5"/>
        <w:shd w:val="clear" w:color="auto" w:fill="FFFFFF"/>
        <w:spacing w:after="0" w:afterAutospacing="1"/>
        <w:ind w:right="-852"/>
        <w:rPr>
          <w:sz w:val="22"/>
        </w:rPr>
      </w:pPr>
      <w:hyperlink r:id="rId300" w:history="1">
        <w:r w:rsidRPr="008D61CE">
          <w:rPr>
            <w:sz w:val="22"/>
          </w:rPr>
          <w:t>QA706: FEMPA Organización de productores</w:t>
        </w:r>
      </w:hyperlink>
    </w:p>
    <w:p w:rsidR="0005656A" w:rsidRPr="008D61CE" w:rsidRDefault="0005656A" w:rsidP="0005656A">
      <w:pPr>
        <w:pStyle w:val="P68B1DB1-Normal5"/>
        <w:shd w:val="clear" w:color="auto" w:fill="FFFFFF"/>
        <w:spacing w:after="0" w:afterAutospacing="1"/>
        <w:ind w:right="-852"/>
        <w:rPr>
          <w:sz w:val="22"/>
        </w:rPr>
      </w:pPr>
      <w:hyperlink r:id="rId301" w:history="1">
        <w:r w:rsidRPr="008D61CE">
          <w:rPr>
            <w:sz w:val="22"/>
          </w:rPr>
          <w:t>QA715: FEMPA Intensidad de la ayuda para el apoyo preparatorio de los grupos de acción local</w:t>
        </w:r>
      </w:hyperlink>
    </w:p>
    <w:p w:rsidR="0005656A" w:rsidRPr="008D61CE" w:rsidRDefault="0005656A" w:rsidP="0005656A">
      <w:pPr>
        <w:pStyle w:val="P68B1DB1-Normal5"/>
        <w:shd w:val="clear" w:color="auto" w:fill="FFFFFF"/>
        <w:spacing w:after="0" w:afterAutospacing="1"/>
        <w:ind w:right="-852"/>
        <w:rPr>
          <w:sz w:val="22"/>
        </w:rPr>
      </w:pPr>
      <w:hyperlink r:id="rId302" w:history="1">
        <w:r w:rsidRPr="008D61CE">
          <w:rPr>
            <w:sz w:val="22"/>
          </w:rPr>
          <w:t>QA718: FEMPA Anexo III</w:t>
        </w:r>
      </w:hyperlink>
    </w:p>
    <w:p w:rsidR="0005656A" w:rsidRPr="008D61CE" w:rsidRDefault="0005656A" w:rsidP="0005656A">
      <w:pPr>
        <w:pStyle w:val="P68B1DB1-Normal5"/>
        <w:shd w:val="clear" w:color="auto" w:fill="FFFFFF"/>
        <w:spacing w:after="0" w:afterAutospacing="1"/>
        <w:ind w:right="-852"/>
        <w:rPr>
          <w:sz w:val="22"/>
        </w:rPr>
      </w:pPr>
      <w:hyperlink r:id="rId303" w:history="1">
        <w:r w:rsidRPr="008D61CE">
          <w:rPr>
            <w:sz w:val="22"/>
          </w:rPr>
          <w:t>QA723: FEMPA Intensidad pública para las operaciones relacionadas con la pesca costera artesanal</w:t>
        </w:r>
      </w:hyperlink>
    </w:p>
    <w:p w:rsidR="0005656A" w:rsidRPr="008D61CE" w:rsidRDefault="0005656A" w:rsidP="0005656A">
      <w:pPr>
        <w:pStyle w:val="P68B1DB1-Normal3"/>
        <w:shd w:val="clear" w:color="auto" w:fill="FFFFFF"/>
        <w:spacing w:after="0"/>
        <w:ind w:right="-852"/>
        <w:rPr>
          <w:b/>
          <w:sz w:val="20"/>
        </w:rPr>
      </w:pPr>
      <w:r w:rsidRPr="008D61CE">
        <w:rPr>
          <w:b/>
          <w:sz w:val="20"/>
        </w:rPr>
        <w:t>(3) APOYO EN RÉGIMEN DE GESTIÓN DIRECTA E INDIRECTA</w:t>
      </w:r>
    </w:p>
    <w:p w:rsidR="0005656A" w:rsidRPr="008D61CE" w:rsidRDefault="0005656A" w:rsidP="0005656A">
      <w:pPr>
        <w:pStyle w:val="P68B1DB1-Normal3"/>
        <w:shd w:val="clear" w:color="auto" w:fill="FFFFFF"/>
        <w:spacing w:after="0"/>
        <w:ind w:right="-852"/>
        <w:rPr>
          <w:b/>
          <w:sz w:val="20"/>
        </w:rPr>
      </w:pPr>
      <w:r w:rsidRPr="008D61CE">
        <w:rPr>
          <w:b/>
          <w:sz w:val="20"/>
        </w:rPr>
        <w:t>(1) Prioridad 1: Fomentar una pesca sostenible y la recuperación y conservación de los recursos biológicos acuáticos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(2) Prioridad 2: Fomentar las actividades sostenibles de acuicultura, así como la transformación y comercialización de productos de la pesca y la acuicultura, contribuyendo así a la seguridad alimentaria en la Unión</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(3) Prioridad 3: Permitir una economía azul sostenible en las zonas costeras, insulares e interiores, y fomentar el desarrollo de las comunidades pesqueras y acuícolas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(4) Prioridad 4: Reforzar la gobernanza internacional de los océanos y hacer de los mares y océanos medios protegidos, seguros, limpios y gestionados de manera sostenible</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(5) Normas de aplicación en régimen de gestión directa e indirecta</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t>(4) DISPOSICIONES PROCESALES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sz w:val="20"/>
        </w:rPr>
      </w:pPr>
      <w:r w:rsidRPr="008D61CE">
        <w:rPr>
          <w:b/>
          <w:sz w:val="20"/>
        </w:rPr>
        <w:lastRenderedPageBreak/>
        <w:t>(5) DISPOSICIONES FINALES</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2"/>
        <w:shd w:val="clear" w:color="auto" w:fill="FFFFFF"/>
        <w:spacing w:before="450" w:after="0"/>
        <w:ind w:right="-852"/>
        <w:outlineLvl w:val="1"/>
        <w:rPr>
          <w:b/>
          <w:sz w:val="32"/>
        </w:rPr>
      </w:pPr>
      <w:r w:rsidRPr="008D61CE">
        <w:rPr>
          <w:b/>
          <w:sz w:val="32"/>
        </w:rPr>
        <w:t>Otras normas</w:t>
      </w:r>
    </w:p>
    <w:p w:rsidR="0005656A" w:rsidRPr="008D61CE" w:rsidRDefault="0005656A" w:rsidP="0005656A">
      <w:pPr>
        <w:pStyle w:val="P68B1DB1-Normal3"/>
        <w:shd w:val="clear" w:color="auto" w:fill="FFFFFF"/>
        <w:spacing w:after="0"/>
        <w:ind w:right="-852"/>
        <w:rPr>
          <w:b/>
          <w:sz w:val="20"/>
        </w:rPr>
      </w:pPr>
      <w:r w:rsidRPr="008D61CE">
        <w:rPr>
          <w:b/>
          <w:sz w:val="20"/>
        </w:rPr>
        <w:t>(1) FEDER/FC</w:t>
      </w:r>
    </w:p>
    <w:p w:rsidR="0005656A" w:rsidRPr="008D61CE" w:rsidRDefault="0005656A" w:rsidP="0005656A">
      <w:pPr>
        <w:pStyle w:val="P68B1DB1-Normal5"/>
        <w:shd w:val="clear" w:color="auto" w:fill="FFFFFF"/>
        <w:spacing w:after="0" w:afterAutospacing="1"/>
        <w:ind w:right="-852"/>
        <w:rPr>
          <w:sz w:val="22"/>
        </w:rPr>
      </w:pPr>
      <w:hyperlink r:id="rId304" w:history="1">
        <w:r w:rsidRPr="008D61CE">
          <w:rPr>
            <w:sz w:val="22"/>
          </w:rPr>
          <w:t>QA00001 — ¿Pueden subvencionarse las compras de vehículos eléctricos de las personas físicas en el próximo período de programación con cargo al FEDER/FC en el marco del OP 2?</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305" w:history="1">
        <w:r w:rsidRPr="008D61CE">
          <w:rPr>
            <w:sz w:val="22"/>
          </w:rPr>
          <w:t>A00010 — Admisibilidad de actividades para impulsar el proceso de descubrimiento empresarial (PDE) en el marco del objetivo específico 1.4 del Reglamento del FEDER 2021-2027</w:t>
        </w:r>
      </w:hyperlink>
    </w:p>
    <w:p w:rsidR="0005656A" w:rsidRPr="008D61CE" w:rsidRDefault="0005656A" w:rsidP="0005656A">
      <w:pPr>
        <w:pStyle w:val="P68B1DB1-Normal5"/>
        <w:shd w:val="clear" w:color="auto" w:fill="FFFFFF"/>
        <w:spacing w:after="0" w:afterAutospacing="1"/>
        <w:ind w:right="-852"/>
        <w:rPr>
          <w:sz w:val="22"/>
        </w:rPr>
      </w:pPr>
      <w:hyperlink r:id="rId306" w:history="1">
        <w:r w:rsidRPr="008D61CE">
          <w:rPr>
            <w:sz w:val="22"/>
          </w:rPr>
          <w:t>QA00016 — Operaciones de infraestructura en el sector del turismo y la cultura: «reforzar el papel de la cultura y el turismo en el desarrollo económico, la inclusión social y la innovación social» y «dimensiones de campo de intervención».</w:t>
        </w:r>
      </w:hyperlink>
    </w:p>
    <w:p w:rsidR="0005656A" w:rsidRPr="008D61CE" w:rsidRDefault="0005656A" w:rsidP="0005656A">
      <w:pPr>
        <w:pStyle w:val="P68B1DB1-Normal5"/>
        <w:shd w:val="clear" w:color="auto" w:fill="FFFFFF"/>
        <w:spacing w:after="0" w:afterAutospacing="1"/>
        <w:ind w:right="-852"/>
        <w:rPr>
          <w:sz w:val="22"/>
        </w:rPr>
      </w:pPr>
      <w:hyperlink r:id="rId307" w:history="1">
        <w:r w:rsidRPr="008D61CE">
          <w:rPr>
            <w:sz w:val="22"/>
          </w:rPr>
          <w:t>QA00019 — ¿Pueden las pymes como beneficiarias de apoyo al turismo y la cultura en el marco del OP 5?</w:t>
        </w:r>
      </w:hyperlink>
    </w:p>
    <w:p w:rsidR="0005656A" w:rsidRPr="008D61CE" w:rsidRDefault="0005656A" w:rsidP="0005656A">
      <w:pPr>
        <w:pStyle w:val="P68B1DB1-Normal5"/>
        <w:shd w:val="clear" w:color="auto" w:fill="FFFFFF"/>
        <w:spacing w:after="0" w:afterAutospacing="1"/>
        <w:ind w:right="-852"/>
        <w:rPr>
          <w:sz w:val="22"/>
        </w:rPr>
      </w:pPr>
      <w:hyperlink r:id="rId308" w:history="1">
        <w:r w:rsidRPr="008D61CE">
          <w:rPr>
            <w:sz w:val="22"/>
          </w:rPr>
          <w:t>QA00023 — Inversiones en unidades de investigación de grandes empresas</w:t>
        </w:r>
      </w:hyperlink>
    </w:p>
    <w:p w:rsidR="0005656A" w:rsidRPr="008D61CE" w:rsidRDefault="0005656A" w:rsidP="0005656A">
      <w:pPr>
        <w:pStyle w:val="P68B1DB1-Normal5"/>
        <w:shd w:val="clear" w:color="auto" w:fill="FFFFFF"/>
        <w:spacing w:after="0" w:afterAutospacing="1"/>
        <w:ind w:right="-852"/>
        <w:rPr>
          <w:sz w:val="22"/>
        </w:rPr>
      </w:pPr>
      <w:hyperlink r:id="rId309" w:history="1">
        <w:r w:rsidRPr="008D61CE">
          <w:rPr>
            <w:sz w:val="22"/>
          </w:rPr>
          <w:t>QA00047 — Admisibilidad de la ayuda de funcionamiento a las agrupaciones empresariales innovadoras</w:t>
        </w:r>
      </w:hyperlink>
    </w:p>
    <w:p w:rsidR="0005656A" w:rsidRPr="008D61CE" w:rsidRDefault="0005656A" w:rsidP="0005656A">
      <w:pPr>
        <w:pStyle w:val="P68B1DB1-Normal5"/>
        <w:shd w:val="clear" w:color="auto" w:fill="FFFFFF"/>
        <w:spacing w:after="0" w:afterAutospacing="1"/>
        <w:ind w:right="-852"/>
        <w:rPr>
          <w:sz w:val="22"/>
        </w:rPr>
      </w:pPr>
      <w:hyperlink r:id="rId310" w:history="1">
        <w:r w:rsidRPr="008D61CE">
          <w:rPr>
            <w:sz w:val="22"/>
          </w:rPr>
          <w:t>QA00073 — ¿Puede financiarse la construcción de alojamientos en castillos si los ingresos se utilizan para financiar los costes de mantenimiento de los edificios mencionados?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311" w:history="1">
        <w:r w:rsidRPr="008D61CE">
          <w:rPr>
            <w:sz w:val="22"/>
          </w:rPr>
          <w:t>A00075 — Puede que los programas del FEDER apoyen infraestructuras para centros de formación profesional en el marco del objetivo político 1</w:t>
        </w:r>
      </w:hyperlink>
    </w:p>
    <w:p w:rsidR="0005656A" w:rsidRPr="008D61CE" w:rsidRDefault="0005656A" w:rsidP="0005656A">
      <w:pPr>
        <w:pStyle w:val="P68B1DB1-Normal5"/>
        <w:shd w:val="clear" w:color="auto" w:fill="FFFFFF"/>
        <w:spacing w:after="0" w:afterAutospacing="1"/>
        <w:ind w:right="-852"/>
        <w:rPr>
          <w:sz w:val="22"/>
        </w:rPr>
      </w:pPr>
      <w:hyperlink r:id="rId312" w:history="1">
        <w:r w:rsidRPr="008D61CE">
          <w:rPr>
            <w:sz w:val="22"/>
          </w:rPr>
          <w:t>QA00079 — Anexo D centrado específicamente en los objetivos políticos (OP) no 1, OP 2 y OP 5</w:t>
        </w:r>
      </w:hyperlink>
    </w:p>
    <w:p w:rsidR="0005656A" w:rsidRPr="008D61CE" w:rsidRDefault="0005656A" w:rsidP="0005656A">
      <w:pPr>
        <w:pStyle w:val="P68B1DB1-Normal5"/>
        <w:shd w:val="clear" w:color="auto" w:fill="FFFFFF"/>
        <w:spacing w:after="0" w:afterAutospacing="1"/>
        <w:ind w:right="-852"/>
        <w:rPr>
          <w:sz w:val="22"/>
        </w:rPr>
      </w:pPr>
      <w:hyperlink r:id="rId313" w:history="1">
        <w:r w:rsidRPr="008D61CE">
          <w:rPr>
            <w:sz w:val="22"/>
          </w:rPr>
          <w:t>QA00080 — Admisibilidad de determinadas formas de apoyo a los fundadores empresariales</w:t>
        </w:r>
      </w:hyperlink>
    </w:p>
    <w:p w:rsidR="0005656A" w:rsidRPr="008D61CE" w:rsidRDefault="0005656A" w:rsidP="0005656A">
      <w:pPr>
        <w:pStyle w:val="P68B1DB1-Normal5"/>
        <w:shd w:val="clear" w:color="auto" w:fill="FFFFFF"/>
        <w:spacing w:after="0" w:afterAutospacing="1"/>
        <w:ind w:right="-852"/>
        <w:rPr>
          <w:sz w:val="22"/>
        </w:rPr>
      </w:pPr>
      <w:hyperlink r:id="rId314" w:history="1">
        <w:r w:rsidRPr="008D61CE">
          <w:rPr>
            <w:sz w:val="22"/>
          </w:rPr>
          <w:t>QA00091 — Admisibilidad de las infraestructuras aeroportuarias en las regiones ultraperiféricas</w:t>
        </w:r>
      </w:hyperlink>
    </w:p>
    <w:p w:rsidR="0005656A" w:rsidRPr="008D61CE" w:rsidRDefault="0005656A" w:rsidP="0005656A">
      <w:pPr>
        <w:pStyle w:val="P68B1DB1-Normal5"/>
        <w:shd w:val="clear" w:color="auto" w:fill="FFFFFF"/>
        <w:spacing w:after="0" w:afterAutospacing="1"/>
        <w:ind w:right="-852"/>
        <w:rPr>
          <w:sz w:val="22"/>
        </w:rPr>
      </w:pPr>
      <w:hyperlink r:id="rId315" w:history="1">
        <w:r w:rsidRPr="008D61CE">
          <w:rPr>
            <w:sz w:val="22"/>
          </w:rPr>
          <w:t>QA00096 — Inclusión de medidas de eficiencia energética para escuelas secundarias y viviendas sociales en el OP 2</w:t>
        </w:r>
      </w:hyperlink>
    </w:p>
    <w:p w:rsidR="0005656A" w:rsidRPr="008D61CE" w:rsidRDefault="0005656A" w:rsidP="0005656A">
      <w:pPr>
        <w:pStyle w:val="P68B1DB1-Normal5"/>
        <w:shd w:val="clear" w:color="auto" w:fill="FFFFFF"/>
        <w:spacing w:after="0" w:afterAutospacing="1"/>
        <w:ind w:right="-852"/>
        <w:rPr>
          <w:sz w:val="22"/>
        </w:rPr>
      </w:pPr>
      <w:hyperlink r:id="rId316" w:history="1">
        <w:r w:rsidRPr="008D61CE">
          <w:rPr>
            <w:sz w:val="22"/>
          </w:rPr>
          <w:t>QA00097 — Inversiones productivas</w:t>
        </w:r>
      </w:hyperlink>
    </w:p>
    <w:p w:rsidR="0005656A" w:rsidRPr="008D61CE" w:rsidRDefault="0005656A" w:rsidP="0005656A">
      <w:pPr>
        <w:pStyle w:val="P68B1DB1-Normal5"/>
        <w:shd w:val="clear" w:color="auto" w:fill="FFFFFF"/>
        <w:spacing w:after="0" w:afterAutospacing="1"/>
        <w:ind w:right="-852"/>
        <w:rPr>
          <w:sz w:val="22"/>
        </w:rPr>
      </w:pPr>
      <w:hyperlink r:id="rId317" w:history="1">
        <w:r w:rsidRPr="008D61CE">
          <w:rPr>
            <w:sz w:val="22"/>
          </w:rPr>
          <w:t>QA00102 — Admisibilidad de las inversiones en eficiencia energética para grandes empresas, incluidas las inversiones en eficiencia energética en líneas de producción</w:t>
        </w:r>
      </w:hyperlink>
    </w:p>
    <w:p w:rsidR="0005656A" w:rsidRPr="008D61CE" w:rsidRDefault="0005656A" w:rsidP="0005656A">
      <w:pPr>
        <w:pStyle w:val="P68B1DB1-Normal5"/>
        <w:shd w:val="clear" w:color="auto" w:fill="FFFFFF"/>
        <w:spacing w:after="0" w:afterAutospacing="1"/>
        <w:ind w:right="-852"/>
        <w:rPr>
          <w:sz w:val="22"/>
        </w:rPr>
      </w:pPr>
      <w:hyperlink r:id="rId318" w:history="1">
        <w:r w:rsidRPr="008D61CE">
          <w:rPr>
            <w:sz w:val="22"/>
          </w:rPr>
          <w:t>QA00113 — Alcance de la ayuda definida en el artículo 3 (1) (a) (iii) «fomentar el crecimiento sostenible y la competitividad de las pymes y la creación de empleo en las pymes, también mediante inversiones productivas»</w:t>
        </w:r>
      </w:hyperlink>
    </w:p>
    <w:p w:rsidR="0005656A" w:rsidRPr="008D61CE" w:rsidRDefault="0005656A" w:rsidP="0005656A">
      <w:pPr>
        <w:pStyle w:val="P68B1DB1-Normal5"/>
        <w:shd w:val="clear" w:color="auto" w:fill="FFFFFF"/>
        <w:spacing w:after="0" w:afterAutospacing="1"/>
        <w:ind w:right="-852"/>
        <w:rPr>
          <w:sz w:val="22"/>
        </w:rPr>
      </w:pPr>
      <w:hyperlink r:id="rId319" w:history="1">
        <w:r w:rsidRPr="008D61CE">
          <w:rPr>
            <w:sz w:val="22"/>
          </w:rPr>
          <w:t>QA00134 — Preguntas relacionadas con la definición del vehículo limpio en el marco del objetivo político 4</w:t>
        </w:r>
      </w:hyperlink>
    </w:p>
    <w:p w:rsidR="0005656A" w:rsidRPr="008D61CE" w:rsidRDefault="0005656A" w:rsidP="0005656A">
      <w:pPr>
        <w:pStyle w:val="P68B1DB1-Normal5"/>
        <w:shd w:val="clear" w:color="auto" w:fill="FFFFFF"/>
        <w:spacing w:after="0" w:afterAutospacing="1"/>
        <w:ind w:right="-852"/>
        <w:rPr>
          <w:sz w:val="22"/>
        </w:rPr>
      </w:pPr>
      <w:hyperlink r:id="rId320" w:history="1">
        <w:r w:rsidRPr="008D61CE">
          <w:rPr>
            <w:sz w:val="22"/>
          </w:rPr>
          <w:t>QA00148 — Apoyo por parte del FEDER a actividades de investigación e innovación aplicada emprendidas por empresas distintas de las PYME</w:t>
        </w:r>
      </w:hyperlink>
    </w:p>
    <w:p w:rsidR="0005656A" w:rsidRPr="008D61CE" w:rsidRDefault="0005656A" w:rsidP="0005656A">
      <w:pPr>
        <w:pStyle w:val="P68B1DB1-Normal5"/>
        <w:shd w:val="clear" w:color="auto" w:fill="FFFFFF"/>
        <w:spacing w:after="0" w:afterAutospacing="1"/>
        <w:ind w:right="-852"/>
        <w:rPr>
          <w:sz w:val="22"/>
        </w:rPr>
      </w:pPr>
      <w:hyperlink r:id="rId321" w:history="1">
        <w:r w:rsidRPr="008D61CE">
          <w:rPr>
            <w:sz w:val="22"/>
          </w:rPr>
          <w:t>QA00149 — Apoyo a la infraestructura de GNL para combustibles alternativos, admisibilidad del biometano para la infraestructura para los combustibles alternativos</w:t>
        </w:r>
      </w:hyperlink>
    </w:p>
    <w:p w:rsidR="0005656A" w:rsidRPr="008D61CE" w:rsidRDefault="0005656A" w:rsidP="0005656A">
      <w:pPr>
        <w:pStyle w:val="P68B1DB1-Normal5"/>
        <w:shd w:val="clear" w:color="auto" w:fill="FFFFFF"/>
        <w:spacing w:after="0" w:afterAutospacing="1"/>
        <w:ind w:right="-852"/>
        <w:rPr>
          <w:sz w:val="22"/>
        </w:rPr>
      </w:pPr>
      <w:hyperlink r:id="rId322" w:history="1">
        <w:r w:rsidRPr="008D61CE">
          <w:rPr>
            <w:sz w:val="22"/>
          </w:rPr>
          <w:t>QA00189 — Optimización de los sistemas de calefacción existentes manteniendo al mismo tiempo el uso de gas</w:t>
        </w:r>
      </w:hyperlink>
    </w:p>
    <w:p w:rsidR="0005656A" w:rsidRPr="008D61CE" w:rsidRDefault="0005656A" w:rsidP="0005656A">
      <w:pPr>
        <w:pStyle w:val="P68B1DB1-Normal5"/>
        <w:shd w:val="clear" w:color="auto" w:fill="FFFFFF"/>
        <w:spacing w:after="0" w:afterAutospacing="1"/>
        <w:ind w:right="-852"/>
        <w:rPr>
          <w:sz w:val="22"/>
        </w:rPr>
      </w:pPr>
      <w:hyperlink r:id="rId323" w:history="1">
        <w:r w:rsidRPr="008D61CE">
          <w:rPr>
            <w:sz w:val="22"/>
          </w:rPr>
          <w:t>QA00223 — Admisibilidad de la asistencia técnica a las estructuras de gestión de Natura 2000</w:t>
        </w:r>
      </w:hyperlink>
    </w:p>
    <w:p w:rsidR="0005656A" w:rsidRPr="008D61CE" w:rsidRDefault="0005656A" w:rsidP="0005656A">
      <w:pPr>
        <w:pStyle w:val="P68B1DB1-Normal5"/>
        <w:shd w:val="clear" w:color="auto" w:fill="FFFFFF"/>
        <w:spacing w:after="0" w:afterAutospacing="1"/>
        <w:ind w:right="-852"/>
        <w:rPr>
          <w:sz w:val="22"/>
        </w:rPr>
      </w:pPr>
      <w:hyperlink r:id="rId324" w:history="1">
        <w:r w:rsidRPr="008D61CE">
          <w:rPr>
            <w:sz w:val="22"/>
          </w:rPr>
          <w:t>QA00240 — Verificación de la situación financiera de los beneficiarios</w:t>
        </w:r>
      </w:hyperlink>
    </w:p>
    <w:p w:rsidR="0005656A" w:rsidRPr="008D61CE" w:rsidRDefault="0005656A" w:rsidP="0005656A">
      <w:pPr>
        <w:pStyle w:val="P68B1DB1-Normal5"/>
        <w:shd w:val="clear" w:color="auto" w:fill="FFFFFF"/>
        <w:spacing w:after="0" w:afterAutospacing="1"/>
        <w:ind w:right="-852"/>
        <w:rPr>
          <w:sz w:val="22"/>
        </w:rPr>
      </w:pPr>
      <w:hyperlink r:id="rId325" w:history="1">
        <w:r w:rsidRPr="008D61CE">
          <w:rPr>
            <w:sz w:val="22"/>
          </w:rPr>
          <w:t>QA00249 — Admisibilidad de los costes de transporte y eliminación de residuos que contienen amianto en el marco de los programas para el período 2021-2027</w:t>
        </w:r>
      </w:hyperlink>
    </w:p>
    <w:p w:rsidR="0005656A" w:rsidRPr="008D61CE" w:rsidRDefault="0005656A" w:rsidP="0005656A">
      <w:pPr>
        <w:pStyle w:val="P68B1DB1-Normal5"/>
        <w:shd w:val="clear" w:color="auto" w:fill="FFFFFF"/>
        <w:spacing w:after="0" w:afterAutospacing="1"/>
        <w:ind w:right="-852"/>
        <w:rPr>
          <w:sz w:val="22"/>
        </w:rPr>
      </w:pPr>
      <w:hyperlink r:id="rId326" w:history="1">
        <w:r w:rsidRPr="008D61CE">
          <w:rPr>
            <w:sz w:val="22"/>
          </w:rPr>
          <w:t>QA00287 — Requisitos para la adquisición de vehículos con arreglo a las normas del FEDER y del FC</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w:t>
      </w:r>
      <w:hyperlink r:id="rId327" w:history="1">
        <w:r w:rsidRPr="008D61CE">
          <w:rPr>
            <w:sz w:val="22"/>
          </w:rPr>
          <w:t>A00290 — Actividades excluidas en virtud del artículo 7 del Reglamento (UE) 2021/1058</w:t>
        </w:r>
      </w:hyperlink>
    </w:p>
    <w:p w:rsidR="0005656A" w:rsidRPr="008D61CE" w:rsidRDefault="0005656A" w:rsidP="0005656A">
      <w:pPr>
        <w:pStyle w:val="P68B1DB1-Normal5"/>
        <w:shd w:val="clear" w:color="auto" w:fill="FFFFFF"/>
        <w:spacing w:after="0" w:afterAutospacing="1"/>
        <w:ind w:right="-852"/>
        <w:rPr>
          <w:sz w:val="22"/>
        </w:rPr>
      </w:pPr>
      <w:hyperlink r:id="rId328" w:history="1">
        <w:r w:rsidRPr="008D61CE">
          <w:rPr>
            <w:sz w:val="22"/>
          </w:rPr>
          <w:t>QA00299 — Admisibilidad de máquinas alimentadas por combustión de combustibles fósiles aplicando planes de gestión Natura 2000</w:t>
        </w:r>
      </w:hyperlink>
    </w:p>
    <w:p w:rsidR="0005656A" w:rsidRPr="008D61CE" w:rsidRDefault="0005656A" w:rsidP="0005656A">
      <w:pPr>
        <w:pStyle w:val="P68B1DB1-Normal5"/>
        <w:shd w:val="clear" w:color="auto" w:fill="FFFFFF"/>
        <w:spacing w:after="0" w:afterAutospacing="1"/>
        <w:ind w:right="-852"/>
        <w:rPr>
          <w:sz w:val="22"/>
        </w:rPr>
      </w:pPr>
      <w:hyperlink r:id="rId329"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5"/>
        <w:shd w:val="clear" w:color="auto" w:fill="FFFFFF"/>
        <w:spacing w:after="0" w:afterAutospacing="1"/>
        <w:ind w:right="-852"/>
        <w:rPr>
          <w:sz w:val="22"/>
        </w:rPr>
      </w:pPr>
      <w:hyperlink r:id="rId330" w:history="1">
        <w:r w:rsidRPr="008D61CE">
          <w:rPr>
            <w:sz w:val="22"/>
          </w:rPr>
          <w:t>QA00303 — Ámbito de aplicación de STEP y relación con las normas de subvencionabilidad en el marco de los fondos</w:t>
        </w:r>
      </w:hyperlink>
    </w:p>
    <w:p w:rsidR="0005656A" w:rsidRPr="008D61CE" w:rsidRDefault="0005656A" w:rsidP="0005656A">
      <w:pPr>
        <w:pStyle w:val="P68B1DB1-Normal5"/>
        <w:shd w:val="clear" w:color="auto" w:fill="FFFFFF"/>
        <w:spacing w:after="0" w:afterAutospacing="1"/>
        <w:ind w:right="-852"/>
        <w:rPr>
          <w:sz w:val="22"/>
        </w:rPr>
      </w:pPr>
      <w:hyperlink r:id="rId331" w:history="1">
        <w:r w:rsidRPr="008D61CE">
          <w:rPr>
            <w:sz w:val="22"/>
          </w:rPr>
          <w:t>QA00304 — Preguntas relacionadas con los objetivos climáticos, el límite máximo del 20 % de los recursos del FEDER y la comunicación</w:t>
        </w:r>
      </w:hyperlink>
    </w:p>
    <w:p w:rsidR="0005656A" w:rsidRPr="008D61CE" w:rsidRDefault="0005656A" w:rsidP="0005656A">
      <w:pPr>
        <w:pStyle w:val="P68B1DB1-Normal5"/>
        <w:shd w:val="clear" w:color="auto" w:fill="FFFFFF"/>
        <w:spacing w:after="0" w:afterAutospacing="1"/>
        <w:ind w:right="-852"/>
        <w:rPr>
          <w:sz w:val="22"/>
        </w:rPr>
      </w:pPr>
      <w:hyperlink r:id="rId332" w:history="1">
        <w:r w:rsidRPr="008D61CE">
          <w:rPr>
            <w:sz w:val="22"/>
          </w:rPr>
          <w:t>QA00305 — Preguntas relacionadas con las normas de subvencionabilidad, la fecha de inicio de la subvencionabilidad y los códigos de intervención</w:t>
        </w:r>
      </w:hyperlink>
    </w:p>
    <w:p w:rsidR="0005656A" w:rsidRPr="008D61CE" w:rsidRDefault="0005656A" w:rsidP="0005656A">
      <w:pPr>
        <w:pStyle w:val="P68B1DB1-Normal5"/>
        <w:shd w:val="clear" w:color="auto" w:fill="FFFFFF"/>
        <w:spacing w:after="0" w:afterAutospacing="1"/>
        <w:ind w:right="-852"/>
        <w:rPr>
          <w:sz w:val="22"/>
        </w:rPr>
      </w:pPr>
      <w:hyperlink r:id="rId333" w:history="1">
        <w:r w:rsidRPr="008D61CE">
          <w:rPr>
            <w:sz w:val="22"/>
          </w:rPr>
          <w:t>QA00310 — Preguntas relacionadas con aspectos relacionados con las ayudas estatales</w:t>
        </w:r>
      </w:hyperlink>
    </w:p>
    <w:p w:rsidR="0005656A" w:rsidRPr="008D61CE" w:rsidRDefault="0005656A" w:rsidP="0005656A">
      <w:pPr>
        <w:pStyle w:val="P68B1DB1-Normal5"/>
        <w:shd w:val="clear" w:color="auto" w:fill="FFFFFF"/>
        <w:spacing w:after="0" w:afterAutospacing="1"/>
        <w:ind w:right="-852"/>
        <w:rPr>
          <w:sz w:val="22"/>
        </w:rPr>
      </w:pPr>
      <w:hyperlink r:id="rId334" w:history="1">
        <w:r w:rsidRPr="008D61CE">
          <w:rPr>
            <w:sz w:val="22"/>
          </w:rPr>
          <w:t>QA00313 — Inversiones del FEDER/FC en calderas de gas natural y sistemas de calefacción en viviendas y edificios que sustituyen a los combustibles fósiles sólidos</w:t>
        </w:r>
      </w:hyperlink>
    </w:p>
    <w:p w:rsidR="0005656A" w:rsidRPr="008D61CE" w:rsidRDefault="0005656A" w:rsidP="0005656A">
      <w:pPr>
        <w:pStyle w:val="P68B1DB1-Normal5"/>
        <w:shd w:val="clear" w:color="auto" w:fill="FFFFFF"/>
        <w:spacing w:after="0" w:afterAutospacing="1"/>
        <w:ind w:right="-852"/>
        <w:rPr>
          <w:sz w:val="22"/>
        </w:rPr>
      </w:pPr>
      <w:hyperlink r:id="rId335" w:history="1">
        <w:r w:rsidRPr="008D61CE">
          <w:rPr>
            <w:sz w:val="22"/>
          </w:rPr>
          <w:t>QA00321 — Admisibilidad de la compra de autobuses de GNC (dentro del SO 2.8.)</w:t>
        </w:r>
      </w:hyperlink>
    </w:p>
    <w:p w:rsidR="0005656A" w:rsidRPr="008D61CE" w:rsidRDefault="0005656A" w:rsidP="0005656A">
      <w:pPr>
        <w:pStyle w:val="P68B1DB1-Normal5"/>
        <w:shd w:val="clear" w:color="auto" w:fill="FFFFFF"/>
        <w:spacing w:after="0" w:afterAutospacing="1"/>
        <w:ind w:right="-852"/>
        <w:rPr>
          <w:color w:val="050505"/>
          <w:sz w:val="22"/>
        </w:rPr>
      </w:pPr>
      <w:hyperlink r:id="rId336" w:history="1">
        <w:r w:rsidRPr="008D61CE">
          <w:rPr>
            <w:sz w:val="22"/>
          </w:rPr>
          <w:t>QA00323 — Inversiones subvencionables en el marco de STEP e implicaciones en materia de ayudas estatales</w:t>
        </w:r>
      </w:hyperlink>
    </w:p>
    <w:p w:rsidR="0005656A" w:rsidRPr="008D61CE" w:rsidRDefault="0005656A" w:rsidP="0005656A">
      <w:pPr>
        <w:pStyle w:val="P68B1DB1-Normal3"/>
        <w:shd w:val="clear" w:color="auto" w:fill="FFFFFF"/>
        <w:spacing w:after="0"/>
        <w:ind w:right="-852"/>
        <w:rPr>
          <w:b/>
          <w:sz w:val="20"/>
        </w:rPr>
      </w:pPr>
      <w:r w:rsidRPr="008D61CE">
        <w:rPr>
          <w:b/>
          <w:sz w:val="20"/>
        </w:rPr>
        <w:t>(2) Interreg</w:t>
      </w:r>
    </w:p>
    <w:p w:rsidR="0005656A" w:rsidRPr="008D61CE" w:rsidRDefault="0005656A" w:rsidP="0005656A">
      <w:pPr>
        <w:pStyle w:val="P68B1DB1-Normal5"/>
        <w:shd w:val="clear" w:color="auto" w:fill="FFFFFF"/>
        <w:spacing w:after="0" w:afterAutospacing="1"/>
        <w:ind w:right="-852"/>
        <w:rPr>
          <w:sz w:val="22"/>
        </w:rPr>
      </w:pPr>
      <w:hyperlink r:id="rId337" w:history="1">
        <w:r w:rsidRPr="008D61CE">
          <w:rPr>
            <w:sz w:val="22"/>
          </w:rPr>
          <w:t>QA00087 — INTERREG y desarrollo territorial</w:t>
        </w:r>
      </w:hyperlink>
    </w:p>
    <w:p w:rsidR="0005656A" w:rsidRPr="008D61CE" w:rsidRDefault="0005656A" w:rsidP="0005656A">
      <w:pPr>
        <w:pStyle w:val="P68B1DB1-Normal5"/>
        <w:shd w:val="clear" w:color="auto" w:fill="FFFFFF"/>
        <w:spacing w:after="0" w:afterAutospacing="1"/>
        <w:ind w:right="-852"/>
        <w:rPr>
          <w:sz w:val="22"/>
        </w:rPr>
      </w:pPr>
      <w:hyperlink r:id="rId338" w:history="1">
        <w:r w:rsidRPr="008D61CE">
          <w:rPr>
            <w:sz w:val="22"/>
          </w:rPr>
          <w:t>QA00153 — Tratamiento/verificación de las infracciones — solicitud de aclaración (RDC y Reglamento CTE 2021-2027)</w:t>
        </w:r>
      </w:hyperlink>
    </w:p>
    <w:p w:rsidR="0005656A" w:rsidRPr="008D61CE" w:rsidRDefault="0005656A" w:rsidP="0005656A">
      <w:pPr>
        <w:pStyle w:val="P68B1DB1-Normal5"/>
        <w:shd w:val="clear" w:color="auto" w:fill="FFFFFF"/>
        <w:spacing w:after="0" w:afterAutospacing="1"/>
        <w:ind w:right="-852"/>
        <w:rPr>
          <w:sz w:val="22"/>
        </w:rPr>
      </w:pPr>
      <w:hyperlink r:id="rId339" w:history="1">
        <w:r w:rsidRPr="008D61CE">
          <w:rPr>
            <w:sz w:val="22"/>
          </w:rPr>
          <w:t>QA00155 — Verificaciones relativas a la reubicación — RDC y Reglamento CTE 2021-2027</w:t>
        </w:r>
      </w:hyperlink>
    </w:p>
    <w:p w:rsidR="0005656A" w:rsidRPr="008D61CE" w:rsidRDefault="0005656A" w:rsidP="0005656A">
      <w:pPr>
        <w:pStyle w:val="P68B1DB1-Normal5"/>
        <w:shd w:val="clear" w:color="auto" w:fill="FFFFFF"/>
        <w:spacing w:after="0" w:afterAutospacing="1"/>
        <w:ind w:right="-852"/>
        <w:rPr>
          <w:sz w:val="22"/>
        </w:rPr>
      </w:pPr>
      <w:hyperlink r:id="rId340" w:history="1">
        <w:r w:rsidRPr="008D61CE">
          <w:rPr>
            <w:sz w:val="22"/>
          </w:rPr>
          <w:t>QA00163 — ¿Los costes de las verificaciones de la gestión pagados con cargo al presupuesto del proyecto por los beneficiarios de los programas de CTE en consonancia con el RDC 2021-2027?</w:t>
        </w:r>
      </w:hyperlink>
    </w:p>
    <w:p w:rsidR="0005656A" w:rsidRPr="008D61CE" w:rsidRDefault="0005656A" w:rsidP="0005656A">
      <w:pPr>
        <w:pStyle w:val="P68B1DB1-Normal5"/>
        <w:shd w:val="clear" w:color="auto" w:fill="FFFFFF"/>
        <w:spacing w:after="0" w:afterAutospacing="1"/>
        <w:ind w:right="-852"/>
        <w:rPr>
          <w:sz w:val="22"/>
        </w:rPr>
      </w:pPr>
      <w:hyperlink r:id="rId341" w:history="1">
        <w:r w:rsidRPr="008D61CE">
          <w:rPr>
            <w:sz w:val="22"/>
          </w:rPr>
          <w:t>QA00198 — «Beneficiario» en casos de ayuda estatal concedida en virtud de los artículos 20 o 20 bis del RGEC</w:t>
        </w:r>
      </w:hyperlink>
    </w:p>
    <w:p w:rsidR="0005656A" w:rsidRPr="008D61CE" w:rsidRDefault="0005656A" w:rsidP="0005656A">
      <w:pPr>
        <w:pStyle w:val="P68B1DB1-Normal5"/>
        <w:shd w:val="clear" w:color="auto" w:fill="FFFFFF"/>
        <w:spacing w:after="0" w:afterAutospacing="1"/>
        <w:ind w:right="-852"/>
        <w:rPr>
          <w:sz w:val="22"/>
        </w:rPr>
      </w:pPr>
      <w:hyperlink r:id="rId342" w:history="1">
        <w:r w:rsidRPr="008D61CE">
          <w:rPr>
            <w:sz w:val="22"/>
          </w:rPr>
          <w:t>QA00209 — Auditoría de los gastos de viaje y alojamiento reembolsados sobre la base de una cantidad a tanto alzado</w:t>
        </w:r>
      </w:hyperlink>
    </w:p>
    <w:p w:rsidR="0005656A" w:rsidRPr="008D61CE" w:rsidRDefault="0005656A" w:rsidP="0005656A">
      <w:pPr>
        <w:pStyle w:val="P68B1DB1-Normal5"/>
        <w:shd w:val="clear" w:color="auto" w:fill="FFFFFF"/>
        <w:spacing w:after="0" w:afterAutospacing="1"/>
        <w:ind w:right="-852"/>
        <w:rPr>
          <w:sz w:val="22"/>
        </w:rPr>
      </w:pPr>
      <w:hyperlink r:id="rId343" w:history="1">
        <w:r w:rsidRPr="008D61CE">
          <w:rPr>
            <w:sz w:val="22"/>
          </w:rPr>
          <w:t>QA00266 — ¿Se aplica el artículo 36, apartado 4, letra c), de la CTE al beneficiario/gestor del fondo para pequeños proyectos?</w:t>
        </w:r>
      </w:hyperlink>
    </w:p>
    <w:p w:rsidR="0005656A" w:rsidRPr="008D61CE" w:rsidRDefault="0005656A" w:rsidP="0005656A">
      <w:pPr>
        <w:pStyle w:val="P68B1DB1-Normal5"/>
        <w:shd w:val="clear" w:color="auto" w:fill="FFFFFF"/>
        <w:spacing w:after="0" w:afterAutospacing="1"/>
        <w:ind w:right="-852"/>
        <w:rPr>
          <w:sz w:val="22"/>
        </w:rPr>
      </w:pPr>
      <w:hyperlink r:id="rId344" w:history="1">
        <w:r w:rsidRPr="008D61CE">
          <w:rPr>
            <w:sz w:val="22"/>
          </w:rPr>
          <w:t xml:space="preserve">QA00279 — Coste subvencionable total/gasto en datos transmitidos de conformidad con el artículo 42 del RDC, informes </w:t>
        </w:r>
        <w:proofErr w:type="spellStart"/>
        <w:r w:rsidRPr="008D61CE">
          <w:rPr>
            <w:sz w:val="22"/>
          </w:rPr>
          <w:t>Infosys</w:t>
        </w:r>
        <w:proofErr w:type="spellEnd"/>
      </w:hyperlink>
    </w:p>
    <w:p w:rsidR="0005656A" w:rsidRPr="008D61CE" w:rsidRDefault="0005656A" w:rsidP="0005656A">
      <w:pPr>
        <w:pStyle w:val="P68B1DB1-Normal5"/>
        <w:shd w:val="clear" w:color="auto" w:fill="FFFFFF"/>
        <w:spacing w:after="0" w:afterAutospacing="1"/>
        <w:ind w:right="-852"/>
        <w:rPr>
          <w:sz w:val="22"/>
        </w:rPr>
      </w:pPr>
      <w:hyperlink r:id="rId345" w:history="1">
        <w:r w:rsidRPr="008D61CE">
          <w:rPr>
            <w:sz w:val="22"/>
          </w:rPr>
          <w:t>QA00286 — Aplicabilidad del artículo 22, apartado 1, párrafo segundo, de la CTE en caso de participación en conferencias fuera de la zona del programa</w:t>
        </w:r>
      </w:hyperlink>
    </w:p>
    <w:p w:rsidR="0005656A" w:rsidRPr="008D61CE" w:rsidRDefault="0005656A" w:rsidP="0005656A">
      <w:pPr>
        <w:pStyle w:val="P68B1DB1-Normal5"/>
        <w:shd w:val="clear" w:color="auto" w:fill="FFFFFF"/>
        <w:spacing w:after="0" w:afterAutospacing="1"/>
        <w:ind w:right="-852"/>
        <w:rPr>
          <w:sz w:val="22"/>
        </w:rPr>
      </w:pPr>
      <w:hyperlink r:id="rId346" w:history="1">
        <w:r w:rsidRPr="008D61CE">
          <w:rPr>
            <w:sz w:val="22"/>
          </w:rPr>
          <w:t>QA00294 — Medidas aplicadas por la autoridad de gestión — Normas de comunicación — Interreg</w:t>
        </w:r>
      </w:hyperlink>
    </w:p>
    <w:p w:rsidR="0005656A" w:rsidRPr="008D61CE" w:rsidRDefault="0005656A" w:rsidP="0005656A">
      <w:pPr>
        <w:pStyle w:val="P68B1DB1-Normal5"/>
        <w:shd w:val="clear" w:color="auto" w:fill="FFFFFF"/>
        <w:spacing w:after="0" w:afterAutospacing="1"/>
        <w:ind w:right="-852"/>
        <w:rPr>
          <w:sz w:val="22"/>
        </w:rPr>
      </w:pPr>
      <w:hyperlink r:id="rId347" w:history="1">
        <w:r w:rsidRPr="008D61CE">
          <w:rPr>
            <w:sz w:val="22"/>
          </w:rPr>
          <w:t>QA00318 — Contribución en especie en forma de trabajo voluntario con arreglo al artículo 39 de la CTE</w:t>
        </w:r>
      </w:hyperlink>
    </w:p>
    <w:p w:rsidR="0005656A" w:rsidRPr="008D61CE" w:rsidRDefault="0005656A" w:rsidP="0005656A">
      <w:pPr>
        <w:pStyle w:val="P68B1DB1-Normal3"/>
        <w:shd w:val="clear" w:color="auto" w:fill="FFFFFF"/>
        <w:spacing w:after="0"/>
        <w:ind w:right="-852"/>
        <w:rPr>
          <w:b/>
          <w:sz w:val="20"/>
        </w:rPr>
      </w:pPr>
      <w:r w:rsidRPr="008D61CE">
        <w:rPr>
          <w:b/>
          <w:sz w:val="20"/>
        </w:rPr>
        <w:t>(3) FSE +</w:t>
      </w:r>
    </w:p>
    <w:p w:rsidR="0005656A" w:rsidRPr="008D61CE" w:rsidRDefault="0005656A" w:rsidP="0005656A">
      <w:pPr>
        <w:pStyle w:val="P68B1DB1-Normal3"/>
        <w:shd w:val="clear" w:color="auto" w:fill="FFFFFF"/>
        <w:spacing w:after="0"/>
        <w:ind w:right="-852"/>
        <w:rPr>
          <w:b/>
          <w:sz w:val="20"/>
        </w:rPr>
      </w:pPr>
      <w:r w:rsidRPr="008D61CE">
        <w:rPr>
          <w:b/>
          <w:sz w:val="20"/>
        </w:rPr>
        <w:t>(1) Disposiciones generales (artículos 1 a 6)</w:t>
      </w:r>
    </w:p>
    <w:p w:rsidR="0005656A" w:rsidRPr="008D61CE" w:rsidRDefault="0005656A" w:rsidP="0005656A">
      <w:pPr>
        <w:pStyle w:val="P68B1DB1-Normal5"/>
        <w:shd w:val="clear" w:color="auto" w:fill="FFFFFF"/>
        <w:spacing w:after="0" w:afterAutospacing="1"/>
        <w:ind w:right="-852"/>
        <w:rPr>
          <w:sz w:val="22"/>
        </w:rPr>
      </w:pPr>
      <w:hyperlink r:id="rId348" w:history="1">
        <w:r w:rsidRPr="008D61CE">
          <w:rPr>
            <w:sz w:val="22"/>
          </w:rPr>
          <w:t>QA_FSE+_ 001 — Definición de empresa social</w:t>
        </w:r>
      </w:hyperlink>
    </w:p>
    <w:p w:rsidR="0005656A" w:rsidRPr="008D61CE" w:rsidRDefault="0005656A" w:rsidP="0005656A">
      <w:pPr>
        <w:pStyle w:val="P68B1DB1-Normal5"/>
        <w:shd w:val="clear" w:color="auto" w:fill="FFFFFF"/>
        <w:spacing w:after="0" w:afterAutospacing="1"/>
        <w:ind w:right="-852"/>
        <w:rPr>
          <w:sz w:val="22"/>
        </w:rPr>
      </w:pPr>
      <w:hyperlink r:id="rId349" w:history="1">
        <w:r w:rsidRPr="008D61CE">
          <w:rPr>
            <w:sz w:val="22"/>
          </w:rPr>
          <w:t>QA_FSE+_002 — Relación entre los objetivos específicos (h) y (l)</w:t>
        </w:r>
      </w:hyperlink>
    </w:p>
    <w:p w:rsidR="0005656A" w:rsidRPr="008D61CE" w:rsidRDefault="0005656A" w:rsidP="0005656A">
      <w:pPr>
        <w:pStyle w:val="P68B1DB1-Normal5"/>
        <w:shd w:val="clear" w:color="auto" w:fill="FFFFFF"/>
        <w:spacing w:after="0" w:afterAutospacing="1"/>
        <w:ind w:right="-852"/>
        <w:rPr>
          <w:sz w:val="22"/>
        </w:rPr>
      </w:pPr>
      <w:hyperlink r:id="rId350" w:history="1">
        <w:r w:rsidRPr="008D61CE">
          <w:rPr>
            <w:sz w:val="22"/>
          </w:rPr>
          <w:t>QA_FSE+_003 — Medidas temporales para el uso del FSE + a fin de responder a circunstancias excepcionales y excepcionales</w:t>
        </w:r>
      </w:hyperlink>
    </w:p>
    <w:p w:rsidR="0005656A" w:rsidRPr="008D61CE" w:rsidRDefault="0005656A" w:rsidP="0005656A">
      <w:pPr>
        <w:pStyle w:val="P68B1DB1-Normal5"/>
        <w:shd w:val="clear" w:color="auto" w:fill="FFFFFF"/>
        <w:spacing w:after="0" w:afterAutospacing="1"/>
        <w:ind w:right="-852"/>
        <w:rPr>
          <w:color w:val="050505"/>
          <w:sz w:val="22"/>
        </w:rPr>
      </w:pPr>
      <w:hyperlink r:id="rId351" w:history="1">
        <w:r w:rsidRPr="008D61CE">
          <w:rPr>
            <w:sz w:val="22"/>
          </w:rPr>
          <w:t>QA_FSE+_004 — Objetivos específicos del programa de apoyo a los migrantes laborales/miembros de comunidades marginadas</w:t>
        </w:r>
      </w:hyperlink>
    </w:p>
    <w:p w:rsidR="0005656A" w:rsidRPr="008D61CE" w:rsidRDefault="0005656A" w:rsidP="0005656A">
      <w:pPr>
        <w:pStyle w:val="P68B1DB1-Normal3"/>
        <w:shd w:val="clear" w:color="auto" w:fill="FFFFFF"/>
        <w:spacing w:after="0"/>
        <w:ind w:right="-852"/>
        <w:rPr>
          <w:b/>
          <w:sz w:val="20"/>
        </w:rPr>
      </w:pPr>
      <w:r w:rsidRPr="008D61CE">
        <w:rPr>
          <w:b/>
          <w:sz w:val="20"/>
        </w:rPr>
        <w:t>(2) Disposiciones comunes sobre programación (artículos 7 a 12)</w:t>
      </w:r>
    </w:p>
    <w:p w:rsidR="0005656A" w:rsidRPr="008D61CE" w:rsidRDefault="0005656A" w:rsidP="0005656A">
      <w:pPr>
        <w:pStyle w:val="P68B1DB1-Normal5"/>
        <w:shd w:val="clear" w:color="auto" w:fill="FFFFFF"/>
        <w:spacing w:after="0" w:afterAutospacing="1"/>
        <w:ind w:right="-852"/>
        <w:rPr>
          <w:sz w:val="22"/>
        </w:rPr>
      </w:pPr>
      <w:hyperlink r:id="rId352"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5"/>
        <w:shd w:val="clear" w:color="auto" w:fill="FFFFFF"/>
        <w:spacing w:after="0" w:afterAutospacing="1"/>
        <w:ind w:right="-852"/>
        <w:rPr>
          <w:sz w:val="22"/>
        </w:rPr>
      </w:pPr>
      <w:hyperlink r:id="rId353" w:history="1">
        <w:r w:rsidRPr="008D61CE">
          <w:rPr>
            <w:sz w:val="22"/>
          </w:rPr>
          <w:t>QA00303 — Ámbito de aplicación de STEP y relación con las normas de subvencionabilidad en el marco de los fondos</w:t>
        </w:r>
      </w:hyperlink>
    </w:p>
    <w:p w:rsidR="0005656A" w:rsidRPr="008D61CE" w:rsidRDefault="0005656A" w:rsidP="0005656A">
      <w:pPr>
        <w:pStyle w:val="P68B1DB1-Normal5"/>
        <w:shd w:val="clear" w:color="auto" w:fill="FFFFFF"/>
        <w:spacing w:after="0" w:afterAutospacing="1"/>
        <w:ind w:right="-852"/>
        <w:rPr>
          <w:sz w:val="22"/>
        </w:rPr>
      </w:pPr>
      <w:hyperlink r:id="rId354" w:history="1">
        <w:r w:rsidRPr="008D61CE">
          <w:rPr>
            <w:sz w:val="22"/>
          </w:rPr>
          <w:t>QA00305 — Preguntas relacionadas con las normas de subvencionabilidad, la fecha de inicio de la subvencionabilidad y los códigos de intervención</w:t>
        </w:r>
      </w:hyperlink>
    </w:p>
    <w:p w:rsidR="0005656A" w:rsidRPr="008D61CE" w:rsidRDefault="0005656A" w:rsidP="0005656A">
      <w:pPr>
        <w:pStyle w:val="P68B1DB1-Normal5"/>
        <w:shd w:val="clear" w:color="auto" w:fill="FFFFFF"/>
        <w:spacing w:after="0" w:afterAutospacing="1"/>
        <w:ind w:right="-852"/>
        <w:rPr>
          <w:sz w:val="22"/>
        </w:rPr>
      </w:pPr>
      <w:hyperlink r:id="rId355" w:history="1">
        <w:r w:rsidRPr="008D61CE">
          <w:rPr>
            <w:sz w:val="22"/>
          </w:rPr>
          <w:t>QA_FSE+_005 — Vínculo entre el programa EU4Heath y el FSE +</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QA_</w:t>
      </w:r>
      <w:hyperlink r:id="rId356" w:history="1">
        <w:r w:rsidRPr="008D61CE">
          <w:rPr>
            <w:sz w:val="22"/>
          </w:rPr>
          <w:t>FSE+_006 — 3 % para el apoyo a las personas más desfavorecidas, además del 25 % para la inclusión social</w:t>
        </w:r>
      </w:hyperlink>
    </w:p>
    <w:p w:rsidR="0005656A" w:rsidRPr="008D61CE" w:rsidRDefault="0005656A" w:rsidP="0005656A">
      <w:pPr>
        <w:pStyle w:val="P68B1DB1-Normal5"/>
        <w:shd w:val="clear" w:color="auto" w:fill="FFFFFF"/>
        <w:spacing w:after="0" w:afterAutospacing="1"/>
        <w:ind w:right="-852"/>
        <w:rPr>
          <w:sz w:val="22"/>
        </w:rPr>
      </w:pPr>
      <w:hyperlink r:id="rId357" w:history="1">
        <w:r w:rsidRPr="008D61CE">
          <w:rPr>
            <w:sz w:val="22"/>
          </w:rPr>
          <w:t>QA_FSE+_007 — Cantidad adecuada para la pobreza infantil y el empleo juvenil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QA_FSE+_008 — </w:t>
      </w:r>
      <w:hyperlink r:id="rId358" w:history="1">
        <w:r w:rsidRPr="008D61CE">
          <w:rPr>
            <w:sz w:val="22"/>
          </w:rPr>
          <w:t>¿Se considera que 0 puede ser un importe adecuado?</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QA_FSE+_009 — </w:t>
      </w:r>
      <w:hyperlink r:id="rId359" w:history="1">
        <w:r w:rsidRPr="008D61CE">
          <w:rPr>
            <w:sz w:val="22"/>
          </w:rPr>
          <w:t>Valor de referencia medio del FSE + 2017-2019 para la pobreza infantil y el empleo juvenil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QA_FSE+_010 — </w:t>
      </w:r>
      <w:hyperlink r:id="rId360" w:history="1">
        <w:r w:rsidRPr="008D61CE">
          <w:rPr>
            <w:sz w:val="22"/>
          </w:rPr>
          <w:t>¿Se aplica la concentración temática del 5 % a la lucha contra la pobreza infantil?</w:t>
        </w:r>
      </w:hyperlink>
    </w:p>
    <w:p w:rsidR="0005656A" w:rsidRPr="008D61CE" w:rsidRDefault="0005656A" w:rsidP="0005656A">
      <w:pPr>
        <w:pStyle w:val="P68B1DB1-Normal5"/>
        <w:shd w:val="clear" w:color="auto" w:fill="FFFFFF"/>
        <w:spacing w:after="0" w:afterAutospacing="1"/>
        <w:ind w:right="-852"/>
        <w:rPr>
          <w:sz w:val="22"/>
        </w:rPr>
      </w:pPr>
      <w:hyperlink r:id="rId361" w:history="1">
        <w:r w:rsidRPr="008D61CE">
          <w:rPr>
            <w:sz w:val="22"/>
          </w:rPr>
          <w:t>QA_FSE+_012 — Mecanismo para anticipar las necesidades de capacidades en el mercado laboral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QA_FSE+_013 — </w:t>
      </w:r>
      <w:hyperlink r:id="rId362" w:history="1">
        <w:r w:rsidRPr="008D61CE">
          <w:rPr>
            <w:sz w:val="22"/>
          </w:rPr>
          <w:t>¿Cómo hacer un seguimiento de los requisitos de concentración temática en caso de que no exista una prioridad específica?</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QA_FSE+_014 — </w:t>
      </w:r>
      <w:hyperlink r:id="rId363" w:history="1">
        <w:r w:rsidRPr="008D61CE">
          <w:rPr>
            <w:sz w:val="22"/>
          </w:rPr>
          <w:t>¿Cómo funcionarán en la práctica los requisitos de concentración temática y cómo se interrelacionarán?</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QA_FSE+_015 — </w:t>
      </w:r>
      <w:hyperlink r:id="rId364" w:history="1">
        <w:r w:rsidRPr="008D61CE">
          <w:rPr>
            <w:sz w:val="22"/>
          </w:rPr>
          <w:t>¿Es obligatorio el objetivo específico i) del FSE + 015?</w:t>
        </w:r>
      </w:hyperlink>
    </w:p>
    <w:p w:rsidR="0005656A" w:rsidRPr="008D61CE" w:rsidRDefault="0005656A" w:rsidP="0005656A">
      <w:pPr>
        <w:pStyle w:val="P68B1DB1-Normal5"/>
        <w:shd w:val="clear" w:color="auto" w:fill="FFFFFF"/>
        <w:spacing w:after="0" w:afterAutospacing="1"/>
        <w:ind w:right="-852"/>
        <w:rPr>
          <w:sz w:val="22"/>
        </w:rPr>
      </w:pPr>
      <w:hyperlink r:id="rId365" w:history="1">
        <w:r w:rsidRPr="008D61CE">
          <w:rPr>
            <w:sz w:val="22"/>
          </w:rPr>
          <w:t>QA_FSE + 016 — artículo 8 Respeto de la Carta</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QA_FSE+_017 — </w:t>
      </w:r>
      <w:hyperlink r:id="rId366" w:history="1">
        <w:r w:rsidRPr="008D61CE">
          <w:rPr>
            <w:sz w:val="22"/>
          </w:rPr>
          <w:t>Porcentaje de financiación del FSE + 0170,25 % para el desarrollo de capacidades de los interlocutores sociales y las organizaciones de la sociedad civil</w:t>
        </w:r>
      </w:hyperlink>
    </w:p>
    <w:p w:rsidR="0005656A" w:rsidRPr="008D61CE" w:rsidRDefault="0005656A" w:rsidP="0005656A">
      <w:pPr>
        <w:pStyle w:val="P68B1DB1-Normal5"/>
        <w:shd w:val="clear" w:color="auto" w:fill="FFFFFF"/>
        <w:spacing w:after="0" w:afterAutospacing="1"/>
        <w:ind w:right="-852"/>
        <w:rPr>
          <w:sz w:val="22"/>
        </w:rPr>
      </w:pPr>
      <w:hyperlink r:id="rId367" w:history="1">
        <w:r w:rsidRPr="008D61CE">
          <w:rPr>
            <w:sz w:val="22"/>
          </w:rPr>
          <w:t>QA_FSE+_018 — Programación del desarrollo de capacidades de los interlocutores sociales y las organizaciones de la sociedad civil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QA_FSE+_019 — </w:t>
      </w:r>
      <w:hyperlink r:id="rId368" w:history="1">
        <w:r w:rsidRPr="008D61CE">
          <w:rPr>
            <w:sz w:val="22"/>
          </w:rPr>
          <w:t>¿Cómo ejecutar «una cantidad adecuada de recursos del FSE + en régimen de gestión compartida en cada programa para el desarrollo de capacidades de los interlocutores sociales y las organizaciones de la sociedad civil»?</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QA_FSE+_020 — </w:t>
      </w:r>
      <w:hyperlink r:id="rId369" w:history="1">
        <w:r w:rsidRPr="008D61CE">
          <w:rPr>
            <w:sz w:val="22"/>
          </w:rPr>
          <w:t xml:space="preserve">Porcentaje de cofinanciación del </w:t>
        </w:r>
        <w:proofErr w:type="spellStart"/>
        <w:r w:rsidRPr="008D61CE">
          <w:rPr>
            <w:sz w:val="22"/>
          </w:rPr>
          <w:t>del</w:t>
        </w:r>
        <w:proofErr w:type="spellEnd"/>
        <w:r w:rsidRPr="008D61CE">
          <w:rPr>
            <w:sz w:val="22"/>
          </w:rPr>
          <w:t xml:space="preserve"> FSE + 020-90 %</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QA_FSE+_021 — </w:t>
      </w:r>
      <w:hyperlink r:id="rId370" w:history="1">
        <w:r w:rsidRPr="008D61CE">
          <w:rPr>
            <w:sz w:val="22"/>
          </w:rPr>
          <w:t>¿Cómo programar el 3 % de la ayuda a las personas más desfavorecidas en el marco de los objetivos específicos l) y m)?</w:t>
        </w:r>
      </w:hyperlink>
    </w:p>
    <w:p w:rsidR="0005656A" w:rsidRPr="008D61CE" w:rsidRDefault="0005656A" w:rsidP="0005656A">
      <w:pPr>
        <w:pStyle w:val="P68B1DB1-Normal5"/>
        <w:shd w:val="clear" w:color="auto" w:fill="FFFFFF"/>
        <w:spacing w:after="0" w:afterAutospacing="1"/>
        <w:ind w:right="-852"/>
        <w:rPr>
          <w:sz w:val="22"/>
        </w:rPr>
      </w:pPr>
      <w:hyperlink r:id="rId371" w:history="1">
        <w:r w:rsidRPr="008D61CE">
          <w:rPr>
            <w:sz w:val="22"/>
          </w:rPr>
          <w:t>QA_FSE+_022 — Programación de acciones para los ninis</w:t>
        </w:r>
      </w:hyperlink>
    </w:p>
    <w:p w:rsidR="0005656A" w:rsidRPr="008D61CE" w:rsidRDefault="0005656A" w:rsidP="0005656A">
      <w:pPr>
        <w:pStyle w:val="P68B1DB1-Normal3"/>
        <w:shd w:val="clear" w:color="auto" w:fill="FFFFFF"/>
        <w:spacing w:after="0"/>
        <w:ind w:right="-852"/>
        <w:rPr>
          <w:b/>
          <w:sz w:val="20"/>
        </w:rPr>
      </w:pPr>
      <w:r w:rsidRPr="008D61CE">
        <w:rPr>
          <w:b/>
          <w:sz w:val="20"/>
        </w:rPr>
        <w:t>(3) Apoyo general del capítulo del FSE + en régimen de gestión compartida (artículos 13 a 17, anexos I y II)</w:t>
      </w:r>
    </w:p>
    <w:p w:rsidR="0005656A" w:rsidRPr="008D61CE" w:rsidRDefault="0005656A" w:rsidP="0005656A">
      <w:pPr>
        <w:pStyle w:val="P68B1DB1-Normal5"/>
        <w:shd w:val="clear" w:color="auto" w:fill="FFFFFF"/>
        <w:spacing w:after="0" w:afterAutospacing="1"/>
        <w:ind w:right="-852"/>
        <w:rPr>
          <w:sz w:val="22"/>
        </w:rPr>
      </w:pPr>
      <w:hyperlink r:id="rId372"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5"/>
        <w:shd w:val="clear" w:color="auto" w:fill="FFFFFF"/>
        <w:spacing w:after="0" w:afterAutospacing="1"/>
        <w:ind w:right="-852"/>
        <w:rPr>
          <w:sz w:val="22"/>
        </w:rPr>
      </w:pPr>
      <w:hyperlink r:id="rId373" w:history="1">
        <w:r w:rsidRPr="008D61CE">
          <w:rPr>
            <w:sz w:val="22"/>
          </w:rPr>
          <w:t>QA_FSE+_023 — DLP — Innovación social</w:t>
        </w:r>
      </w:hyperlink>
    </w:p>
    <w:p w:rsidR="0005656A" w:rsidRPr="008D61CE" w:rsidRDefault="0005656A" w:rsidP="0005656A">
      <w:pPr>
        <w:pStyle w:val="P68B1DB1-Normal5"/>
        <w:shd w:val="clear" w:color="auto" w:fill="FFFFFF"/>
        <w:spacing w:after="0" w:afterAutospacing="1"/>
        <w:ind w:right="-852"/>
        <w:rPr>
          <w:sz w:val="22"/>
        </w:rPr>
      </w:pPr>
      <w:hyperlink r:id="rId374" w:history="1">
        <w:r w:rsidRPr="008D61CE">
          <w:rPr>
            <w:sz w:val="22"/>
          </w:rPr>
          <w:t>QA_FSE+_024 — Innovación social prioritaria específica</w:t>
        </w:r>
      </w:hyperlink>
    </w:p>
    <w:p w:rsidR="0005656A" w:rsidRPr="008D61CE" w:rsidRDefault="0005656A" w:rsidP="0005656A">
      <w:pPr>
        <w:pStyle w:val="P68B1DB1-Normal5"/>
        <w:shd w:val="clear" w:color="auto" w:fill="FFFFFF"/>
        <w:spacing w:after="0" w:afterAutospacing="1"/>
        <w:ind w:right="-852"/>
        <w:rPr>
          <w:sz w:val="22"/>
        </w:rPr>
      </w:pPr>
      <w:hyperlink r:id="rId375" w:history="1">
        <w:r w:rsidRPr="008D61CE">
          <w:rPr>
            <w:sz w:val="22"/>
          </w:rPr>
          <w:t>QA_FSE+_025 — Contribuciones en especie</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QA_FSE+_026 — </w:t>
      </w:r>
      <w:hyperlink r:id="rId376" w:history="1">
        <w:r w:rsidRPr="008D61CE">
          <w:rPr>
            <w:sz w:val="22"/>
          </w:rPr>
          <w:t>¿Se cumplen las condiciones establecidas en el artículo 16, apartado 1, para la subvencionabilidad de los costes de adquisición de determinados bienes alternativos o acumulativos?</w:t>
        </w:r>
      </w:hyperlink>
    </w:p>
    <w:p w:rsidR="0005656A" w:rsidRPr="008D61CE" w:rsidRDefault="0005656A" w:rsidP="0005656A">
      <w:pPr>
        <w:pStyle w:val="P68B1DB1-Normal5"/>
        <w:shd w:val="clear" w:color="auto" w:fill="FFFFFF"/>
        <w:spacing w:after="0" w:afterAutospacing="1"/>
        <w:ind w:right="-852"/>
        <w:rPr>
          <w:sz w:val="22"/>
        </w:rPr>
      </w:pPr>
      <w:hyperlink r:id="rId377" w:history="1">
        <w:r w:rsidRPr="008D61CE">
          <w:rPr>
            <w:sz w:val="22"/>
          </w:rPr>
          <w:t>QA_FSE+_031 — Indicadores de la juventud</w:t>
        </w:r>
      </w:hyperlink>
    </w:p>
    <w:p w:rsidR="0005656A" w:rsidRPr="008D61CE" w:rsidRDefault="0005656A" w:rsidP="0005656A">
      <w:pPr>
        <w:pStyle w:val="P68B1DB1-Normal3"/>
        <w:shd w:val="clear" w:color="auto" w:fill="FFFFFF"/>
        <w:spacing w:after="0"/>
        <w:ind w:right="-852"/>
        <w:rPr>
          <w:b/>
          <w:sz w:val="20"/>
        </w:rPr>
      </w:pPr>
      <w:r w:rsidRPr="008D61CE">
        <w:rPr>
          <w:b/>
          <w:sz w:val="20"/>
        </w:rPr>
        <w:lastRenderedPageBreak/>
        <w:t>(4) Apoyo del FSE + para hacer frente a la privación material (artículos 18 a 24, anexo III)</w:t>
      </w:r>
    </w:p>
    <w:p w:rsidR="0005656A" w:rsidRPr="008D61CE" w:rsidRDefault="0005656A" w:rsidP="0005656A">
      <w:pPr>
        <w:pStyle w:val="P68B1DB1-Normal5"/>
        <w:shd w:val="clear" w:color="auto" w:fill="FFFFFF"/>
        <w:spacing w:after="0" w:afterAutospacing="1"/>
        <w:ind w:right="-852"/>
        <w:rPr>
          <w:sz w:val="22"/>
        </w:rPr>
      </w:pPr>
      <w:hyperlink r:id="rId378" w:history="1">
        <w:r w:rsidRPr="008D61CE">
          <w:rPr>
            <w:sz w:val="22"/>
          </w:rPr>
          <w:t>QA_FSE+_032 — Admisibilidad de los costes de personal del beneficiario en el marco del programa para hacer frente a la privación material</w:t>
        </w:r>
      </w:hyperlink>
    </w:p>
    <w:p w:rsidR="0005656A" w:rsidRPr="008D61CE" w:rsidRDefault="0005656A" w:rsidP="0005656A">
      <w:pPr>
        <w:pStyle w:val="P68B1DB1-Normal5"/>
        <w:shd w:val="clear" w:color="auto" w:fill="FFFFFF"/>
        <w:spacing w:after="0" w:afterAutospacing="1"/>
        <w:ind w:right="-852"/>
        <w:rPr>
          <w:sz w:val="22"/>
        </w:rPr>
      </w:pPr>
      <w:hyperlink r:id="rId379" w:history="1">
        <w:r w:rsidRPr="008D61CE">
          <w:rPr>
            <w:sz w:val="22"/>
          </w:rPr>
          <w:t>QA_FSE+_027 — Respeto de la dignidad y prevención de la estigmatización de las personas más necesitadas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QA_FSE+_028 — </w:t>
      </w:r>
      <w:hyperlink r:id="rId380" w:history="1">
        <w:r w:rsidRPr="008D61CE">
          <w:rPr>
            <w:sz w:val="22"/>
          </w:rPr>
          <w:t>Financiación de las medidas de acompañamiento del FSE + 028-Financiación de las medidas de acompañamiento</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QA_FSE+_029 — </w:t>
      </w:r>
      <w:hyperlink r:id="rId381" w:history="1">
        <w:r w:rsidRPr="008D61CE">
          <w:rPr>
            <w:sz w:val="22"/>
          </w:rPr>
          <w:t>¿Se pueden canjear los vales por el pago de alquileres o facturas domésticas?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QA_FSE+_030 — </w:t>
      </w:r>
      <w:hyperlink r:id="rId382" w:history="1">
        <w:r w:rsidRPr="008D61CE">
          <w:rPr>
            <w:sz w:val="22"/>
          </w:rPr>
          <w:t>¿Puede la encuesta estructurada aplicarse externamente a través de la asistencia técnica?</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QA_FSE+_033 — </w:t>
      </w:r>
      <w:hyperlink r:id="rId383" w:history="1">
        <w:r w:rsidRPr="008D61CE">
          <w:rPr>
            <w:sz w:val="22"/>
          </w:rPr>
          <w:t>Porcentaje de admisibilidad a tanto alzado del 7 % para los socios que participan en la distribución de bonos electrónicos</w:t>
        </w:r>
      </w:hyperlink>
    </w:p>
    <w:p w:rsidR="0005656A" w:rsidRPr="008D61CE" w:rsidRDefault="0005656A" w:rsidP="0005656A">
      <w:pPr>
        <w:pStyle w:val="P68B1DB1-Normal5"/>
        <w:shd w:val="clear" w:color="auto" w:fill="FFFFFF"/>
        <w:spacing w:after="0" w:afterAutospacing="1"/>
        <w:ind w:right="-852"/>
        <w:rPr>
          <w:sz w:val="22"/>
        </w:rPr>
      </w:pPr>
      <w:r w:rsidRPr="008D61CE">
        <w:rPr>
          <w:sz w:val="22"/>
        </w:rPr>
        <w:t xml:space="preserve">QA_FSE+_029 — </w:t>
      </w:r>
      <w:hyperlink r:id="rId384" w:history="1">
        <w:r w:rsidRPr="008D61CE">
          <w:rPr>
            <w:sz w:val="22"/>
          </w:rPr>
          <w:t>¿Se pueden canjear los vales por el pago de alquileres o facturas domésticas?</w:t>
        </w:r>
      </w:hyperlink>
    </w:p>
    <w:p w:rsidR="0005656A" w:rsidRPr="008D61CE" w:rsidRDefault="0005656A" w:rsidP="0005656A">
      <w:pPr>
        <w:pStyle w:val="P68B1DB1-Normal3"/>
        <w:shd w:val="clear" w:color="auto" w:fill="FFFFFF"/>
        <w:spacing w:after="0"/>
        <w:ind w:right="-852"/>
        <w:rPr>
          <w:b/>
          <w:sz w:val="20"/>
        </w:rPr>
      </w:pPr>
      <w:r w:rsidRPr="008D61CE">
        <w:rPr>
          <w:b/>
          <w:sz w:val="20"/>
        </w:rPr>
        <w:t>(5) Disposiciones finales (artículo 37-42)</w:t>
      </w:r>
    </w:p>
    <w:p w:rsidR="0005656A" w:rsidRPr="008D61CE" w:rsidRDefault="0005656A" w:rsidP="0005656A">
      <w:pPr>
        <w:pStyle w:val="P68B1DB1-Normal7"/>
        <w:shd w:val="clear" w:color="auto" w:fill="FFFFFF"/>
        <w:spacing w:before="150" w:after="0"/>
        <w:ind w:right="-852"/>
        <w:rPr>
          <w:sz w:val="22"/>
        </w:rPr>
      </w:pPr>
      <w:r w:rsidRPr="008D61CE">
        <w:rPr>
          <w:sz w:val="22"/>
        </w:rPr>
        <w:t>No hay contenido con las etiquetas especificadas</w:t>
      </w:r>
    </w:p>
    <w:p w:rsidR="0005656A" w:rsidRPr="008D61CE" w:rsidRDefault="0005656A" w:rsidP="0005656A">
      <w:pPr>
        <w:pStyle w:val="P68B1DB1-Normal3"/>
        <w:shd w:val="clear" w:color="auto" w:fill="FFFFFF"/>
        <w:spacing w:after="0"/>
        <w:ind w:right="-852"/>
        <w:rPr>
          <w:sz w:val="20"/>
        </w:rPr>
      </w:pPr>
    </w:p>
    <w:p w:rsidR="0005656A" w:rsidRPr="008D61CE" w:rsidRDefault="0005656A" w:rsidP="0005656A">
      <w:pPr>
        <w:pStyle w:val="P68B1DB1-Normal3"/>
        <w:shd w:val="clear" w:color="auto" w:fill="FFFFFF"/>
        <w:spacing w:after="0"/>
        <w:ind w:right="-852"/>
        <w:rPr>
          <w:b/>
        </w:rPr>
      </w:pPr>
      <w:r w:rsidRPr="008D61CE">
        <w:rPr>
          <w:b/>
        </w:rPr>
        <w:t>(4) FTJ</w:t>
      </w:r>
    </w:p>
    <w:p w:rsidR="0005656A" w:rsidRPr="008D61CE" w:rsidRDefault="0005656A" w:rsidP="0005656A">
      <w:pPr>
        <w:pStyle w:val="P68B1DB1-Normal5"/>
        <w:shd w:val="clear" w:color="auto" w:fill="FFFFFF"/>
        <w:spacing w:after="0" w:afterAutospacing="1"/>
        <w:ind w:right="-852"/>
        <w:rPr>
          <w:sz w:val="22"/>
        </w:rPr>
      </w:pPr>
      <w:hyperlink r:id="rId385" w:history="1">
        <w:r w:rsidRPr="008D61CE">
          <w:rPr>
            <w:sz w:val="22"/>
          </w:rPr>
          <w:t>QA00007 — FTJ — Uso de los pilares 2 y 3 sin utilizar el pilar 1</w:t>
        </w:r>
      </w:hyperlink>
    </w:p>
    <w:p w:rsidR="0005656A" w:rsidRPr="008D61CE" w:rsidRDefault="0005656A" w:rsidP="0005656A">
      <w:pPr>
        <w:pStyle w:val="P68B1DB1-Normal5"/>
        <w:shd w:val="clear" w:color="auto" w:fill="FFFFFF"/>
        <w:spacing w:after="0" w:afterAutospacing="1"/>
        <w:ind w:right="-852"/>
        <w:rPr>
          <w:sz w:val="22"/>
        </w:rPr>
      </w:pPr>
      <w:hyperlink r:id="rId386" w:history="1">
        <w:r w:rsidRPr="008D61CE">
          <w:rPr>
            <w:sz w:val="22"/>
          </w:rPr>
          <w:t>QA00032 — Admisibilidad de las empresas municipales en el marco del FTJ clasificadas como grandes empresas</w:t>
        </w:r>
      </w:hyperlink>
    </w:p>
    <w:p w:rsidR="0005656A" w:rsidRPr="008D61CE" w:rsidRDefault="0005656A" w:rsidP="0005656A">
      <w:pPr>
        <w:pStyle w:val="P68B1DB1-Normal5"/>
        <w:shd w:val="clear" w:color="auto" w:fill="FFFFFF"/>
        <w:spacing w:after="0" w:afterAutospacing="1"/>
        <w:ind w:right="-852"/>
        <w:rPr>
          <w:sz w:val="22"/>
        </w:rPr>
      </w:pPr>
      <w:hyperlink r:id="rId387" w:history="1">
        <w:r w:rsidRPr="008D61CE">
          <w:rPr>
            <w:sz w:val="22"/>
          </w:rPr>
          <w:t>QA00039 — FTJ</w:t>
        </w:r>
      </w:hyperlink>
    </w:p>
    <w:p w:rsidR="0005656A" w:rsidRPr="008D61CE" w:rsidRDefault="0005656A" w:rsidP="0005656A">
      <w:pPr>
        <w:pStyle w:val="P68B1DB1-Normal5"/>
        <w:shd w:val="clear" w:color="auto" w:fill="FFFFFF"/>
        <w:spacing w:after="0" w:afterAutospacing="1"/>
        <w:ind w:right="-852"/>
        <w:rPr>
          <w:sz w:val="22"/>
        </w:rPr>
      </w:pPr>
      <w:hyperlink r:id="rId388" w:history="1">
        <w:r w:rsidRPr="008D61CE">
          <w:rPr>
            <w:sz w:val="22"/>
          </w:rPr>
          <w:t>QA00057 — Fecha de inicio de la subvencionabilidad para el FTJ</w:t>
        </w:r>
      </w:hyperlink>
    </w:p>
    <w:p w:rsidR="0005656A" w:rsidRPr="008D61CE" w:rsidRDefault="0005656A" w:rsidP="0005656A">
      <w:pPr>
        <w:pStyle w:val="P68B1DB1-Normal5"/>
        <w:shd w:val="clear" w:color="auto" w:fill="FFFFFF"/>
        <w:spacing w:after="0" w:afterAutospacing="1"/>
        <w:ind w:right="-852"/>
        <w:rPr>
          <w:sz w:val="22"/>
        </w:rPr>
      </w:pPr>
      <w:hyperlink r:id="rId389" w:history="1">
        <w:r w:rsidRPr="008D61CE">
          <w:rPr>
            <w:sz w:val="22"/>
          </w:rPr>
          <w:t>QA00059 — Aplicación del artículo 6 del Reglamento del FTJ a los territorios insulares que no constituyen una isla entera</w:t>
        </w:r>
      </w:hyperlink>
    </w:p>
    <w:p w:rsidR="0005656A" w:rsidRPr="008D61CE" w:rsidRDefault="0005656A" w:rsidP="0005656A">
      <w:pPr>
        <w:pStyle w:val="P68B1DB1-Normal5"/>
        <w:shd w:val="clear" w:color="auto" w:fill="FFFFFF"/>
        <w:spacing w:after="0" w:afterAutospacing="1"/>
        <w:ind w:right="-852"/>
        <w:rPr>
          <w:sz w:val="22"/>
        </w:rPr>
      </w:pPr>
      <w:hyperlink r:id="rId390" w:history="1">
        <w:r w:rsidRPr="008D61CE">
          <w:rPr>
            <w:sz w:val="22"/>
          </w:rPr>
          <w:t>QA00066 — Preguntas sobre la subvencionabilidad en el marco del FTJ</w:t>
        </w:r>
      </w:hyperlink>
    </w:p>
    <w:p w:rsidR="0005656A" w:rsidRPr="008D61CE" w:rsidRDefault="0005656A" w:rsidP="0005656A">
      <w:pPr>
        <w:pStyle w:val="P68B1DB1-Normal5"/>
        <w:shd w:val="clear" w:color="auto" w:fill="FFFFFF"/>
        <w:spacing w:after="0" w:afterAutospacing="1"/>
        <w:ind w:right="-852"/>
        <w:rPr>
          <w:sz w:val="22"/>
        </w:rPr>
      </w:pPr>
      <w:hyperlink r:id="rId391" w:history="1">
        <w:r w:rsidRPr="008D61CE">
          <w:rPr>
            <w:sz w:val="22"/>
          </w:rPr>
          <w:t>QA00101 — Procedimiento de selección de proyectos de inversiones productivas en grandes empresas para la lista indicativa del Plan Territorial de Transición Justa</w:t>
        </w:r>
      </w:hyperlink>
    </w:p>
    <w:p w:rsidR="0005656A" w:rsidRPr="008D61CE" w:rsidRDefault="0005656A" w:rsidP="0005656A">
      <w:pPr>
        <w:pStyle w:val="P68B1DB1-Normal5"/>
        <w:shd w:val="clear" w:color="auto" w:fill="FFFFFF"/>
        <w:spacing w:after="0" w:afterAutospacing="1"/>
        <w:ind w:right="-852"/>
        <w:rPr>
          <w:sz w:val="22"/>
        </w:rPr>
      </w:pPr>
      <w:hyperlink r:id="rId392" w:history="1">
        <w:r w:rsidRPr="008D61CE">
          <w:rPr>
            <w:sz w:val="22"/>
          </w:rPr>
          <w:t>QA00114 — Actividades subvencionables en el marco del FTJ — actividad k) «Mejora de las capacidades y reciclaje profesional de los trabajadores y los solicitantes de empleo»</w:t>
        </w:r>
      </w:hyperlink>
    </w:p>
    <w:p w:rsidR="0005656A" w:rsidRPr="008D61CE" w:rsidRDefault="0005656A" w:rsidP="0005656A">
      <w:pPr>
        <w:pStyle w:val="P68B1DB1-Normal5"/>
        <w:shd w:val="clear" w:color="auto" w:fill="FFFFFF"/>
        <w:spacing w:after="0" w:afterAutospacing="1"/>
        <w:ind w:right="-852"/>
        <w:rPr>
          <w:sz w:val="22"/>
        </w:rPr>
      </w:pPr>
      <w:hyperlink r:id="rId393" w:history="1">
        <w:r w:rsidRPr="008D61CE">
          <w:rPr>
            <w:sz w:val="22"/>
          </w:rPr>
          <w:t>QA00120 — Regeneración y descontaminación de antiguas zonas industriales — proyectos de reorientación</w:t>
        </w:r>
      </w:hyperlink>
    </w:p>
    <w:p w:rsidR="0005656A" w:rsidRPr="008D61CE" w:rsidRDefault="0005656A" w:rsidP="0005656A">
      <w:pPr>
        <w:pStyle w:val="P68B1DB1-Normal5"/>
        <w:shd w:val="clear" w:color="auto" w:fill="FFFFFF"/>
        <w:spacing w:after="0" w:afterAutospacing="1"/>
        <w:ind w:right="-852"/>
        <w:rPr>
          <w:sz w:val="22"/>
        </w:rPr>
      </w:pPr>
      <w:hyperlink r:id="rId394" w:history="1">
        <w:r w:rsidRPr="008D61CE">
          <w:rPr>
            <w:sz w:val="22"/>
          </w:rPr>
          <w:t>QA00123 — Admisibilidad de las operaciones en el marco del FTJ</w:t>
        </w:r>
      </w:hyperlink>
    </w:p>
    <w:p w:rsidR="0005656A" w:rsidRPr="008D61CE" w:rsidRDefault="0005656A" w:rsidP="0005656A">
      <w:pPr>
        <w:pStyle w:val="P68B1DB1-Normal5"/>
        <w:shd w:val="clear" w:color="auto" w:fill="FFFFFF"/>
        <w:spacing w:after="0" w:afterAutospacing="1"/>
        <w:ind w:right="-852"/>
        <w:rPr>
          <w:sz w:val="22"/>
        </w:rPr>
      </w:pPr>
      <w:hyperlink r:id="rId395" w:history="1">
        <w:r w:rsidRPr="008D61CE">
          <w:rPr>
            <w:sz w:val="22"/>
          </w:rPr>
          <w:t>QA00126 — Asistencia técnica financiada por el Fondo de Transición Justa</w:t>
        </w:r>
      </w:hyperlink>
    </w:p>
    <w:p w:rsidR="0005656A" w:rsidRPr="008D61CE" w:rsidRDefault="0005656A" w:rsidP="0005656A">
      <w:pPr>
        <w:pStyle w:val="P68B1DB1-Normal5"/>
        <w:shd w:val="clear" w:color="auto" w:fill="FFFFFF"/>
        <w:spacing w:after="0" w:afterAutospacing="1"/>
        <w:ind w:right="-852"/>
        <w:rPr>
          <w:sz w:val="22"/>
        </w:rPr>
      </w:pPr>
      <w:hyperlink r:id="rId396" w:history="1">
        <w:r w:rsidRPr="008D61CE">
          <w:rPr>
            <w:sz w:val="22"/>
          </w:rPr>
          <w:t>QA00128 — pregunta del FTJ sobre la recuperación de residuos y el litio</w:t>
        </w:r>
      </w:hyperlink>
    </w:p>
    <w:p w:rsidR="0005656A" w:rsidRPr="008D61CE" w:rsidRDefault="0005656A" w:rsidP="0005656A">
      <w:pPr>
        <w:pStyle w:val="P68B1DB1-Normal5"/>
        <w:shd w:val="clear" w:color="auto" w:fill="FFFFFF"/>
        <w:spacing w:after="0" w:afterAutospacing="1"/>
        <w:ind w:right="-852"/>
        <w:rPr>
          <w:sz w:val="22"/>
        </w:rPr>
      </w:pPr>
      <w:hyperlink r:id="rId397" w:history="1">
        <w:r w:rsidRPr="008D61CE">
          <w:rPr>
            <w:sz w:val="22"/>
          </w:rPr>
          <w:t>QA00129: admisibilidad de la intervención del FTJ (terminales de biomasa)</w:t>
        </w:r>
      </w:hyperlink>
    </w:p>
    <w:p w:rsidR="0005656A" w:rsidRPr="008D61CE" w:rsidRDefault="0005656A" w:rsidP="0005656A">
      <w:pPr>
        <w:pStyle w:val="P68B1DB1-Normal5"/>
        <w:shd w:val="clear" w:color="auto" w:fill="FFFFFF"/>
        <w:spacing w:after="0" w:afterAutospacing="1"/>
        <w:ind w:right="-852"/>
        <w:rPr>
          <w:sz w:val="22"/>
        </w:rPr>
      </w:pPr>
      <w:hyperlink r:id="rId398" w:history="1">
        <w:r w:rsidRPr="008D61CE">
          <w:rPr>
            <w:sz w:val="22"/>
          </w:rPr>
          <w:t>QA00137 — Condiciones para la concesión de ayudas regionales a grandes empresas</w:t>
        </w:r>
      </w:hyperlink>
    </w:p>
    <w:p w:rsidR="0005656A" w:rsidRPr="008D61CE" w:rsidRDefault="0005656A" w:rsidP="0005656A">
      <w:pPr>
        <w:pStyle w:val="P68B1DB1-Normal5"/>
        <w:shd w:val="clear" w:color="auto" w:fill="FFFFFF"/>
        <w:spacing w:after="0" w:afterAutospacing="1"/>
        <w:ind w:right="-852"/>
        <w:rPr>
          <w:sz w:val="22"/>
        </w:rPr>
      </w:pPr>
      <w:hyperlink r:id="rId399" w:history="1">
        <w:r w:rsidRPr="008D61CE">
          <w:rPr>
            <w:sz w:val="22"/>
          </w:rPr>
          <w:t>QA00141 — Apoyo a los instrumentos combinados</w:t>
        </w:r>
      </w:hyperlink>
    </w:p>
    <w:p w:rsidR="0005656A" w:rsidRPr="008D61CE" w:rsidRDefault="0005656A" w:rsidP="0005656A">
      <w:pPr>
        <w:pStyle w:val="P68B1DB1-Normal5"/>
        <w:shd w:val="clear" w:color="auto" w:fill="FFFFFF"/>
        <w:spacing w:after="0" w:afterAutospacing="1"/>
        <w:ind w:right="-852"/>
        <w:rPr>
          <w:sz w:val="22"/>
        </w:rPr>
      </w:pPr>
      <w:hyperlink r:id="rId400" w:history="1">
        <w:r w:rsidRPr="008D61CE">
          <w:rPr>
            <w:sz w:val="22"/>
          </w:rPr>
          <w:t>QA00142 — Aplicabilidad del artículo 36, apartado 2, del RDC sobre la asistencia técnica al FTJ</w:t>
        </w:r>
      </w:hyperlink>
    </w:p>
    <w:p w:rsidR="0005656A" w:rsidRPr="008D61CE" w:rsidRDefault="0005656A" w:rsidP="0005656A">
      <w:pPr>
        <w:pStyle w:val="P68B1DB1-Normal5"/>
        <w:shd w:val="clear" w:color="auto" w:fill="FFFFFF"/>
        <w:spacing w:after="0" w:afterAutospacing="1"/>
        <w:ind w:right="-852"/>
        <w:rPr>
          <w:sz w:val="22"/>
        </w:rPr>
      </w:pPr>
      <w:hyperlink r:id="rId401" w:history="1">
        <w:r w:rsidRPr="008D61CE">
          <w:rPr>
            <w:sz w:val="22"/>
          </w:rPr>
          <w:t>QA00145 — Exclusión de los combustibles fósiles (esquisto bituminoso como ceniza heredada de esquisto bituminoso y no combustible)</w:t>
        </w:r>
      </w:hyperlink>
    </w:p>
    <w:p w:rsidR="0005656A" w:rsidRPr="008D61CE" w:rsidRDefault="0005656A" w:rsidP="0005656A">
      <w:pPr>
        <w:pStyle w:val="P68B1DB1-Normal5"/>
        <w:shd w:val="clear" w:color="auto" w:fill="FFFFFF"/>
        <w:spacing w:after="0" w:afterAutospacing="1"/>
        <w:ind w:right="-852"/>
        <w:rPr>
          <w:sz w:val="22"/>
        </w:rPr>
      </w:pPr>
      <w:hyperlink r:id="rId402" w:history="1">
        <w:r w:rsidRPr="008D61CE">
          <w:rPr>
            <w:sz w:val="22"/>
          </w:rPr>
          <w:t>QA00146 — Inversión en actividades del RCDE sin parámetros de referencia existentes</w:t>
        </w:r>
      </w:hyperlink>
    </w:p>
    <w:p w:rsidR="0005656A" w:rsidRPr="008D61CE" w:rsidRDefault="0005656A" w:rsidP="0005656A">
      <w:pPr>
        <w:pStyle w:val="P68B1DB1-Normal5"/>
        <w:shd w:val="clear" w:color="auto" w:fill="FFFFFF"/>
        <w:spacing w:after="0" w:afterAutospacing="1"/>
        <w:ind w:right="-852"/>
        <w:rPr>
          <w:sz w:val="22"/>
        </w:rPr>
      </w:pPr>
      <w:hyperlink r:id="rId403" w:history="1">
        <w:r w:rsidRPr="008D61CE">
          <w:rPr>
            <w:sz w:val="22"/>
          </w:rPr>
          <w:t>QA00169 — Uso de la electricidad de red en la producción de hidrógeno en el marco del FEDER y el FTJ</w:t>
        </w:r>
      </w:hyperlink>
    </w:p>
    <w:p w:rsidR="0005656A" w:rsidRPr="008D61CE" w:rsidRDefault="0005656A" w:rsidP="0005656A">
      <w:pPr>
        <w:pStyle w:val="P68B1DB1-Normal5"/>
        <w:shd w:val="clear" w:color="auto" w:fill="FFFFFF"/>
        <w:spacing w:after="0" w:afterAutospacing="1"/>
        <w:ind w:right="-852"/>
        <w:rPr>
          <w:sz w:val="22"/>
        </w:rPr>
      </w:pPr>
      <w:hyperlink r:id="rId404" w:history="1">
        <w:r w:rsidRPr="008D61CE">
          <w:rPr>
            <w:sz w:val="22"/>
          </w:rPr>
          <w:t>QA00177 — Admisibilidad de una inversión del FTJ en una nueva instalación del RCDE («fábrica de vidrio de campo verde sostenible»)</w:t>
        </w:r>
      </w:hyperlink>
    </w:p>
    <w:p w:rsidR="0005656A" w:rsidRPr="008D61CE" w:rsidRDefault="0005656A" w:rsidP="0005656A">
      <w:pPr>
        <w:pStyle w:val="P68B1DB1-Normal5"/>
        <w:shd w:val="clear" w:color="auto" w:fill="FFFFFF"/>
        <w:spacing w:after="0" w:afterAutospacing="1"/>
        <w:ind w:right="-852"/>
        <w:rPr>
          <w:sz w:val="22"/>
        </w:rPr>
      </w:pPr>
      <w:hyperlink r:id="rId405" w:history="1">
        <w:r w:rsidRPr="008D61CE">
          <w:rPr>
            <w:sz w:val="22"/>
          </w:rPr>
          <w:t>QA00205 — Plazo del FTJ NGEU y consecuencias para los instrumentos financieros</w:t>
        </w:r>
      </w:hyperlink>
    </w:p>
    <w:p w:rsidR="0005656A" w:rsidRPr="008D61CE" w:rsidRDefault="0005656A" w:rsidP="0005656A">
      <w:pPr>
        <w:pStyle w:val="P68B1DB1-Normal5"/>
        <w:shd w:val="clear" w:color="auto" w:fill="FFFFFF"/>
        <w:spacing w:after="0" w:afterAutospacing="1"/>
        <w:ind w:right="-852"/>
        <w:rPr>
          <w:sz w:val="22"/>
        </w:rPr>
      </w:pPr>
      <w:hyperlink r:id="rId406" w:history="1">
        <w:r w:rsidRPr="008D61CE">
          <w:rPr>
            <w:sz w:val="22"/>
          </w:rPr>
          <w:t>QA00220 — Admisibilidad de los trabajadores desplazados en el marco del FTJ</w:t>
        </w:r>
      </w:hyperlink>
    </w:p>
    <w:p w:rsidR="0005656A" w:rsidRPr="008D61CE" w:rsidRDefault="0005656A" w:rsidP="0005656A">
      <w:pPr>
        <w:pStyle w:val="P68B1DB1-Normal5"/>
        <w:shd w:val="clear" w:color="auto" w:fill="FFFFFF"/>
        <w:spacing w:after="0" w:afterAutospacing="1"/>
        <w:ind w:right="-852"/>
        <w:rPr>
          <w:sz w:val="22"/>
        </w:rPr>
      </w:pPr>
      <w:hyperlink r:id="rId407" w:history="1">
        <w:r w:rsidRPr="008D61CE">
          <w:rPr>
            <w:sz w:val="22"/>
          </w:rPr>
          <w:t>QA00221 — Admisibilidad del subsidio de prejubilación y del régimen de trabajo de corta duración</w:t>
        </w:r>
      </w:hyperlink>
    </w:p>
    <w:p w:rsidR="0005656A" w:rsidRPr="008D61CE" w:rsidRDefault="0005656A" w:rsidP="0005656A">
      <w:pPr>
        <w:pStyle w:val="P68B1DB1-Normal5"/>
        <w:shd w:val="clear" w:color="auto" w:fill="FFFFFF"/>
        <w:spacing w:after="0" w:afterAutospacing="1"/>
        <w:ind w:right="-852"/>
        <w:rPr>
          <w:sz w:val="22"/>
        </w:rPr>
      </w:pPr>
      <w:hyperlink r:id="rId408" w:history="1">
        <w:r w:rsidRPr="008D61CE">
          <w:rPr>
            <w:sz w:val="22"/>
          </w:rPr>
          <w:t>QA00231 — Apoyo del FTJ a una batería de calor innovadora</w:t>
        </w:r>
      </w:hyperlink>
    </w:p>
    <w:p w:rsidR="0005656A" w:rsidRPr="008D61CE" w:rsidRDefault="0005656A" w:rsidP="0005656A">
      <w:pPr>
        <w:pStyle w:val="P68B1DB1-Normal5"/>
        <w:shd w:val="clear" w:color="auto" w:fill="FFFFFF"/>
        <w:spacing w:after="0" w:afterAutospacing="1"/>
        <w:ind w:right="-852"/>
        <w:rPr>
          <w:sz w:val="22"/>
        </w:rPr>
      </w:pPr>
      <w:hyperlink r:id="rId409" w:history="1">
        <w:r w:rsidRPr="008D61CE">
          <w:rPr>
            <w:sz w:val="22"/>
          </w:rPr>
          <w:t>QA00244 — Inversiones en la captura de calor residual de fuentes de calor preexistentes y su uso para la calefacción urbana</w:t>
        </w:r>
      </w:hyperlink>
    </w:p>
    <w:p w:rsidR="0005656A" w:rsidRPr="008D61CE" w:rsidRDefault="0005656A" w:rsidP="0005656A">
      <w:pPr>
        <w:pStyle w:val="P68B1DB1-Normal5"/>
        <w:shd w:val="clear" w:color="auto" w:fill="FFFFFF"/>
        <w:spacing w:after="0" w:afterAutospacing="1"/>
        <w:ind w:right="-852"/>
        <w:rPr>
          <w:sz w:val="22"/>
        </w:rPr>
      </w:pPr>
      <w:hyperlink r:id="rId410" w:history="1">
        <w:r w:rsidRPr="008D61CE">
          <w:rPr>
            <w:sz w:val="22"/>
          </w:rPr>
          <w:t>QA00257 — Posibilidad de apoyar a las empresas distintas de las pymes en la mejora de las capacidades y el reciclaje profesional de los trabajadores y los solicitantes de empleo y de apoyar la búsqueda de empleo para los solicitantes de empleo</w:t>
        </w:r>
      </w:hyperlink>
    </w:p>
    <w:p w:rsidR="0005656A" w:rsidRPr="008D61CE" w:rsidRDefault="0005656A" w:rsidP="0005656A">
      <w:pPr>
        <w:pStyle w:val="P68B1DB1-Normal5"/>
        <w:shd w:val="clear" w:color="auto" w:fill="FFFFFF"/>
        <w:spacing w:after="0" w:afterAutospacing="1"/>
        <w:ind w:right="-852"/>
        <w:rPr>
          <w:sz w:val="22"/>
        </w:rPr>
      </w:pPr>
      <w:hyperlink r:id="rId411" w:history="1">
        <w:r w:rsidRPr="008D61CE">
          <w:rPr>
            <w:sz w:val="22"/>
          </w:rPr>
          <w:t>QA00261 — Admisibilidad de los costes salariales en el marco del FTJ y de los fondos del RDC para la subvencionabilidad de los costes/RGEC</w:t>
        </w:r>
      </w:hyperlink>
    </w:p>
    <w:p w:rsidR="0005656A" w:rsidRPr="008D61CE" w:rsidRDefault="0005656A" w:rsidP="0005656A">
      <w:pPr>
        <w:pStyle w:val="P68B1DB1-Normal5"/>
        <w:shd w:val="clear" w:color="auto" w:fill="FFFFFF"/>
        <w:spacing w:after="0" w:afterAutospacing="1"/>
        <w:ind w:right="-852"/>
        <w:rPr>
          <w:sz w:val="22"/>
        </w:rPr>
      </w:pPr>
      <w:hyperlink r:id="rId412" w:history="1">
        <w:r w:rsidRPr="008D61CE">
          <w:rPr>
            <w:sz w:val="22"/>
          </w:rPr>
          <w:t>QA00263 — Admisibilidad del combustible de carbono reciclado en el marco del FTJ y protección frente al cambio climático de las infraestructuras</w:t>
        </w:r>
      </w:hyperlink>
    </w:p>
    <w:p w:rsidR="0005656A" w:rsidRPr="008D61CE" w:rsidRDefault="0005656A" w:rsidP="0005656A">
      <w:pPr>
        <w:pStyle w:val="P68B1DB1-Normal5"/>
        <w:shd w:val="clear" w:color="auto" w:fill="FFFFFF"/>
        <w:spacing w:after="0" w:afterAutospacing="1"/>
        <w:ind w:right="-852"/>
        <w:rPr>
          <w:sz w:val="22"/>
        </w:rPr>
      </w:pPr>
      <w:hyperlink r:id="rId413" w:history="1">
        <w:r w:rsidRPr="008D61CE">
          <w:rPr>
            <w:sz w:val="22"/>
          </w:rPr>
          <w:t>QA00268 — Modificación del programa en caso de que un plan territorial de transición justa esté asociado a varios programas</w:t>
        </w:r>
      </w:hyperlink>
    </w:p>
    <w:p w:rsidR="0005656A" w:rsidRPr="008D61CE" w:rsidRDefault="0005656A" w:rsidP="0005656A">
      <w:pPr>
        <w:pStyle w:val="P68B1DB1-Normal5"/>
        <w:shd w:val="clear" w:color="auto" w:fill="FFFFFF"/>
        <w:spacing w:after="0" w:afterAutospacing="1"/>
        <w:ind w:right="-852"/>
        <w:rPr>
          <w:sz w:val="22"/>
        </w:rPr>
      </w:pPr>
      <w:hyperlink r:id="rId414" w:history="1">
        <w:r w:rsidRPr="008D61CE">
          <w:rPr>
            <w:sz w:val="22"/>
          </w:rPr>
          <w:t>QA00302 — Preguntas relacionadas con la programación de STEP, las prioridades específicas y las modificaciones de los programas, indicadores</w:t>
        </w:r>
      </w:hyperlink>
    </w:p>
    <w:p w:rsidR="0005656A" w:rsidRPr="008D61CE" w:rsidRDefault="0005656A" w:rsidP="0005656A">
      <w:pPr>
        <w:pStyle w:val="P68B1DB1-Normal5"/>
        <w:shd w:val="clear" w:color="auto" w:fill="FFFFFF"/>
        <w:spacing w:after="0" w:afterAutospacing="1"/>
        <w:ind w:right="-852"/>
        <w:rPr>
          <w:sz w:val="22"/>
        </w:rPr>
      </w:pPr>
      <w:hyperlink r:id="rId415" w:history="1">
        <w:r w:rsidRPr="008D61CE">
          <w:rPr>
            <w:sz w:val="22"/>
          </w:rPr>
          <w:t>QA00303 — Ámbito de aplicación de STEP y relación con las normas de subvencionabilidad en el marco de los fondos</w:t>
        </w:r>
      </w:hyperlink>
    </w:p>
    <w:p w:rsidR="0005656A" w:rsidRPr="008D61CE" w:rsidRDefault="0005656A" w:rsidP="0005656A">
      <w:pPr>
        <w:pStyle w:val="P68B1DB1-Normal5"/>
        <w:shd w:val="clear" w:color="auto" w:fill="FFFFFF"/>
        <w:spacing w:after="0" w:afterAutospacing="1"/>
        <w:ind w:right="-852"/>
        <w:rPr>
          <w:sz w:val="22"/>
        </w:rPr>
      </w:pPr>
      <w:hyperlink r:id="rId416" w:history="1">
        <w:r w:rsidRPr="008D61CE">
          <w:rPr>
            <w:sz w:val="22"/>
          </w:rPr>
          <w:t>QA00310 — Preguntas relacionadas con aspectos relacionados con las ayudas estatales</w:t>
        </w:r>
      </w:hyperlink>
    </w:p>
    <w:p w:rsidR="00F83F12" w:rsidRDefault="00F83F12"/>
    <w:p w:rsidR="00915AB3" w:rsidRDefault="00915AB3">
      <w:pPr>
        <w:spacing w:after="160" w:line="259" w:lineRule="auto"/>
        <w:jc w:val="left"/>
      </w:pPr>
      <w:r>
        <w:br w:type="page"/>
      </w:r>
    </w:p>
    <w:p w:rsidR="00915AB3" w:rsidRDefault="00915AB3"/>
    <w:p w:rsidR="00F83F12" w:rsidRDefault="001C6219">
      <w:pPr>
        <w:pStyle w:val="Ttulo1"/>
      </w:pPr>
      <w:bookmarkStart w:id="2" w:name="scroll-bookmark-2"/>
      <w:bookmarkStart w:id="3" w:name="scroll-bookmark-3"/>
      <w:bookmarkStart w:id="4" w:name="scroll-bookmark-4"/>
      <w:bookmarkEnd w:id="2"/>
      <w:bookmarkEnd w:id="3"/>
      <w:r>
        <w:t>QA698: EMFAF</w:t>
      </w:r>
      <w:r w:rsidR="00786B3E">
        <w:t xml:space="preserve"> </w:t>
      </w:r>
      <w:r>
        <w:t>Cálculo de la compensación</w:t>
      </w:r>
      <w:bookmarkEnd w:id="4"/>
    </w:p>
    <w:p w:rsidR="00F83F12" w:rsidRDefault="001C6219">
      <w:r>
        <w:rPr>
          <w:noProof/>
          <w:lang w:val="es-ES"/>
        </w:rPr>
        <w:drawing>
          <wp:inline distT="0" distB="0" distL="0" distR="0" wp14:anchorId="612FDE5E" wp14:editId="0472B9A8">
            <wp:extent cx="152435" cy="152435"/>
            <wp:effectExtent l="0" t="0" r="0" b="0"/>
            <wp:docPr id="100002" name="Imagen 10000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39 del Reglamento FEMPA</w:t>
      </w:r>
    </w:p>
    <w:p w:rsidR="00F83F12" w:rsidRDefault="001C6219">
      <w:r>
        <w:rPr>
          <w:noProof/>
          <w:lang w:val="es-ES"/>
        </w:rPr>
        <w:drawing>
          <wp:inline distT="0" distB="0" distL="0" distR="0" wp14:anchorId="40491F06" wp14:editId="5037FD79">
            <wp:extent cx="152435" cy="152435"/>
            <wp:effectExtent l="0" t="0" r="0" b="0"/>
            <wp:docPr id="100004" name="Imagen 10000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F83F12" w:rsidRDefault="00F83F12"/>
    <w:p w:rsidR="00F83F12" w:rsidRDefault="001C6219">
      <w:pPr>
        <w:pStyle w:val="P68B1DB1-Normal4"/>
      </w:pPr>
      <w:r>
        <w:br/>
      </w:r>
      <w:r w:rsidR="00377B57">
        <w:t>Pregunta</w:t>
      </w:r>
      <w:r>
        <w:t>:</w:t>
      </w:r>
    </w:p>
    <w:p w:rsidR="00F83F12" w:rsidRDefault="001C6219">
      <w:r>
        <w:t>El artículo 39 del Reglamento (UE) 2021/1139 establece que la compensación por los costes adicionales o las pérdidas de ingresos y otras compensaciones previstas en el presente Reglamento se concederán con arreglo a cualquiera de las formas mencionadas en el artículo 53, apartado 1, letras b) a e), del Reglamento (UE) 2021/1060.</w:t>
      </w:r>
    </w:p>
    <w:p w:rsidR="00F83F12" w:rsidRDefault="001C6219">
      <w:r>
        <w:t>No existe una definición de «compensación» en el Reglamento (UE) 2021/1060 ni en el Reglamento (UE) 2021/1139. </w:t>
      </w:r>
    </w:p>
    <w:p w:rsidR="00F83F12" w:rsidRDefault="001C6219">
      <w:r>
        <w:t xml:space="preserve">Dado que el artículo 39 se refiere a «[...] &gt; y otras compensaciones previstas en el presente Reglamento... &gt;, me gustaría preguntarse si entendemos correctamente que lo dispuesto en el artículo 39 debe aplicarse únicamente en el caso de los pagos compensatorios en virtud de los artículos 20, 21, 25 (2) (a) y 26 (2) del Reglamento (UE) 2021/1139 (las compensaciones disponibles para las regiones ultraperiféricas no se ven afectadas, </w:t>
      </w:r>
      <w:r w:rsidR="002F3719">
        <w:t xml:space="preserve">ya que, </w:t>
      </w:r>
      <w:r>
        <w:t>no son pertinentes para LT)?</w:t>
      </w:r>
    </w:p>
    <w:p w:rsidR="00F83F12" w:rsidRDefault="00F83F12"/>
    <w:p w:rsidR="00F83F12" w:rsidRDefault="001C6219">
      <w:pPr>
        <w:pStyle w:val="P68B1DB1-Normal4"/>
      </w:pPr>
      <w:r>
        <w:t>Respuesta.</w:t>
      </w:r>
    </w:p>
    <w:p w:rsidR="00F83F12" w:rsidRDefault="001C6219">
      <w:r>
        <w:t>El artículo 39 del Reglamento (UE) 2021/1139 se refiere a dos tipos de compensación subvencionable:</w:t>
      </w:r>
    </w:p>
    <w:p w:rsidR="00F83F12" w:rsidRDefault="001C6219">
      <w:pPr>
        <w:numPr>
          <w:ilvl w:val="0"/>
          <w:numId w:val="2"/>
        </w:numPr>
      </w:pPr>
      <w:r>
        <w:t>«compensación por costes adicionales o pérdidas de ingresos», que no está predefinido en el Reglamento, por lo que el Estado miembro debe definir como operación subvencionable dentro del ámbito de un objetivo específico determinado, y</w:t>
      </w:r>
    </w:p>
    <w:p w:rsidR="00F83F12" w:rsidRDefault="001C6219">
      <w:pPr>
        <w:numPr>
          <w:ilvl w:val="0"/>
          <w:numId w:val="2"/>
        </w:numPr>
      </w:pPr>
      <w:r>
        <w:t>«otras compensaciones previstas en el presente Reglamento» predefinidas en un artículo específico: (es decir, paralización definitiva o temporal de las actividades pesqueras (artículo 20 y 21, respectivamente), costes adicionales en las regiones ultraperiféricas (artículo 36), medidas de emergencia en caso de perturbación significativa de los mercados (artículo 26, apartado 2,).  </w:t>
      </w:r>
    </w:p>
    <w:p w:rsidR="00F83F12" w:rsidRDefault="001C6219">
      <w:r>
        <w:t xml:space="preserve">En el primer caso, los costes adicionales o las pérdidas de ingresos compensadas deben estar directamente vinculados a acciones o acontecimientos relacionados con el alcance de un objetivo específico, y la compensación debe contribuir al objetivo específico, como se explica con más detalle en el considerando 13. Por ejemplo, el considerando 39 menciona las «medidas compensatorias que prestan servicios críticos de gestión de la tierra y la naturaleza» como ejemplo en el marco del objetivo específico de la </w:t>
      </w:r>
      <w:r>
        <w:lastRenderedPageBreak/>
        <w:t>acuicultura; dicha compensación debe justificarse en lo que respecta a su contribución a una acuicultura sostenible.</w:t>
      </w:r>
    </w:p>
    <w:p w:rsidR="00F83F12" w:rsidRDefault="001C6219">
      <w:r>
        <w:t>El cálculo de estos dos tipos de compensaciones debe concederse con arreglo a cualquiera de las formas contempladas en el artículo 53, apartado 1, letras b) a e), del Reglamento (UE) 2021/1060 [costes unitarios, importes a tanto alzado, financiación a tipo fijo, una combinación de los formularios mencionados en las letras a) a d)].</w:t>
      </w:r>
    </w:p>
    <w:p w:rsidR="00F83F12" w:rsidRDefault="00F83F12"/>
    <w:p w:rsidR="00F83F12" w:rsidRDefault="001C6219">
      <w:pPr>
        <w:pStyle w:val="P68B1DB1-Normal5"/>
      </w:pPr>
      <w:r>
        <w:t>NOTA:</w:t>
      </w:r>
    </w:p>
    <w:p w:rsidR="00F83F12" w:rsidRDefault="001C6219">
      <w:pPr>
        <w:pStyle w:val="P68B1DB1-Normal5"/>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F83F12" w:rsidRDefault="001C6219">
      <w:pPr>
        <w:pStyle w:val="P68B1DB1-Normal5"/>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F83F12" w:rsidRDefault="00F83F12"/>
    <w:p w:rsidR="00F83F12" w:rsidRDefault="00F83F12"/>
    <w:p w:rsidR="00F83F12" w:rsidRDefault="001C6219">
      <w:pPr>
        <w:pStyle w:val="Ttulo1"/>
      </w:pPr>
      <w:bookmarkStart w:id="5" w:name="scroll-bookmark-5"/>
      <w:bookmarkStart w:id="6" w:name="scroll-bookmark-6"/>
      <w:bookmarkEnd w:id="5"/>
      <w:r>
        <w:t>QA700: Apoyo a la paralización definitiva de las actividades pesqueras</w:t>
      </w:r>
      <w:bookmarkEnd w:id="6"/>
    </w:p>
    <w:p w:rsidR="00F83F12" w:rsidRDefault="001C6219">
      <w:r>
        <w:rPr>
          <w:noProof/>
          <w:lang w:val="es-ES"/>
        </w:rPr>
        <w:drawing>
          <wp:inline distT="0" distB="0" distL="0" distR="0" wp14:anchorId="0F03F210" wp14:editId="256A00E4">
            <wp:extent cx="152435" cy="152435"/>
            <wp:effectExtent l="0" t="0" r="0" b="0"/>
            <wp:docPr id="100006" name="Imagen 10000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i/>
        </w:rPr>
        <w:t>Artículo 20 del Reglamento FEMPA</w:t>
      </w:r>
    </w:p>
    <w:p w:rsidR="00F83F12" w:rsidRDefault="001C6219">
      <w:r>
        <w:rPr>
          <w:noProof/>
          <w:lang w:val="es-ES"/>
        </w:rPr>
        <w:drawing>
          <wp:inline distT="0" distB="0" distL="0" distR="0" wp14:anchorId="6EB103B1" wp14:editId="17E7877A">
            <wp:extent cx="152435" cy="152435"/>
            <wp:effectExtent l="0" t="0" r="0" b="0"/>
            <wp:docPr id="100008" name="Imagen 10000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r>
      <w:r w:rsidR="00377B57">
        <w:t>Pregunta</w:t>
      </w:r>
    </w:p>
    <w:p w:rsidR="00F83F12" w:rsidRDefault="001C6219">
      <w:r>
        <w:t>En el caso de la ayuda a la paralización definitiva de las actividades pesqueras (artículo 20 del Reglamento (UE) no 2021/1139 del Parlamento Europeo y del Consejo, de 7 de julio de 2021), ¿puede renunciarse a la condición de llevar a cabo actividades pesqueras en el mar durante al menos 180 días (al menos 90 días al año) durante los últimos 2 años civiles anteriores a la fecha de presentación de la solicitud de ayuda? En Polonia, la paralización definitiva de las actividades pesqueras afectará a los propietarios de unidades de renta baja debido a la insuficiencia de recursos. El cumplimiento de la obligación de 180 días genera costes adicionales y expone a estos buques a pérdidas.</w:t>
      </w:r>
    </w:p>
    <w:p w:rsidR="00F83F12" w:rsidRDefault="00F83F12"/>
    <w:p w:rsidR="00F83F12" w:rsidRDefault="001C6219">
      <w:pPr>
        <w:pStyle w:val="P68B1DB1-Normal4"/>
      </w:pPr>
      <w:r>
        <w:t>Respuesta.</w:t>
      </w:r>
    </w:p>
    <w:p w:rsidR="00F83F12" w:rsidRDefault="001C6219">
      <w:r>
        <w:t xml:space="preserve">El artículo 20 del FEMPA establece normas que rigen el apoyo a la paralización definitiva de las actividades pesqueras. En el apartado 2 de dicho artículo se determinan y </w:t>
      </w:r>
      <w:r>
        <w:lastRenderedPageBreak/>
        <w:t xml:space="preserve">enumeran las condiciones necesarias para la concesión de la ayuda, incluida la condición de que el buque pesquero esté registrado como activo y haya llevado a cabo actividades pesqueras en el mar durante al menos 90 días al </w:t>
      </w:r>
      <w:r>
        <w:rPr>
          <w:u w:val="single"/>
        </w:rPr>
        <w:t>año</w:t>
      </w:r>
      <w:r>
        <w:t xml:space="preserve"> durante los dos años civiles anteriores a la fecha de presentación de la solicitud de ayuda [artículo 20, apartado 2, letra c),]. El artículo 20 no contiene ninguna disposición sobre posibles excepciones a las condiciones necesarias identificadas.</w:t>
      </w:r>
    </w:p>
    <w:p w:rsidR="00F83F12" w:rsidRDefault="00F83F12"/>
    <w:p w:rsidR="00F83F12" w:rsidRDefault="001C6219">
      <w:pPr>
        <w:pStyle w:val="P68B1DB1-Normal5"/>
      </w:pPr>
      <w:r>
        <w:t>NOTA:</w:t>
      </w:r>
    </w:p>
    <w:p w:rsidR="00F83F12" w:rsidRDefault="001C6219">
      <w:pPr>
        <w:pStyle w:val="P68B1DB1-Normal5"/>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F83F12" w:rsidRDefault="001C6219">
      <w:pPr>
        <w:pStyle w:val="P68B1DB1-Normal5"/>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F83F12" w:rsidRDefault="00F83F12"/>
    <w:p w:rsidR="00F83F12" w:rsidRDefault="00F83F12"/>
    <w:p w:rsidR="00F83F12" w:rsidRDefault="00F83F12"/>
    <w:p w:rsidR="00F83F12" w:rsidRDefault="001C6219">
      <w:pPr>
        <w:pStyle w:val="Ttulo1"/>
      </w:pPr>
      <w:bookmarkStart w:id="7" w:name="scroll-bookmark-7"/>
      <w:bookmarkStart w:id="8" w:name="scroll-bookmark-8"/>
      <w:bookmarkEnd w:id="7"/>
      <w:r>
        <w:t xml:space="preserve">QA702: </w:t>
      </w:r>
      <w:r w:rsidR="00DF0906">
        <w:t xml:space="preserve">EMFAF cese </w:t>
      </w:r>
      <w:r>
        <w:t>-cambio definitivo del beneficiario</w:t>
      </w:r>
      <w:bookmarkEnd w:id="8"/>
    </w:p>
    <w:p w:rsidR="00F83F12" w:rsidRDefault="001C6219">
      <w:r>
        <w:rPr>
          <w:noProof/>
          <w:lang w:val="es-ES"/>
        </w:rPr>
        <w:drawing>
          <wp:inline distT="0" distB="0" distL="0" distR="0" wp14:anchorId="284515A2" wp14:editId="7D5BB82C">
            <wp:extent cx="152435" cy="152435"/>
            <wp:effectExtent l="0" t="0" r="0" b="0"/>
            <wp:docPr id="100010" name="Imagen 10001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20 del Reglamento FEMPA</w:t>
      </w:r>
    </w:p>
    <w:p w:rsidR="00F83F12" w:rsidRDefault="001C6219">
      <w:r>
        <w:rPr>
          <w:noProof/>
          <w:lang w:val="es-ES"/>
        </w:rPr>
        <w:drawing>
          <wp:inline distT="0" distB="0" distL="0" distR="0" wp14:anchorId="42B56566" wp14:editId="43FFC5CF">
            <wp:extent cx="152435" cy="152435"/>
            <wp:effectExtent l="0" t="0" r="0" b="0"/>
            <wp:docPr id="100012" name="Imagen 10001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r>
      <w:r w:rsidR="00377B57">
        <w:t>Pregunta</w:t>
      </w:r>
    </w:p>
    <w:p w:rsidR="00F83F12" w:rsidRDefault="001C6219">
      <w:r>
        <w:t>Entre las condiciones identificadas para la ayuda a la paralización definitiva del FEMPA, el artículo 20 del Reglamento (UE) n.º 1139/2021 es «(2 sexies) el beneficiario no registrará ningún buque pesquero en un plazo de cinco años a partir de la recepción de la ayuda». El mismo artículo establece lo siguiente: «(3) La ayuda a que se refiere el apartado 1 solo podrá concederse a: a) propietarios de buques pesqueros de la Unión afectados por la paralización definitiva».</w:t>
      </w:r>
    </w:p>
    <w:p w:rsidR="00F83F12" w:rsidRDefault="001C6219">
      <w:r>
        <w:t>Las mismas disposiciones existen en el Reglamento FEMP (UE) 508/2014, en virtud del artículo 34.</w:t>
      </w:r>
    </w:p>
    <w:p w:rsidR="00F83F12" w:rsidRDefault="001C6219">
      <w:r>
        <w:t>La pregunta es saber quién es el beneficiario y cómo garantizar que no pueda registrar otros buques pesqueros en un plazo de 5 años. En particular, ¿hay algo que impida al gestor de una empresa beneficiaria de la ayuda crear otra empresa pesquera con un nuevo buque?</w:t>
      </w:r>
    </w:p>
    <w:p w:rsidR="00F83F12" w:rsidRDefault="00F83F12"/>
    <w:p w:rsidR="00F83F12" w:rsidRDefault="001C6219">
      <w:pPr>
        <w:pStyle w:val="P68B1DB1-Normal4"/>
      </w:pPr>
      <w:r>
        <w:t>Respuesta.</w:t>
      </w:r>
    </w:p>
    <w:p w:rsidR="00F83F12" w:rsidRDefault="001C6219">
      <w:r>
        <w:t>Se entenderá por beneficiario la entidad jurídica que ha recibido la ayuda a la paralización definitiva. Puede ser una empresa o una persona, pero debe ser el propietario del buque pesquero. Esto debe evaluarse caso por caso.</w:t>
      </w:r>
    </w:p>
    <w:p w:rsidR="00F83F12" w:rsidRDefault="001C6219">
      <w:r>
        <w:t xml:space="preserve">Sobre la base del artículo 20, apartado 2, letra e), del Reglamento (UE) n.º 1139/2021, el propietario o beneficiario no puede registrar en el registro de la flota de la </w:t>
      </w:r>
      <w:r>
        <w:rPr>
          <w:u w:val="single"/>
        </w:rPr>
        <w:t>Unión</w:t>
      </w:r>
      <w:r>
        <w:t xml:space="preserve"> ningún buque, lo que significa que no es posible registrar un buque nuevo o de segunda mano en un plazo de cinco años a partir de la recepción de la ayuda a la </w:t>
      </w:r>
      <w:r w:rsidR="00DF0906">
        <w:t>paralización</w:t>
      </w:r>
      <w:r w:rsidR="00DF0906">
        <w:rPr>
          <w:i/>
        </w:rPr>
        <w:t xml:space="preserve"> definitiva</w:t>
      </w:r>
      <w:r>
        <w:t>.</w:t>
      </w:r>
    </w:p>
    <w:p w:rsidR="00F83F12" w:rsidRDefault="001C6219">
      <w:r>
        <w:t>En</w:t>
      </w:r>
      <w:r>
        <w:rPr>
          <w:i/>
        </w:rPr>
        <w:t xml:space="preserve"> </w:t>
      </w:r>
      <w:r>
        <w:t>cuanto a la cuestión de si el beneficiario puede crear una nueva empresa pesquera, el propietario de una empresa beneficiaria de la ayuda está autorizado a hacerlo, pero esta creación no puede dar lugar al registro de un buque nuevo o de segunda mano en un plazo de cinco años a partir de la recepción de la ayuda.</w:t>
      </w:r>
    </w:p>
    <w:p w:rsidR="00F83F12" w:rsidRDefault="001C6219">
      <w:r>
        <w:t> </w:t>
      </w:r>
    </w:p>
    <w:p w:rsidR="00F83F12" w:rsidRDefault="001C6219">
      <w:pPr>
        <w:pStyle w:val="P68B1DB1-Normal5"/>
        <w:jc w:val="left"/>
      </w:pPr>
      <w:r>
        <w:t>NOTA:</w:t>
      </w:r>
    </w:p>
    <w:p w:rsidR="00F83F12" w:rsidRDefault="001C6219">
      <w:pPr>
        <w:pStyle w:val="P68B1DB1-Normal5"/>
        <w:jc w:val="left"/>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F83F12" w:rsidRDefault="001C6219">
      <w:pPr>
        <w:pStyle w:val="P68B1DB1-Normal5"/>
        <w:jc w:val="left"/>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F83F12" w:rsidRDefault="00F83F12"/>
    <w:p w:rsidR="00F83F12" w:rsidRDefault="00F83F12"/>
    <w:p w:rsidR="00F83F12" w:rsidRDefault="00F83F12"/>
    <w:p w:rsidR="00F83F12" w:rsidRDefault="001C6219">
      <w:pPr>
        <w:pStyle w:val="Ttulo1"/>
      </w:pPr>
      <w:bookmarkStart w:id="9" w:name="scroll-bookmark-9"/>
      <w:bookmarkStart w:id="10" w:name="scroll-bookmark-10"/>
      <w:bookmarkEnd w:id="9"/>
      <w:r>
        <w:t xml:space="preserve">QA706: </w:t>
      </w:r>
      <w:r w:rsidR="00214B1C">
        <w:t>EMFAF ORGANIZACIÓN</w:t>
      </w:r>
      <w:r>
        <w:t xml:space="preserve"> de productores</w:t>
      </w:r>
      <w:bookmarkEnd w:id="10"/>
    </w:p>
    <w:p w:rsidR="00F83F12" w:rsidRDefault="001C6219">
      <w:r>
        <w:rPr>
          <w:noProof/>
          <w:lang w:val="es-ES"/>
        </w:rPr>
        <w:drawing>
          <wp:inline distT="0" distB="0" distL="0" distR="0" wp14:anchorId="4654622D" wp14:editId="2E47393B">
            <wp:extent cx="152435" cy="152435"/>
            <wp:effectExtent l="0" t="0" r="0" b="0"/>
            <wp:docPr id="100014" name="Imagen 10001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50505"/>
        </w:rPr>
        <w:t>Artículo 41 y anexo III del Reglamento FEMPA</w:t>
      </w:r>
    </w:p>
    <w:p w:rsidR="00F83F12" w:rsidRDefault="001C6219">
      <w:r>
        <w:rPr>
          <w:noProof/>
          <w:lang w:val="es-ES"/>
        </w:rPr>
        <w:drawing>
          <wp:inline distT="0" distB="0" distL="0" distR="0" wp14:anchorId="7D6B60F3" wp14:editId="1B734649">
            <wp:extent cx="152435" cy="152435"/>
            <wp:effectExtent l="0" t="0" r="0" b="0"/>
            <wp:docPr id="100016" name="Imagen 10001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r>
      <w:r w:rsidR="00377B57">
        <w:t>Pregunta</w:t>
      </w:r>
      <w:r w:rsidR="00377B57">
        <w:t>:</w:t>
      </w:r>
    </w:p>
    <w:p w:rsidR="00F83F12" w:rsidRDefault="001C6219">
      <w:r>
        <w:t xml:space="preserve">CZ está preparando actualmente normas para los beneficiarios de las organizaciones de productores (OP) y tiene la siguiente pregunta sobre el nivel máximo de ayuda para los gastos subvencionables del 75 % para las operaciones llevadas a cabo por una OP, </w:t>
      </w:r>
      <w:r>
        <w:lastRenderedPageBreak/>
        <w:t>asociaciones de organizaciones de productores u organizaciones interprofesionales (línea 15 del anexo III del Reglamento FEMPA).</w:t>
      </w:r>
    </w:p>
    <w:p w:rsidR="00F83F12" w:rsidRDefault="001C6219">
      <w:r>
        <w:t>La actividad se centrará también en la fundación de la OP; en este caso, uno de sus futuros miembros solicitará una subvención y, una vez aprobada la OP, CZ reembolsará a la OP el coste de la fundación.</w:t>
      </w:r>
    </w:p>
    <w:p w:rsidR="00F83F12" w:rsidRDefault="001C6219">
      <w:pPr>
        <w:pStyle w:val="P68B1DB1-Normal4"/>
      </w:pPr>
      <w:r>
        <w:t>¿Puede cubrirse dicha operación en un 75 %? El solicitante no es una OP en el momento de la presentación de la solicitud, pero en el momento del pago, el dinero se destinará a una OP aprobada.</w:t>
      </w:r>
    </w:p>
    <w:p w:rsidR="00F83F12" w:rsidRDefault="00F83F12"/>
    <w:p w:rsidR="00F83F12" w:rsidRDefault="001C6219">
      <w:pPr>
        <w:pStyle w:val="P68B1DB1-Normal4"/>
      </w:pPr>
      <w:r>
        <w:t>Respuesta.</w:t>
      </w:r>
    </w:p>
    <w:p w:rsidR="00F83F12" w:rsidRDefault="001C6219">
      <w:r>
        <w:t xml:space="preserve">El anexo III del Reglamento FEMPA no ofrece por sí mismo una respuesta a esta pregunta específica. Sin embargo, el considerando 40 del mismo Reglamento establece que la seguridad </w:t>
      </w:r>
      <w:r>
        <w:rPr>
          <w:i/>
        </w:rPr>
        <w:t>alimentaria se basa en mercados eficientes y bien organizados, que mejoran la transparencia, la estabilidad, la calidad y la diversidad de la cadena de suministro, así como la información al consumidor. Con este fin, el FEMPA debe poder apoyar la comercialización de productos de la pesca y la acuicultura, en consonancia con los objetivos establecidos en el Reglamento (UE) n.º 1379/2013 del Parlamento Europeo y del Consejo. En particular, debe poderse apoyar la creación de organizaciones de productores, la aplicación de planes de producción y comercialización, la promoción de nuevas salidas comerciales y el desarrollo y la difusión de información del mercado</w:t>
      </w:r>
      <w:r>
        <w:t>.</w:t>
      </w:r>
    </w:p>
    <w:p w:rsidR="00F83F12" w:rsidRDefault="001C6219">
      <w:r>
        <w:t>En vista de lo anterior, la ayuda puede estar disponible para la creación de una organización de productores. Por lo tanto, un posible solicitante no puede ser una organización de productores en el momento de presentar una solicitud de ayuda para la creación de dicha organización. CZ debe, por tanto, especificar en las normas para los beneficiarios los tipos de entidades con derecho a presentar solicitudes de ayuda en el marco de la medida en cuestión.</w:t>
      </w:r>
    </w:p>
    <w:p w:rsidR="00F83F12" w:rsidRDefault="001C6219">
      <w:r>
        <w:t>Para cumplir lo dispuesto en la línea 15 del anexo III del Reglamento FEMPA, puede concederse una intensidad de ayuda del 75 % si, a más tardar durante la ejecución del proyecto, el solicitante se convierte en una organización de productores, asociación de organizaciones de productores u organizaciones interprofesionales reconocidas. Estos requisitos deben indicarse claramente en las convocatorias de propuestas pertinentes.</w:t>
      </w:r>
    </w:p>
    <w:p w:rsidR="00F83F12" w:rsidRDefault="00F83F12"/>
    <w:p w:rsidR="00F83F12" w:rsidRDefault="001C6219">
      <w:pPr>
        <w:pStyle w:val="P68B1DB1-Normal5"/>
      </w:pPr>
      <w:r>
        <w:t>NOTA:</w:t>
      </w:r>
    </w:p>
    <w:p w:rsidR="00F83F12" w:rsidRDefault="001C6219">
      <w:pPr>
        <w:pStyle w:val="P68B1DB1-Normal5"/>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F83F12" w:rsidRDefault="001C6219">
      <w:pPr>
        <w:pStyle w:val="P68B1DB1-Normal5"/>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F83F12" w:rsidRDefault="001C6219">
      <w:pPr>
        <w:pStyle w:val="P68B1DB1-Normal5"/>
      </w:pPr>
      <w:r>
        <w:lastRenderedPageBreak/>
        <w:t>Esta página incluye respuestas a las preguntas de los Estados miembros sobre las disposiciones pertinentes para los Fondos cubiertos por el RDC. Las respuestas de esta página expresan la opinión de los servicios de la Comisión y no comprometen a la Comisión Europea. Solo el Tribunal de Justicia de la Unión Europea es competente para formular interpretaciones vinculantes del Derecho de la Unión.</w:t>
      </w:r>
    </w:p>
    <w:p w:rsidR="00F83F12" w:rsidRDefault="00F83F12"/>
    <w:p w:rsidR="00F83F12" w:rsidRDefault="00F83F12"/>
    <w:p w:rsidR="00F83F12" w:rsidRDefault="00F83F12"/>
    <w:p w:rsidR="00F83F12" w:rsidRDefault="001C6219">
      <w:pPr>
        <w:pStyle w:val="Ttulo1"/>
      </w:pPr>
      <w:bookmarkStart w:id="11" w:name="scroll-bookmark-11"/>
      <w:bookmarkStart w:id="12" w:name="scroll-bookmark-12"/>
      <w:bookmarkEnd w:id="11"/>
      <w:r>
        <w:t>A00274 — Reasignación del importe de flexibilidad confirmado tras la revisión intermedia</w:t>
      </w:r>
      <w:bookmarkEnd w:id="12"/>
    </w:p>
    <w:p w:rsidR="00F83F12" w:rsidRDefault="001C6219">
      <w:r>
        <w:rPr>
          <w:noProof/>
          <w:lang w:val="es-ES"/>
        </w:rPr>
        <w:drawing>
          <wp:inline distT="0" distB="0" distL="0" distR="0" wp14:anchorId="305C29AD" wp14:editId="5AB78C71">
            <wp:extent cx="152435" cy="152435"/>
            <wp:effectExtent l="0" t="0" r="0" b="0"/>
            <wp:docPr id="100018" name="Imagen 10001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18 y 86 (1) del RDC </w:t>
      </w:r>
    </w:p>
    <w:p w:rsidR="00F83F12" w:rsidRDefault="001C6219">
      <w:r>
        <w:rPr>
          <w:noProof/>
          <w:lang w:val="es-ES"/>
        </w:rPr>
        <w:drawing>
          <wp:inline distT="0" distB="0" distL="0" distR="0" wp14:anchorId="4E93A68A" wp14:editId="1168CDA8">
            <wp:extent cx="152435" cy="152435"/>
            <wp:effectExtent l="0" t="0" r="0" b="0"/>
            <wp:docPr id="100020" name="Imagen 10002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¿Debe reasignarse el importe de flexibilidad entre las prioridades del programa, o puede reasignarse a otros programas?</w:t>
      </w:r>
    </w:p>
    <w:p w:rsidR="00F83F12" w:rsidRDefault="00F83F12"/>
    <w:p w:rsidR="00F83F12" w:rsidRDefault="001C6219">
      <w:pPr>
        <w:pStyle w:val="P68B1DB1-Normal4"/>
      </w:pPr>
      <w:r>
        <w:t>Respuesta.</w:t>
      </w:r>
    </w:p>
    <w:p w:rsidR="00F83F12" w:rsidRDefault="001C6219">
      <w:r>
        <w:t>De conformidad con el artículo 18, apartado 3, del RDC, un Estado miembro puede solicitar una o varias modificaciones del programa si lo considera necesario tras la revisión intermedia de los programas, entre otras razones, en caso de que detecte nuevos retos en las recomendaciones específicas por país pertinentes adoptadas en 2024. En tales casos, las asignaciones revisadas de los recursos financieros por prioridad deberán presentarse a la Comisión junto con otros elementos mencionados en el artículo 18, apartado 3.</w:t>
      </w:r>
    </w:p>
    <w:p w:rsidR="00F83F12" w:rsidRDefault="001C6219">
      <w:r>
        <w:t>Como se desprende del artículo 86, apartado 1, del RDC, el importe de flexibilidad se confirma definitivamente al programa tras la adopción de la decisión de la Comisión tras la revisión intermedia. Al mismo tiempo que confirma el importe de flexibilidad, a petición del Estado miembro de conformidad con el artículo 18, apartado 3, la Comisión puede aprobar la reasignación del importe de flexibilidad entre las prioridades del programa pertinente, así como su reasignación a otro programa. Estas reasignaciones deben realizarse de conformidad con las disposiciones pertinentes relativas a las transferencias y dentro de las limitaciones de las mismas (artículos 26 y 111 del RDC).</w:t>
      </w:r>
    </w:p>
    <w:p w:rsidR="00F83F12" w:rsidRDefault="001C6219">
      <w:r>
        <w:t>Cabe señalar asimismo que, al reasignar el importe de flexibilidad dentro o fuera del programa, es necesario respetar los requisitos legislativos pertinentes, como la concentración temática y las asignaciones mínimas en materia de clima y desarrollo urbano sostenible.</w:t>
      </w:r>
    </w:p>
    <w:p w:rsidR="00F83F12" w:rsidRDefault="00F83F12"/>
    <w:p w:rsidR="00F83F12" w:rsidRDefault="00F83F12"/>
    <w:p w:rsidR="00F83F12" w:rsidRDefault="001C6219">
      <w:pPr>
        <w:pStyle w:val="Ttulo1"/>
      </w:pPr>
      <w:bookmarkStart w:id="13" w:name="scroll-bookmark-13"/>
      <w:bookmarkStart w:id="14" w:name="scroll-bookmark-14"/>
      <w:bookmarkEnd w:id="13"/>
      <w:r>
        <w:t>QA00275 — Versión de los planes nacionales de energía y clima que deben tenerse en cuenta en la revisión intermedia</w:t>
      </w:r>
      <w:bookmarkEnd w:id="14"/>
    </w:p>
    <w:p w:rsidR="00F83F12" w:rsidRDefault="001C6219">
      <w:r>
        <w:rPr>
          <w:noProof/>
          <w:lang w:val="es-ES"/>
        </w:rPr>
        <w:drawing>
          <wp:inline distT="0" distB="0" distL="0" distR="0" wp14:anchorId="7CA6717B" wp14:editId="185C7884">
            <wp:extent cx="152435" cy="152435"/>
            <wp:effectExtent l="0" t="0" r="0" b="0"/>
            <wp:docPr id="100022" name="Imagen 10002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18 del RDC</w:t>
      </w:r>
    </w:p>
    <w:p w:rsidR="00F83F12" w:rsidRDefault="001C6219">
      <w:r>
        <w:rPr>
          <w:noProof/>
          <w:lang w:val="es-ES"/>
        </w:rPr>
        <w:drawing>
          <wp:inline distT="0" distB="0" distL="0" distR="0" wp14:anchorId="2E882B1C" wp14:editId="38EA8BC4">
            <wp:extent cx="152435" cy="152435"/>
            <wp:effectExtent l="0" t="0" r="0" b="0"/>
            <wp:docPr id="100024" name="Imagen 10002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El Reglamento establece que, para la revisión intermedia, los Estados miembros tendrán en cuenta «los avances en la aplicación del plan nacional integrado de energía y clima, si procede» (artículo 18 (1) (b)). ¿Deberían tenerse en cuenta para ello los planes nacionales de energía y clima actualizados presentados en octubre de 2023?</w:t>
      </w:r>
    </w:p>
    <w:p w:rsidR="00F83F12" w:rsidRDefault="00F83F12"/>
    <w:p w:rsidR="00F83F12" w:rsidRDefault="001C6219">
      <w:pPr>
        <w:pStyle w:val="P68B1DB1-Normal4"/>
      </w:pPr>
      <w:r>
        <w:t>Respuesta.</w:t>
      </w:r>
    </w:p>
    <w:p w:rsidR="00F83F12" w:rsidRDefault="001C6219">
      <w:r>
        <w:t>Es cierto. Al revisar un programa de conformidad con el artículo 18 (1) (b) del RDC, el Estado miembro debe tener en cuenta su PNIEC actualizado, así como la evaluación de la Comisión y las recomendaciones específicas por país sobre su PNIEC actualizado.</w:t>
      </w:r>
    </w:p>
    <w:p w:rsidR="00F83F12" w:rsidRDefault="00F83F12"/>
    <w:p w:rsidR="00F83F12" w:rsidRDefault="00F83F12"/>
    <w:p w:rsidR="00F83F12" w:rsidRDefault="001C6219">
      <w:pPr>
        <w:pStyle w:val="Ttulo1"/>
      </w:pPr>
      <w:bookmarkStart w:id="15" w:name="scroll-bookmark-15"/>
      <w:bookmarkStart w:id="16" w:name="scroll-bookmark-16"/>
      <w:bookmarkEnd w:id="15"/>
      <w:r>
        <w:t>QA00276 — Modificación del Acuerdo de Asociación como parte de la revisión intermedia</w:t>
      </w:r>
      <w:bookmarkEnd w:id="16"/>
    </w:p>
    <w:p w:rsidR="00F83F12" w:rsidRDefault="001C6219">
      <w:r>
        <w:rPr>
          <w:noProof/>
          <w:lang w:val="es-ES"/>
        </w:rPr>
        <w:drawing>
          <wp:inline distT="0" distB="0" distL="0" distR="0" wp14:anchorId="1900B9B1" wp14:editId="4BE08CD3">
            <wp:extent cx="152435" cy="152435"/>
            <wp:effectExtent l="0" t="0" r="0" b="0"/>
            <wp:docPr id="100026" name="Imagen 10002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13 y 18 del RDC </w:t>
      </w:r>
    </w:p>
    <w:p w:rsidR="00F83F12" w:rsidRDefault="001C6219">
      <w:r>
        <w:rPr>
          <w:noProof/>
          <w:lang w:val="es-ES"/>
        </w:rPr>
        <w:drawing>
          <wp:inline distT="0" distB="0" distL="0" distR="0" wp14:anchorId="0087461C" wp14:editId="60995046">
            <wp:extent cx="152435" cy="152435"/>
            <wp:effectExtent l="0" t="0" r="0" b="0"/>
            <wp:docPr id="100028" name="Imagen 1000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¿Debería modificarse el Acuerdo de Asociación como parte del ejercicio de revisión intermedia, de conformidad con el artículo 13 del RDC?</w:t>
      </w:r>
    </w:p>
    <w:p w:rsidR="00F83F12" w:rsidRDefault="00F83F12"/>
    <w:p w:rsidR="00F83F12" w:rsidRDefault="001C6219">
      <w:pPr>
        <w:pStyle w:val="P68B1DB1-Normal4"/>
      </w:pPr>
      <w:r>
        <w:t>Respuesta.</w:t>
      </w:r>
    </w:p>
    <w:p w:rsidR="00F83F12" w:rsidRDefault="001C6219">
      <w:r>
        <w:lastRenderedPageBreak/>
        <w:t>De conformidad con el artículo 13 del RDC, un Estado miembro puede presentar a la Comisión, a más tardar el 31 de marzo de 2025, un acuerdo de asociación modificado, teniendo en cuenta el resultado de la revisión intermedia.  Por lo tanto, se deja a su discreción si el Estado miembro decide hacerlo, pero no es una obligación que se derive de las disposiciones pertinentes del RDC.</w:t>
      </w:r>
    </w:p>
    <w:p w:rsidR="00F83F12" w:rsidRDefault="00F83F12"/>
    <w:p w:rsidR="00F83F12" w:rsidRDefault="00F83F12"/>
    <w:p w:rsidR="00F83F12" w:rsidRDefault="00F83F12"/>
    <w:p w:rsidR="00F83F12" w:rsidRDefault="001C6219">
      <w:pPr>
        <w:pStyle w:val="Ttulo1"/>
      </w:pPr>
      <w:bookmarkStart w:id="17" w:name="scroll-bookmark-17"/>
      <w:bookmarkStart w:id="18" w:name="scroll-bookmark-18"/>
      <w:bookmarkEnd w:id="17"/>
      <w:r>
        <w:t>QA00277 — Papel de las evaluaciones en la revisión intermedia</w:t>
      </w:r>
      <w:bookmarkEnd w:id="18"/>
    </w:p>
    <w:p w:rsidR="00F83F12" w:rsidRDefault="001C6219">
      <w:r>
        <w:rPr>
          <w:noProof/>
          <w:lang w:val="es-ES"/>
        </w:rPr>
        <w:drawing>
          <wp:inline distT="0" distB="0" distL="0" distR="0" wp14:anchorId="74A97ECB" wp14:editId="25723699">
            <wp:extent cx="152435" cy="152435"/>
            <wp:effectExtent l="0" t="0" r="0" b="0"/>
            <wp:docPr id="100030" name="Imagen 10003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18 y 45 del RDC</w:t>
      </w:r>
    </w:p>
    <w:p w:rsidR="00F83F12" w:rsidRDefault="001C6219">
      <w:r>
        <w:rPr>
          <w:noProof/>
          <w:lang w:val="es-ES"/>
        </w:rPr>
        <w:drawing>
          <wp:inline distT="0" distB="0" distL="0" distR="0" wp14:anchorId="29A54102" wp14:editId="43BBB0C2">
            <wp:extent cx="152435" cy="152435"/>
            <wp:effectExtent l="0" t="0" r="0" b="0"/>
            <wp:docPr id="100032" name="Imagen 10003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¿Espera la Comisión que se lleven a cabo evaluaciones de revisión intermedia específicas en el marco del ejercicio de revisión intermedia?</w:t>
      </w:r>
    </w:p>
    <w:p w:rsidR="00F83F12" w:rsidRDefault="00F83F12"/>
    <w:p w:rsidR="00F83F12" w:rsidRDefault="001C6219">
      <w:pPr>
        <w:pStyle w:val="P68B1DB1-Normal4"/>
      </w:pPr>
      <w:r>
        <w:t>Respuesta.</w:t>
      </w:r>
    </w:p>
    <w:p w:rsidR="00F83F12" w:rsidRDefault="001C6219">
      <w:r>
        <w:t>La Comisión llama la atención sobre el artículo 18, apartado 1, letra e), del RDC, que establece que, en el caso de los programas apoyados por el FEDER, el FSE +, el Fondo de Cohesión y el FTJ, los Estados miembros deben revisar cada programa, teniendo en cuenta «los principales resultados de las evaluaciones pertinentes», que es uno de los elementos enumerados en el artículo 18 (1) del RDC, entre otros.</w:t>
      </w:r>
    </w:p>
    <w:p w:rsidR="00F83F12" w:rsidRDefault="001C6219">
      <w:r>
        <w:t xml:space="preserve">Estas evaluaciones pueden incluir evaluaciones a principios de 2021-2027 y 2014-2020 evaluaciones </w:t>
      </w:r>
      <w:r>
        <w:rPr>
          <w:i/>
        </w:rPr>
        <w:t>ex post</w:t>
      </w:r>
      <w:r>
        <w:t>, siempre que estén disponibles, pertinentes y útiles para el ejercicio. Sin embargo, los Estados miembros no están obligados a llevar a cabo evaluaciones intermedias específicas.</w:t>
      </w:r>
    </w:p>
    <w:p w:rsidR="00F83F12" w:rsidRDefault="00F83F12"/>
    <w:p w:rsidR="00F83F12" w:rsidRDefault="00F83F12"/>
    <w:p w:rsidR="00F83F12" w:rsidRDefault="001C6219">
      <w:pPr>
        <w:pStyle w:val="Ttulo1"/>
      </w:pPr>
      <w:bookmarkStart w:id="19" w:name="scroll-bookmark-19"/>
      <w:bookmarkStart w:id="20" w:name="scroll-bookmark-20"/>
      <w:bookmarkEnd w:id="19"/>
      <w:r>
        <w:t>QA00278 — Requisitos para los datos del programa evaluados durante la revisión intermedia</w:t>
      </w:r>
      <w:bookmarkEnd w:id="20"/>
    </w:p>
    <w:p w:rsidR="00F83F12" w:rsidRDefault="001C6219">
      <w:r>
        <w:rPr>
          <w:noProof/>
          <w:lang w:val="es-ES"/>
        </w:rPr>
        <w:drawing>
          <wp:inline distT="0" distB="0" distL="0" distR="0" wp14:anchorId="1278E3D0" wp14:editId="42C8542A">
            <wp:extent cx="152435" cy="152435"/>
            <wp:effectExtent l="0" t="0" r="0" b="0"/>
            <wp:docPr id="100034" name="Imagen 10003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18 del RDC</w:t>
      </w:r>
    </w:p>
    <w:p w:rsidR="00F83F12" w:rsidRDefault="001C6219">
      <w:r>
        <w:rPr>
          <w:noProof/>
          <w:lang w:val="es-ES"/>
        </w:rPr>
        <w:drawing>
          <wp:inline distT="0" distB="0" distL="0" distR="0" wp14:anchorId="1A51B28A" wp14:editId="4B3B2575">
            <wp:extent cx="152435" cy="152435"/>
            <wp:effectExtent l="0" t="0" r="0" b="0"/>
            <wp:docPr id="100036" name="Imagen 10003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¿A qué fecha límite deben respetarse los datos utilizados en la evaluación de los programas? ¿Aceptaría la Comisión una fecha límite para el verano de 2024?</w:t>
      </w:r>
    </w:p>
    <w:p w:rsidR="00F83F12" w:rsidRDefault="00F83F12"/>
    <w:p w:rsidR="00F83F12" w:rsidRDefault="001C6219">
      <w:pPr>
        <w:pStyle w:val="P68B1DB1-Normal4"/>
      </w:pPr>
      <w:r>
        <w:t>Respuesta.</w:t>
      </w:r>
    </w:p>
    <w:p w:rsidR="00F83F12" w:rsidRDefault="001C6219">
      <w:r>
        <w:t>De conformidad con el artículo 18, apartado 1, letra f), del RDC, el «progreso en la consecución de los hitos, teniendo en cuenta las principales dificultades encontradas en la ejecución del programa;» es uno de los aspectos clave que deben evaluar los Estados miembros durante la revisión intermedia de los programas de la política de cohesión.</w:t>
      </w:r>
    </w:p>
    <w:p w:rsidR="00F83F12" w:rsidRDefault="001C6219">
      <w:r>
        <w:t>Aunque el RDC no establece una fecha límite obligatoria para los datos que deben utilizar los Estados miembros durante la revisión intermedia, deben tenerse en cuenta determinadas consideraciones políticas.</w:t>
      </w:r>
    </w:p>
    <w:p w:rsidR="00F83F12" w:rsidRDefault="001C6219">
      <w:r>
        <w:t>En primer lugar, la revisión intermedia debe tener en cuenta los nuevos retos señalados en las recomendaciones específicas por país (REP) pertinentes adoptadas en 2024 [artículo 18, apartado 1, letra a), del RDC]. La Comisión debería publicar estas REP en junio de 2024. Por consiguiente, no se espera que los Estados miembros presenten sus resultados de la revisión intermedia a la Comisión antes del análisis de las REP, es decir, no antes del verano de 2024.</w:t>
      </w:r>
    </w:p>
    <w:p w:rsidR="00F83F12" w:rsidRDefault="001C6219">
      <w:r>
        <w:t>En segundo lugar, los hitos mencionados en el artículo 18, apartado 1, letra f), se refieren a los indicadores de realización que se espera alcanzar a finales de 2024, de conformidad con el artículo 16, apartado 1, párrafo segundo, letra b), del RDC.</w:t>
      </w:r>
    </w:p>
    <w:p w:rsidR="00F83F12" w:rsidRDefault="001C6219">
      <w:r>
        <w:t>Teniendo en cuenta estos dos puntos, para una evaluación actualizada de los avances del programa en la consecución de los hitos, los Estados miembros deben utilizar los datos transmitidos a la Comisión, de conformidad con el artículo 42, apartado 1, del RDC, a más tardar el 31 de enero de 2025, que reflejen los datos de los indicadores a finales de 2024.</w:t>
      </w:r>
    </w:p>
    <w:p w:rsidR="00F83F12" w:rsidRDefault="00F83F12"/>
    <w:p w:rsidR="00F83F12" w:rsidRDefault="00F83F12"/>
    <w:p w:rsidR="00F83F12" w:rsidRDefault="001C6219">
      <w:pPr>
        <w:pStyle w:val="Ttulo1"/>
      </w:pPr>
      <w:bookmarkStart w:id="21" w:name="scroll-bookmark-21"/>
      <w:bookmarkStart w:id="22" w:name="scroll-bookmark-22"/>
      <w:bookmarkEnd w:id="21"/>
      <w:r>
        <w:t>QA00001 — ¿Pueden subvencionarse las compras de vehículos eléctricos de las personas físicas en el próximo período de programación con cargo al FEDER/FC en el marco del OP 2?</w:t>
      </w:r>
      <w:bookmarkEnd w:id="22"/>
    </w:p>
    <w:p w:rsidR="00F83F12" w:rsidRDefault="001C6219">
      <w:r>
        <w:rPr>
          <w:noProof/>
          <w:lang w:val="es-ES"/>
        </w:rPr>
        <w:drawing>
          <wp:inline distT="0" distB="0" distL="0" distR="0" wp14:anchorId="3718E4BA" wp14:editId="510B8AA3">
            <wp:extent cx="152435" cy="152435"/>
            <wp:effectExtent l="0" t="0" r="0" b="0"/>
            <wp:docPr id="100038" name="Imagen 10003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 </w:t>
      </w:r>
      <w:r>
        <w:t>Artículo 5 y 7 del Reglamento FEDER/FC </w:t>
      </w:r>
    </w:p>
    <w:p w:rsidR="00F83F12" w:rsidRDefault="001C6219">
      <w:r>
        <w:rPr>
          <w:i/>
          <w:noProof/>
          <w:lang w:val="es-ES"/>
        </w:rPr>
        <w:drawing>
          <wp:inline distT="0" distB="0" distL="0" distR="0" wp14:anchorId="42D26B9A" wp14:editId="1D76CB5D">
            <wp:extent cx="152435" cy="152435"/>
            <wp:effectExtent l="0" t="0" r="0" b="0"/>
            <wp:docPr id="100040" name="Imagen 10004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Estado miembro: </w:t>
      </w:r>
      <w:r>
        <w:t>HU</w:t>
      </w:r>
    </w:p>
    <w:p w:rsidR="00F83F12" w:rsidRDefault="00F83F12"/>
    <w:p w:rsidR="00F83F12" w:rsidRDefault="001C6219">
      <w:pPr>
        <w:pStyle w:val="P68B1DB1-Normal4"/>
      </w:pPr>
      <w:r>
        <w:lastRenderedPageBreak/>
        <w:t>Pregunta 1 (incluidos los hechos e información pertinentes):</w:t>
      </w:r>
    </w:p>
    <w:p w:rsidR="00F83F12" w:rsidRDefault="001C6219">
      <w:r>
        <w:t>¿Pueden apoyarse las compras de vehículos eléctricos de las personas físicas en el próximo período de programación con cargo al FEDER/FC en el marco del OP 2?</w:t>
      </w:r>
    </w:p>
    <w:p w:rsidR="00F83F12" w:rsidRDefault="001C6219">
      <w:r>
        <w:t>Hungría cuenta con un sistema de apoyo similar (coches eléctricos para particulares, unos 3 000/1M HUF por vehículo), financiado a partir de fuentes nacionales, y desea que participen fuentes de los Fondos EIE.</w:t>
      </w:r>
    </w:p>
    <w:p w:rsidR="00F83F12" w:rsidRDefault="001C6219">
      <w:pPr>
        <w:pStyle w:val="P68B1DB1-Normal4"/>
      </w:pPr>
      <w:r>
        <w:t>Respuesta.</w:t>
      </w:r>
    </w:p>
    <w:p w:rsidR="00F83F12" w:rsidRDefault="001C6219">
      <w:pPr>
        <w:pStyle w:val="P68B1DB1-Normal6"/>
      </w:pPr>
      <w:r>
        <w:t>Esta respuesta se actualizó el 11 de octubre de 2021 para reflejar los cambios derivados de la adopción del Reglamento del FEDER.  </w:t>
      </w:r>
    </w:p>
    <w:p w:rsidR="00F83F12" w:rsidRDefault="001C6219">
      <w:r>
        <w:t xml:space="preserve">En relación con los vehículos eléctricos híbridos, el artículo 7, apartado 1, letra h), inciso iii), del FEDER/FC permite apoyar a los vehículos limpios, tal como se definen en la Directiva 2009/33/CE del Parlamento Europeo y del </w:t>
      </w:r>
      <w:r>
        <w:rPr>
          <w:u w:val="single"/>
        </w:rPr>
        <w:t>Consejo, con</w:t>
      </w:r>
      <w:r>
        <w:t xml:space="preserve"> fines públicos. Como tal, no ofrece la posibilidad de adquirir vehículos eléctricos híbridos por parte de hogares particulares.</w:t>
      </w:r>
    </w:p>
    <w:p w:rsidR="00F83F12" w:rsidRDefault="001C6219">
      <w:r>
        <w:t>La compra de turismos totalmente eléctricos para particulares no está explícitamente excluida en el Reglamento FEDER/FC. Sin embargo, por analogía con el enfoque acordado por los colegisladores para los vehículos limpios, la ayuda debe centrarse únicamente en los vehículos utilizados con fines públicos. </w:t>
      </w:r>
    </w:p>
    <w:p w:rsidR="00F83F12" w:rsidRDefault="001C6219">
      <w:r>
        <w:t>La política de cohesión es una política de inversión y no apoya la compra de turismos eléctricos para particulares, que en términos contables pertenecen a la categoría de consumo privado. Este apoyo no mejoraría el acceso a los servicios y tendría un impacto limitado en el rendimiento global del sistema de transporte. Por lo tanto, el apoyo a la electromovilidad debe centrarse en infraestructuras de recarga accesibles al público (cuando existan deficiencias del mercado que den lugar a disparidades regionales) y en los vehículos y las infraestructuras que prestan servicios de transporte público. Estas inversiones refuerzan la sostenibilidad de todo el sistema y de todos sus usuarios.</w:t>
      </w:r>
    </w:p>
    <w:p w:rsidR="00F83F12" w:rsidRDefault="00F83F12"/>
    <w:p w:rsidR="00F83F12" w:rsidRDefault="00F83F12"/>
    <w:p w:rsidR="00F83F12" w:rsidRDefault="001C6219">
      <w:pPr>
        <w:pStyle w:val="Ttulo1"/>
      </w:pPr>
      <w:bookmarkStart w:id="23" w:name="scroll-bookmark-23"/>
      <w:bookmarkStart w:id="24" w:name="scroll-bookmark-24"/>
      <w:bookmarkEnd w:id="23"/>
      <w:r>
        <w:t>QA00002 — Admisibilidad del IVA con arreglo a las normas de la política de cohesión en el período de programación 2021-2027</w:t>
      </w:r>
      <w:bookmarkEnd w:id="24"/>
    </w:p>
    <w:p w:rsidR="00F83F12" w:rsidRDefault="001C6219">
      <w:r>
        <w:rPr>
          <w:b/>
          <w:noProof/>
          <w:lang w:val="es-ES"/>
        </w:rPr>
        <w:drawing>
          <wp:inline distT="0" distB="0" distL="0" distR="0" wp14:anchorId="71646F25" wp14:editId="3508DFC5">
            <wp:extent cx="152435" cy="152435"/>
            <wp:effectExtent l="0" t="0" r="0" b="0"/>
            <wp:docPr id="100042" name="Imagen 10004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 xml:space="preserve">Artículo pertinente: </w:t>
      </w:r>
      <w:r>
        <w:t>Artículo 64 del RDC </w:t>
      </w:r>
    </w:p>
    <w:p w:rsidR="00F83F12" w:rsidRDefault="001C6219">
      <w:r>
        <w:rPr>
          <w:i/>
          <w:noProof/>
          <w:lang w:val="es-ES"/>
        </w:rPr>
        <w:drawing>
          <wp:inline distT="0" distB="0" distL="0" distR="0" wp14:anchorId="307D4FD3" wp14:editId="526C2186">
            <wp:extent cx="152435" cy="152435"/>
            <wp:effectExtent l="0" t="0" r="0" b="0"/>
            <wp:docPr id="100044" name="Imagen 10004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 Estado miembro</w:t>
      </w:r>
      <w:r>
        <w:rPr>
          <w:color w:val="505050"/>
        </w:rPr>
        <w:t xml:space="preserve">: PL </w:t>
      </w:r>
    </w:p>
    <w:p w:rsidR="00F83F12" w:rsidRDefault="001C6219">
      <w:pPr>
        <w:pStyle w:val="P68B1DB1-Normal4"/>
      </w:pPr>
      <w:r>
        <w:br/>
        <w:t>Pregunta (incluidos los hechos y la información pertinentes):</w:t>
      </w:r>
    </w:p>
    <w:p w:rsidR="00F83F12" w:rsidRDefault="001C6219">
      <w:r>
        <w:t xml:space="preserve">Polonia solicitó confirmación de su enfoque para la evaluación de la subvencionabilidad del IVA en el período 2021-2027. Consideran, por regla general, que la subvencionabilidad del IVA debe apreciarse de conformidad con el derecho del </w:t>
      </w:r>
      <w:r>
        <w:lastRenderedPageBreak/>
        <w:t>beneficiario a «deducir» el IVA o a obtener una «devolución» del IVA pagado por los bienes y servicios adquiridos, sobre la base de las normas específicas de los Fondos Estructurales y del Fondo de Cohesión. El enfoque propuesto es el siguiente: </w:t>
      </w:r>
    </w:p>
    <w:p w:rsidR="00F83F12" w:rsidRDefault="001C6219">
      <w:r>
        <w:t>1) como norma general, para determinar la subvencionabilidad del IVA, es necesario evaluar su recuperabilidad, es decir, el IVA recuperable con arreglo a la legislación nacional se considera no subvencionable, incluso si el beneficiario (o el destinatario final en el contexto de los instrumentos financieros, en el caso de una parte de la inversión subvencionada) no recupera el IVA.</w:t>
      </w:r>
    </w:p>
    <w:p w:rsidR="00F83F12" w:rsidRDefault="001C6219">
      <w:r>
        <w:t xml:space="preserve"> 2) como excepción a esta norma, la subvencionabilidad del IVA dentro de las operaciones cuyo coste total sea inferior a 5 millones EUR (IVA incluido) </w:t>
      </w:r>
      <w:r>
        <w:rPr>
          <w:b/>
        </w:rPr>
        <w:t xml:space="preserve">no debe evaluarse </w:t>
      </w:r>
      <w:r>
        <w:t xml:space="preserve">en relación con el derecho del beneficiario (o destinatario final) a recuperar el IVA con arreglo a la legislación nacional. Por consiguiente, en cualquier proyecto de este tipo, el IVA es subvencionable sin perjuicio de lo dispuesto en el artículo 63, apartado 2, del RDC (en consonancia con el cual el gasto será subvencionable si </w:t>
      </w:r>
      <w:r>
        <w:rPr>
          <w:b/>
        </w:rPr>
        <w:t xml:space="preserve">ha </w:t>
      </w:r>
      <w:r>
        <w:t xml:space="preserve">sido realizado por </w:t>
      </w:r>
      <w:r>
        <w:rPr>
          <w:b/>
        </w:rPr>
        <w:t xml:space="preserve">un beneficiario </w:t>
      </w:r>
      <w:r>
        <w:t xml:space="preserve">y abonado entre el 1 de enero de 2021 y el 31 de diciembre de 2029) o de las disposiciones del artículo 53, apartado 1, letra a), del RDC (en consonancia con las cuales las subvenciones concedidas por los Estados miembros a los beneficiarios pueden adoptar la forma de reembolso de </w:t>
      </w:r>
      <w:r>
        <w:rPr>
          <w:b/>
        </w:rPr>
        <w:t xml:space="preserve">los </w:t>
      </w:r>
      <w:r>
        <w:t xml:space="preserve">costes subvencionables realmente </w:t>
      </w:r>
      <w:r>
        <w:rPr>
          <w:b/>
        </w:rPr>
        <w:t xml:space="preserve">contraídos por </w:t>
      </w:r>
      <w:r>
        <w:t>un beneficiario y pagados en la ejecución de operaciones).</w:t>
      </w:r>
    </w:p>
    <w:p w:rsidR="00F83F12" w:rsidRDefault="001C6219">
      <w:r>
        <w:t> 3) como consecuencia de no examinar el derecho a recuperar el IVA dentro de las operaciones cuyo coste total sea inferior a 5 millones EUR (IVA incluido), la situación en la que el beneficiario (destinatario final) recupere el IVA no debe considerarse una doble ventaja financiera injustificada.</w:t>
      </w:r>
    </w:p>
    <w:p w:rsidR="00F83F12" w:rsidRDefault="001C6219">
      <w:r>
        <w:t> 4) el enfoque descrito en los puntos 1) a 3) es aplicable también a las subvenciones en forma de opciones de costes simplificados [artículo 53, apartado 1, letras b) a d), del RDC] o financiación no vinculada a los costes [artículo 53, apartado 1, letra f), del RDC].</w:t>
      </w:r>
    </w:p>
    <w:p w:rsidR="00F83F12" w:rsidRDefault="001C6219">
      <w:r>
        <w:t> 5) con el fin de garantizar una base común y constante para la conversión del importe del coste total de la operación (5 millones EUR, IVA incluido) a la moneda del Estado miembro (PLN), los solicitantes y beneficiarios utilizarán los tipos contables mensuales oficiales de la Comisión Europea para el euro.</w:t>
      </w:r>
    </w:p>
    <w:p w:rsidR="00F83F12" w:rsidRDefault="001C6219">
      <w:r>
        <w:t>(</w:t>
      </w:r>
      <w:hyperlink r:id="rId419" w:history="1">
        <w:r>
          <w:rPr>
            <w:rStyle w:val="Hipervnculo"/>
          </w:rPr>
          <w:t>httpon//ec.europa.eu/budget/contracts_grants/info_contracts/inforeuro/index_en.cfm</w:t>
        </w:r>
      </w:hyperlink>
      <w:r>
        <w:t>)</w:t>
      </w:r>
    </w:p>
    <w:p w:rsidR="00F83F12" w:rsidRDefault="001C6219">
      <w:r>
        <w:t> — del día de la convocatoria de propuestas de que se trate. Esta solución (fijación de los tipos) evitará el problema de la variación del tipo de cambio (situaciones en las que el coste total de la operación expresado en euros supera el umbral de 5 millones de euros durante la ejecución de la operación, pero solo como consecuencia de la fluctuación del tipo de cambio).</w:t>
      </w:r>
    </w:p>
    <w:p w:rsidR="00F83F12" w:rsidRDefault="001C6219">
      <w:r>
        <w:t>6) los cambios del coste total de la operación durante la ejecución se tendrán en cuenta en consecuencia, es decir: en el caso de las operaciones inicialmente inferiores al umbral de 5 millones de euros, si durante la ejecución el coste total supera el umbral, se aplica el artículo 64, apartado 1, letra c), incisos ii) o iii), — para las operaciones que inicialmente superen el umbral de 5 millones — si durante la ejecución el coste total se sitúa por debajo del umbral, se aplica el artículo 64, apartado 1, letra c), inciso i).</w:t>
      </w:r>
    </w:p>
    <w:p w:rsidR="00F83F12" w:rsidRDefault="001C6219">
      <w:r>
        <w:t> Polonia desea que la Comisión confirme el enfoque propuesto. </w:t>
      </w:r>
    </w:p>
    <w:p w:rsidR="00F83F12" w:rsidRDefault="001C6219">
      <w:pPr>
        <w:pStyle w:val="P68B1DB1-Normal4"/>
      </w:pPr>
      <w:r>
        <w:lastRenderedPageBreak/>
        <w:t>Respuesta.</w:t>
      </w:r>
    </w:p>
    <w:p w:rsidR="00F83F12" w:rsidRDefault="001C6219">
      <w:r>
        <w:t>1) corresponde en primer lugar a la autoridad de gestión garantizar el cumplimiento de las disposiciones reglamentarias. Sobre la base de la información facilitada, el enfoque propuesto en los puntos 1 a 3 es correcto y corresponde a lo dispuesto en el artículo 64 del RDC.</w:t>
      </w:r>
    </w:p>
    <w:p w:rsidR="00F83F12" w:rsidRDefault="001C6219">
      <w:r>
        <w:t>En particular, las disposiciones aplicables a la ayuda en forma de subvención se aplican independientemente de la forma de la ayuda y, por tanto, cubren los costes simplificados y la financiación no vinculada a los costes.</w:t>
      </w:r>
    </w:p>
    <w:p w:rsidR="00F83F12" w:rsidRDefault="001C6219">
      <w:r>
        <w:t xml:space="preserve">Por lo que se refiere a los puntos 5 y 6, el umbral de 5 000 000 EUR debe verificarse efectivamente con respecto a los costes reales de la operación, teniendo en cuenta los posibles excesos de costes durante la ejecución. Se propone llevar a cabo esta evaluación sobre la base del importe del acuerdo de subvención, </w:t>
      </w:r>
      <w:r w:rsidR="002F3719">
        <w:t xml:space="preserve">ya que, </w:t>
      </w:r>
      <w:r>
        <w:t>los costes reales no se conocen de antemano, de conformidad con las prácticas aplicadas durante el período de programación 2014-2020</w:t>
      </w:r>
      <w:hyperlink r:id="rId420" w:anchor="_edn1" w:history="1">
        <w:r>
          <w:rPr>
            <w:rStyle w:val="Hipervnculo"/>
          </w:rPr>
          <w:t>[i]</w:t>
        </w:r>
      </w:hyperlink>
      <w:r>
        <w:t xml:space="preserve"> y porque el acuerdo de subvención suele implicar una estimación madura de los costes. Por consiguiente, la conversión a euros debe efectuarse sobre la base del importe indicado en el acuerdo de subvención, utilizando el tipo de cambio contable mensual de la Comisión en el mes durante el cual se modificó por última vez el acuerdo de subvención.</w:t>
      </w:r>
    </w:p>
    <w:p w:rsidR="00F83F12" w:rsidRDefault="001C6219">
      <w:r>
        <w:t>2) por lo que se refiere a la ejecución de operaciones utilizando opciones de costes simplificados (OCS):</w:t>
      </w:r>
    </w:p>
    <w:p w:rsidR="00F83F12" w:rsidRDefault="001C6219">
      <w:pPr>
        <w:numPr>
          <w:ilvl w:val="0"/>
          <w:numId w:val="3"/>
        </w:numPr>
      </w:pPr>
      <w:r>
        <w:t>Se recuerda que las OCS deben definirse de antemano y deben incluirse en la convocatoria de propuestas. Esto significa que, una vez establecidas las OCS, no deben modificarse durante o después de la ejecución de una operación para compensar un aumento de los costes o una infrautilización del presupuesto disponible. En una situación excepcional en la que se acepta un aumento del presupuesto de una operación ejecutada sobre la base de OCS, debe realizarse una evaluación en consonancia con los principios descritos a continuación.  </w:t>
      </w:r>
    </w:p>
    <w:p w:rsidR="00F83F12" w:rsidRDefault="001C6219">
      <w:pPr>
        <w:numPr>
          <w:ilvl w:val="0"/>
          <w:numId w:val="3"/>
        </w:numPr>
      </w:pPr>
      <w:r>
        <w:t>En el caso de las operaciones cuyo coste total sea inferior a 5 000 000 EUR (IVA incluido), el IVA será subvencionable.</w:t>
      </w:r>
    </w:p>
    <w:p w:rsidR="00F83F12" w:rsidRDefault="001C6219">
      <w:pPr>
        <w:numPr>
          <w:ilvl w:val="0"/>
          <w:numId w:val="3"/>
        </w:numPr>
      </w:pPr>
      <w:r>
        <w:t>Para las operaciones cuyo coste total sea como mínimo de 5 000 000 EUR (IVA incluido):</w:t>
      </w:r>
    </w:p>
    <w:p w:rsidR="00F83F12" w:rsidRDefault="001C6219">
      <w:pPr>
        <w:numPr>
          <w:ilvl w:val="1"/>
          <w:numId w:val="4"/>
        </w:numPr>
      </w:pPr>
      <w:r>
        <w:t>En caso de reembolso de costes basado en un tipo fijo, la subvencionabilidad del IVA se evalúa para los costes de base, es decir, los costes a los que se aplica el tipo fijo. Por lo que se refiere a los costes «reales» cubiertos por el tipo fijo (es decir, los costes subyacentes a las categorías de gastos reembolsados sobre la base del tipo fijo), no se evaluará la subvencionabilidad del IVA;</w:t>
      </w:r>
    </w:p>
    <w:p w:rsidR="00F83F12" w:rsidRDefault="001C6219">
      <w:pPr>
        <w:numPr>
          <w:ilvl w:val="1"/>
          <w:numId w:val="4"/>
        </w:numPr>
      </w:pPr>
      <w:r>
        <w:t>En caso de reembolso de operaciones basado en costes unitarios o importes a tanto alzado, si la AG aplica el mismo porcentaje de OCS a todas las operaciones (independientemente de que sean superiores o inferiores a 5 000 000 EUR), en la práctica no es necesario ningún ajuste.</w:t>
      </w:r>
    </w:p>
    <w:p w:rsidR="00F83F12" w:rsidRDefault="001C6219">
      <w:r>
        <w:rPr>
          <w:noProof/>
          <w:lang w:val="es-E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82895" cy="0"/>
                <wp:effectExtent l="13335" t="12065" r="13970" b="6985"/>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C4A69" id="Conector recto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" strokecolor="gray"/>
            </w:pict>
          </mc:Fallback>
        </mc:AlternateContent>
      </w:r>
      <w:hyperlink r:id="rId421" w:anchor="_ednref1" w:history="1">
        <w:r>
          <w:rPr>
            <w:rStyle w:val="Hipervnculo"/>
          </w:rPr>
          <w:t>[I]</w:t>
        </w:r>
      </w:hyperlink>
      <w:r>
        <w:t xml:space="preserve"> Orientaciones sobre los métodos de muestreo EGESIF 16-0014-01 de 20/01/2017, sección 7.10.1</w:t>
      </w:r>
    </w:p>
    <w:p w:rsidR="00F83F12" w:rsidRDefault="00F83F12"/>
    <w:p w:rsidR="00F83F12" w:rsidRDefault="00F83F12"/>
    <w:p w:rsidR="00F83F12" w:rsidRDefault="001C6219">
      <w:pPr>
        <w:pStyle w:val="Ttulo1"/>
      </w:pPr>
      <w:bookmarkStart w:id="25" w:name="scroll-bookmark-25"/>
      <w:bookmarkStart w:id="26" w:name="scroll-bookmark-26"/>
      <w:bookmarkEnd w:id="25"/>
      <w:r>
        <w:t>QA00003 — Admisibilidad de los costes de amortización</w:t>
      </w:r>
      <w:bookmarkEnd w:id="26"/>
    </w:p>
    <w:p w:rsidR="00F83F12" w:rsidRDefault="001C6219">
      <w:r>
        <w:rPr>
          <w:b/>
          <w:noProof/>
          <w:lang w:val="es-ES"/>
        </w:rPr>
        <w:drawing>
          <wp:inline distT="0" distB="0" distL="0" distR="0" wp14:anchorId="194F03A6" wp14:editId="074BB559">
            <wp:extent cx="152435" cy="152435"/>
            <wp:effectExtent l="0" t="0" r="0" b="0"/>
            <wp:docPr id="100047" name="Imagen 1000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Artículo pertinente:</w:t>
      </w:r>
      <w:r>
        <w:rPr>
          <w:b/>
        </w:rPr>
        <w:t> </w:t>
      </w:r>
      <w:r>
        <w:t>Artículo 67, apartado 2, letra d), del RDC </w:t>
      </w:r>
    </w:p>
    <w:p w:rsidR="00F83F12" w:rsidRDefault="001C6219">
      <w:r>
        <w:rPr>
          <w:i/>
          <w:noProof/>
          <w:lang w:val="es-ES"/>
        </w:rPr>
        <w:drawing>
          <wp:inline distT="0" distB="0" distL="0" distR="0" wp14:anchorId="7E78DA17" wp14:editId="7D539E7C">
            <wp:extent cx="152435" cy="152435"/>
            <wp:effectExtent l="0" t="0" r="0" b="0"/>
            <wp:docPr id="100049" name="Imagen 1000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 Estado miembro</w:t>
      </w:r>
      <w:r>
        <w:rPr>
          <w:color w:val="505050"/>
        </w:rPr>
        <w:t xml:space="preserve">: LT </w:t>
      </w:r>
    </w:p>
    <w:p w:rsidR="00F83F12" w:rsidRDefault="001C6219">
      <w:pPr>
        <w:pStyle w:val="P68B1DB1-Normal4"/>
      </w:pPr>
      <w:r>
        <w:br/>
        <w:t>Pregunta 1 (incluidos los hechos e información pertinentes):</w:t>
      </w:r>
    </w:p>
    <w:p w:rsidR="00F83F12" w:rsidRDefault="001C6219">
      <w:r>
        <w:t>La autoridad de gestión (AG) solicita una interpretación del artículo 67 (2) (d) del proyecto de RDC, que establece que</w:t>
      </w:r>
    </w:p>
    <w:p w:rsidR="00F83F12" w:rsidRDefault="001C6219">
      <w:r>
        <w:t> (2) Los costes de depreciación por los que no se haya efectuado ningún pago documentado con facturas se podrán considerar subvencionables siempre que se cumplan las siguientes condiciones:</w:t>
      </w:r>
    </w:p>
    <w:p w:rsidR="00F83F12" w:rsidRDefault="001C6219">
      <w:r>
        <w:t>d) que los activos depreciados no se hayan adquirido con ayuda de subvenciones públicas.</w:t>
      </w:r>
    </w:p>
    <w:p w:rsidR="00F83F12" w:rsidRDefault="001C6219">
      <w:r>
        <w:t>La AG desearía saber si los costes de amortización de los activos financiados con cargo a los presupuestos nacionales o subnacionales pueden considerarse subvencionables. La AG ofrece los siguientes ejemplos de casos:</w:t>
      </w:r>
    </w:p>
    <w:p w:rsidR="00F83F12" w:rsidRDefault="001C6219">
      <w:pPr>
        <w:numPr>
          <w:ilvl w:val="0"/>
          <w:numId w:val="5"/>
        </w:numPr>
      </w:pPr>
      <w:r>
        <w:t>Las escuelas públicas compran equipos en 2020 a los gastos corrientes y desean utilizarlo en un proyecto del FSE;</w:t>
      </w:r>
    </w:p>
    <w:p w:rsidR="00F83F12" w:rsidRDefault="001C6219">
      <w:pPr>
        <w:numPr>
          <w:ilvl w:val="0"/>
          <w:numId w:val="5"/>
        </w:numPr>
      </w:pPr>
      <w:r>
        <w:t>El centro municipal de apoyo social desea utilizar el transporte de un proyecto del FSE adquirido por el municipio;</w:t>
      </w:r>
    </w:p>
    <w:p w:rsidR="00F83F12" w:rsidRDefault="001C6219">
      <w:pPr>
        <w:numPr>
          <w:ilvl w:val="0"/>
          <w:numId w:val="5"/>
        </w:numPr>
      </w:pPr>
      <w:r>
        <w:t>La Universidad adquirió equipos de un régimen nacional de subvenciones y desea utilizarlo en un proyecto de investigación del FEDER;</w:t>
      </w:r>
    </w:p>
    <w:p w:rsidR="00F83F12" w:rsidRDefault="001C6219">
      <w:pPr>
        <w:numPr>
          <w:ilvl w:val="0"/>
          <w:numId w:val="5"/>
        </w:numPr>
      </w:pPr>
      <w:r>
        <w:t>La sociedad de responsabilidad limitada recibió en 2020 ayuda estatal para la adquisición de equipos. En 2021, quiere utilizar este equipo en un proyecto de investigación del FEDER.</w:t>
      </w:r>
    </w:p>
    <w:p w:rsidR="00F83F12" w:rsidRDefault="001C6219">
      <w:pPr>
        <w:pStyle w:val="P68B1DB1-Normal4"/>
      </w:pPr>
      <w:r>
        <w:t>Respuesta.</w:t>
      </w:r>
    </w:p>
    <w:p w:rsidR="00F83F12" w:rsidRDefault="001C6219">
      <w:r>
        <w:t>Cabe señalar que los costes de amortización a que se refiere el artículo 67, apartado 2, del RDC solo pueden considerarse subvencionables si se cumplen acumulativamente las condiciones establecidas en las letras a) a d).</w:t>
      </w:r>
    </w:p>
    <w:p w:rsidR="00F83F12" w:rsidRDefault="001C6219">
      <w:r>
        <w:t xml:space="preserve">De conformidad con el artículo 67, apartado 2, letra d), del RDC, los costes de amortización son subvencionables cuando «las subvenciones públicas no hayan contribuido a la adquisición de los activos amortizados». Por «subvención pública» </w:t>
      </w:r>
      <w:r>
        <w:rPr>
          <w:u w:val="single"/>
        </w:rPr>
        <w:t>debe entenderse toda contribución pública en el sentido del artículo 2, punto 28, del</w:t>
      </w:r>
      <w:r>
        <w:t xml:space="preserve"> </w:t>
      </w:r>
      <w:r>
        <w:rPr>
          <w:b/>
        </w:rPr>
        <w:t>RDC en forma de</w:t>
      </w:r>
      <w:r>
        <w:t xml:space="preserve"> subvención.</w:t>
      </w:r>
    </w:p>
    <w:p w:rsidR="00F83F12" w:rsidRDefault="001C6219">
      <w:r>
        <w:t xml:space="preserve">Por lo que se refiere a las cuestiones específicas, la condición establecida en el artículo 67, apartado 2, letra d), no puede considerarse cumplida en los casos 3 y 4, para los que el equipo había recibido subvenciones públicas (respectivamente, régimen de </w:t>
      </w:r>
      <w:r>
        <w:lastRenderedPageBreak/>
        <w:t>ayudas nacionales y ayudas estatales) y, por lo tanto, los costes de amortización no pueden considerarse subvencionables.</w:t>
      </w:r>
    </w:p>
    <w:p w:rsidR="00F83F12" w:rsidRDefault="001C6219">
      <w:r>
        <w:t>Por otra parte, en los dos primeros ejemplos, la fuente de la compra de activos no puede verificarse objetivamente sobre la base de la información facilitada (es decir, si una subvención pública contribuyó o no a la adquisición de los equipos). En caso de que se hayan adquirido en casa, a través de presupuestos propios (aunque (parcialmente) públicos, sin subvenciones públicas, los costes de amortización correspondientes podrían considerarse subvencionables, siempre que también se cumplan las demás condiciones.</w:t>
      </w:r>
    </w:p>
    <w:p w:rsidR="00F83F12" w:rsidRDefault="00F83F12"/>
    <w:p w:rsidR="00F83F12" w:rsidRDefault="00F83F12"/>
    <w:p w:rsidR="00F83F12" w:rsidRDefault="001C6219">
      <w:pPr>
        <w:pStyle w:val="Ttulo1"/>
      </w:pPr>
      <w:bookmarkStart w:id="27" w:name="scroll-bookmark-27"/>
      <w:bookmarkStart w:id="28" w:name="scroll-bookmark-28"/>
      <w:bookmarkEnd w:id="27"/>
      <w:r>
        <w:t>QA00004 — Apoyo a personas físicas o físicas para la inversión en viviendas vinculadas a la adaptación al cambio climático</w:t>
      </w:r>
      <w:bookmarkEnd w:id="28"/>
    </w:p>
    <w:p w:rsidR="00F83F12" w:rsidRDefault="001C6219">
      <w:r>
        <w:rPr>
          <w:b/>
          <w:noProof/>
          <w:lang w:val="es-ES"/>
        </w:rPr>
        <w:drawing>
          <wp:inline distT="0" distB="0" distL="0" distR="0" wp14:anchorId="0BF3FE40" wp14:editId="2A6D92D3">
            <wp:extent cx="152435" cy="152435"/>
            <wp:effectExtent l="0" t="0" r="0" b="0"/>
            <wp:docPr id="100051" name="Imagen 1000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Artículos pertinentes</w:t>
      </w:r>
      <w:r>
        <w:rPr>
          <w:color w:val="505050"/>
        </w:rPr>
        <w:t>:</w:t>
      </w:r>
      <w:r>
        <w:rPr>
          <w:i/>
        </w:rPr>
        <w:t>  </w:t>
      </w:r>
      <w:r>
        <w:t>Artículo 2 del RDC y artículo 73 del RDC;</w:t>
      </w:r>
    </w:p>
    <w:p w:rsidR="00F83F12" w:rsidRDefault="001C6219">
      <w:r>
        <w:t>                                  Artículo 5 y 6 del Reglamento FEDER/FC</w:t>
      </w:r>
    </w:p>
    <w:p w:rsidR="00F83F12" w:rsidRDefault="001C6219">
      <w:r>
        <w:rPr>
          <w:i/>
          <w:noProof/>
          <w:lang w:val="es-ES"/>
        </w:rPr>
        <w:drawing>
          <wp:inline distT="0" distB="0" distL="0" distR="0" wp14:anchorId="48A67D9F" wp14:editId="362E15DA">
            <wp:extent cx="152435" cy="152435"/>
            <wp:effectExtent l="0" t="0" r="0" b="0"/>
            <wp:docPr id="100053" name="Imagen 1000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 Estado miembro</w:t>
      </w:r>
      <w:r>
        <w:rPr>
          <w:color w:val="505050"/>
        </w:rPr>
        <w:t>: HU</w:t>
      </w:r>
    </w:p>
    <w:p w:rsidR="00F83F12" w:rsidRDefault="001C6219">
      <w:pPr>
        <w:pStyle w:val="P68B1DB1-Normal4"/>
      </w:pPr>
      <w:r>
        <w:br/>
        <w:t>Pregunta 1 (incluidos los hechos e información pertinentes):</w:t>
      </w:r>
    </w:p>
    <w:p w:rsidR="00F83F12" w:rsidRDefault="001C6219">
      <w:r>
        <w:t>Como parte de la preparación del programa de energía y medio ambiente 2021-2027, la autoridad de gestión está estudiando la posibilidad de apoyar las inversiones en adaptación al cambio climático realizadas por personas físicas o físicas. Entre los ejemplos de estos proyectos de los hogares figuran los tejados verdes, los tanques de retención de agua de lluvia, las paredes verdes, las instalaciones de almacenamiento de bicicletas en bloques de apartamentos y las instalaciones de compostaje doméstico. Como parte de la refundición de la Directiva sobre el agua potable, será necesario modificar los tubos de plomo domésticos, así como las redes de servicios públicos que contienen tuberías de plomo.</w:t>
      </w:r>
    </w:p>
    <w:p w:rsidR="00F83F12" w:rsidRDefault="001C6219">
      <w:r>
        <w:t> De conformidad con el artículo 2, apartado 9, letra a), del RDC: «</w:t>
      </w:r>
      <w:r>
        <w:rPr>
          <w:i/>
        </w:rPr>
        <w:t>beneficiario:</w:t>
      </w:r>
      <w:r>
        <w:t xml:space="preserve"> </w:t>
      </w:r>
      <w:r>
        <w:rPr>
          <w:i/>
        </w:rPr>
        <w:t xml:space="preserve">un organismo de Derecho público o privado, una entidad con o sin personalidad jurídica o </w:t>
      </w:r>
      <w:r>
        <w:rPr>
          <w:b/>
          <w:i/>
        </w:rPr>
        <w:t>una persona física, responsable de iniciar o de iniciar y ejecutar operaciones</w:t>
      </w:r>
      <w:r>
        <w:t xml:space="preserve">». Según la respuesta a la pregunta </w:t>
      </w:r>
      <w:hyperlink r:id="rId422" w:anchor="expand-Clicktohideshowmetadata" w:history="1">
        <w:r>
          <w:rPr>
            <w:rStyle w:val="Hipervnculo"/>
          </w:rPr>
          <w:t>QA00001</w:t>
        </w:r>
      </w:hyperlink>
      <w:r>
        <w:t>, «El ámbito de aplicación del FEDER y del</w:t>
      </w:r>
      <w:r>
        <w:rPr>
          <w:i/>
        </w:rPr>
        <w:t xml:space="preserve"> Fondo de Cohesión en el artículo 5 y el artículo 6 del Reglamento FEDER </w:t>
      </w:r>
      <w:r>
        <w:rPr>
          <w:b/>
          <w:i/>
        </w:rPr>
        <w:t>/FC no prevé la posibilidad de subvencionar el consumo de</w:t>
      </w:r>
      <w:r>
        <w:t xml:space="preserve"> los hogares».</w:t>
      </w:r>
    </w:p>
    <w:p w:rsidR="00F83F12" w:rsidRDefault="001C6219">
      <w:r>
        <w:t>Partiendo de los antecedentes anteriores se formulan las siguientes consultas:</w:t>
      </w:r>
    </w:p>
    <w:p w:rsidR="00F83F12" w:rsidRDefault="001C6219">
      <w:r>
        <w:t xml:space="preserve"> ¿Pueden las personas o los bienes inmuebles beneficiarse del apoyo de la política de cohesión de la UE a la inversión en vivienda que contribuya a la adaptación al cambio climático directa o indirectamente (a través de las autoridades locales como </w:t>
      </w:r>
      <w:r>
        <w:lastRenderedPageBreak/>
        <w:t>intermediarios) en virtud de las normas de la política de cohesión de la UE para el período 2021-2027?</w:t>
      </w:r>
    </w:p>
    <w:p w:rsidR="00F83F12" w:rsidRDefault="001C6219">
      <w:pPr>
        <w:numPr>
          <w:ilvl w:val="0"/>
          <w:numId w:val="6"/>
        </w:numPr>
      </w:pPr>
      <w:r>
        <w:t>En caso afirmativo, ¿cuáles serían las consecuencias en términos de contratación pública y ayudas estatales? </w:t>
      </w:r>
    </w:p>
    <w:p w:rsidR="00F83F12" w:rsidRDefault="001C6219">
      <w:pPr>
        <w:pStyle w:val="P68B1DB1-Normal4"/>
      </w:pPr>
      <w:r>
        <w:t>Respuesta.</w:t>
      </w:r>
    </w:p>
    <w:p w:rsidR="00F83F12" w:rsidRDefault="001C6219">
      <w:r>
        <w:t>Sobre la base de la definición de beneficiario que figura en el artículo 2, apartado 9, letra a), del RDC, las personas físicas (particulares) o los organismos privados pueden beneficiarse del apoyo de la UE si son responsables de iniciar o de iniciar y ejecutar una operación.</w:t>
      </w:r>
    </w:p>
    <w:p w:rsidR="00F83F12" w:rsidRDefault="001C6219">
      <w:r>
        <w:t>No existe ninguna prohibición establecida en el Reglamento del FEDER y del Fondo de Cohesión que impida a una persona física ser beneficiaria.</w:t>
      </w:r>
    </w:p>
    <w:p w:rsidR="00F83F12" w:rsidRDefault="001C6219">
      <w:r>
        <w:t>Por lo tanto, la sustitución de los tubos de plomo nacionales podría ser subvencionable. No obstante, de conformidad con el artículo 73, apartado 2, letra c), del RDC, la autoridad de gestión debe garantizar que las operaciones seleccionadas presenten la mejor relación entre el importe de la ayuda y la consecución de los objetivos. Por lo tanto, tales inversiones serían ineficaces si no van precedidas de la sustitución de los tubos de plomo en el sistema público de distribución de agua.</w:t>
      </w:r>
    </w:p>
    <w:p w:rsidR="00F83F12" w:rsidRDefault="001C6219">
      <w:r>
        <w:t>En el caso que se presenta, las personas físicas podrían beneficiarse de la inversión en vivienda, contribuyendo directa o indirectamente a la adaptación al cambio climático. Las personas podrían, por ejemplo, adquirir e instalar los equipos, sobre la base de límites máximos nominales o bonos, o las autoridades locales podrían actuar como entidades adjudicadoras, a través de contratos marco.</w:t>
      </w:r>
    </w:p>
    <w:p w:rsidR="00F83F12" w:rsidRDefault="001C6219">
      <w:r>
        <w:t>Las normas sobre ayudas estatales solo se aplican en la medida en que el beneficiario sea una «empresa». Una empresa es una entidad que ejerce una actividad económica, con independencia de su estatuto jurídico y de su modo de financiación. Por lo tanto, las ayudas públicas concedidas a personas que realizan actividades económicas (como las actividades de alquiler) entrarán en el ámbito de aplicación de las normas sobre ayudas estatales.</w:t>
      </w:r>
    </w:p>
    <w:p w:rsidR="00F83F12" w:rsidRDefault="001C6219">
      <w:r>
        <w:t>En la misma línea, se aplicarán las disposiciones sobre durabilidad, de conformidad con el artículo 65 del RDC.</w:t>
      </w:r>
    </w:p>
    <w:p w:rsidR="00F83F12" w:rsidRDefault="001C6219">
      <w:r>
        <w:t>Por lo que se refiere a la aplicación de las normas de contratación pública, cabe señalar que, si en la operación cofinanciada participan poderes adjudicadores, tal como se definen en las normas de contratación pública, será necesario examinar si se han cumplido las disposiciones de las Directivas sobre contratación pública aplicables.</w:t>
      </w:r>
    </w:p>
    <w:p w:rsidR="00F83F12" w:rsidRDefault="00F83F12"/>
    <w:p w:rsidR="00F83F12" w:rsidRDefault="00F83F12"/>
    <w:p w:rsidR="00F83F12" w:rsidRDefault="001C6219">
      <w:pPr>
        <w:pStyle w:val="Ttulo1"/>
      </w:pPr>
      <w:bookmarkStart w:id="29" w:name="scroll-bookmark-29"/>
      <w:bookmarkStart w:id="30" w:name="scroll-bookmark-30"/>
      <w:bookmarkEnd w:id="29"/>
      <w:r>
        <w:t>QA00005 — Uso de los fondos de la UE para la financiación de edificios de la administración pública</w:t>
      </w:r>
      <w:bookmarkEnd w:id="30"/>
    </w:p>
    <w:p w:rsidR="00F83F12" w:rsidRDefault="001C6219">
      <w:r>
        <w:rPr>
          <w:noProof/>
          <w:lang w:val="es-ES"/>
        </w:rPr>
        <w:drawing>
          <wp:inline distT="0" distB="0" distL="0" distR="0" wp14:anchorId="210924EA" wp14:editId="76D9DAE1">
            <wp:extent cx="152435" cy="152435"/>
            <wp:effectExtent l="0" t="0" r="0" b="0"/>
            <wp:docPr id="100055" name="Imagen 1000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 xml:space="preserve">Artículo pertinente: Artículo 36 del RDC </w:t>
      </w:r>
    </w:p>
    <w:p w:rsidR="00F83F12" w:rsidRDefault="001C6219">
      <w:pPr>
        <w:pStyle w:val="P68B1DB1-Normal5"/>
      </w:pPr>
      <w:r>
        <w:rPr>
          <w:noProof/>
          <w:lang w:val="es-ES"/>
        </w:rPr>
        <w:lastRenderedPageBreak/>
        <w:drawing>
          <wp:inline distT="0" distB="0" distL="0" distR="0" wp14:anchorId="1EAEDA95" wp14:editId="35044EE3">
            <wp:extent cx="152435" cy="152435"/>
            <wp:effectExtent l="0" t="0" r="0" b="0"/>
            <wp:docPr id="100057" name="Imagen 1000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Estado miembro</w:t>
      </w:r>
      <w:r>
        <w:rPr>
          <w:color w:val="505050"/>
        </w:rPr>
        <w:t>: RO</w:t>
      </w:r>
    </w:p>
    <w:p w:rsidR="00F83F12" w:rsidRDefault="00F83F12"/>
    <w:p w:rsidR="00F83F12" w:rsidRDefault="001C6219">
      <w:pPr>
        <w:pStyle w:val="P68B1DB1-Normal4"/>
      </w:pPr>
      <w:r>
        <w:t>Pregunta 1 (incluidos los hechos e información pertinentes):</w:t>
      </w:r>
    </w:p>
    <w:p w:rsidR="00F83F12" w:rsidRDefault="001C6219">
      <w:r>
        <w:t>En sus proyectos de propuestas de programa, las autoridades rumanas proponen financiar con su asistencia técnica la construcción, adquisición o modernización de los locales de la administración pública. ¿Es subvencionable con arreglo a los Reglamentos de 21-27?</w:t>
      </w:r>
    </w:p>
    <w:p w:rsidR="00F83F12" w:rsidRDefault="001C6219">
      <w:pPr>
        <w:pStyle w:val="P68B1DB1-Normal4"/>
      </w:pPr>
      <w:r>
        <w:t>Respuesta.</w:t>
      </w:r>
    </w:p>
    <w:p w:rsidR="00F83F12" w:rsidRDefault="001C6219">
      <w:r>
        <w:t>El artículo 36, apartado 1, del RDC sobre asistencia técnica establece que, a iniciativa de un Estado miembro, los Fondos pueden apoyar las acciones necesarias para la administración y el uso efectivos de los Fondos. La misma disposición no incluye una lista exhaustiva de acciones que pueden recibir apoyo en el marco de la asistencia técnica de un Estado miembro.</w:t>
      </w:r>
    </w:p>
    <w:p w:rsidR="00F83F12" w:rsidRDefault="001C6219">
      <w:r>
        <w:t>Sobre la base de lo anterior, la construcción, adquisición o modernización de locales de la administración pública no se excluye expresamente del apoyo a la asistencia técnica de un Estado miembro en caso de que se considere necesario para la administración y el uso efectivos de los Fondos y se ajuste a las normas nacionales de subvencionabilidad. Cabe señalar que, en los casos de utilización de la asistencia técnica de un Estado miembro para operaciones que incluyan inversiones en infraestructuras, los Estados miembros deben garantizar la durabilidad de la operación de conformidad con el artículo 65, apartado 1, del RDC.</w:t>
      </w:r>
    </w:p>
    <w:p w:rsidR="00F83F12" w:rsidRDefault="001C6219">
      <w:r>
        <w:t>Sin embargo, desde un punto de vista político, es difícil justificar el uso de la asistencia técnica para apoyar la construcción, adquisición y modernización/renovación de edificios de la administración pública. En primer lugar, no aportaría ningún valor añadido de la UE. En segundo lugar, esto reduciría los medios disponibles para el desarrollo de capacidades y para llevar a cabo, entre otras, actividades como la preparación, la formación o la comunicación, a las que se destina principalmente la asistencia técnica.</w:t>
      </w:r>
    </w:p>
    <w:p w:rsidR="00F83F12" w:rsidRDefault="001C6219">
      <w:r>
        <w:t>En vista de lo anterior, el uso de asistencia técnica para la construcción, adquisición y modernización/renovación de edificios de la administración pública solo debe considerarse en casos excepcionales y debidamente justificados (por ejemplo, cuando los gastos de alquiler sean muy superiores al coste de construcción o adquisición de un nuevo edificio) y en determinadas condiciones (es decir, la subvencionabilidad basada en una proporción del presupuesto estrictamente vinculada a las necesidades de las autoridades del programa, al período de programación y a la demostración de un ahorro claro en comparación con los costes de alquiler). </w:t>
      </w:r>
    </w:p>
    <w:p w:rsidR="00F83F12" w:rsidRDefault="00F83F12"/>
    <w:p w:rsidR="00F83F12" w:rsidRDefault="00F83F12"/>
    <w:p w:rsidR="00F83F12" w:rsidRDefault="001C6219">
      <w:pPr>
        <w:pStyle w:val="Ttulo1"/>
      </w:pPr>
      <w:bookmarkStart w:id="31" w:name="scroll-bookmark-31"/>
      <w:bookmarkStart w:id="32" w:name="scroll-bookmark-32"/>
      <w:bookmarkEnd w:id="31"/>
      <w:r>
        <w:lastRenderedPageBreak/>
        <w:t>QA00006 — Asistencia técnica: riesgo de doble financiación cuando se utiliza asistencia técnica a tanto alzado en 2021-2027</w:t>
      </w:r>
      <w:bookmarkEnd w:id="32"/>
    </w:p>
    <w:p w:rsidR="00F83F12" w:rsidRDefault="001C6219">
      <w:r>
        <w:rPr>
          <w:noProof/>
          <w:lang w:val="es-ES"/>
        </w:rPr>
        <w:drawing>
          <wp:inline distT="0" distB="0" distL="0" distR="0" wp14:anchorId="01531C42" wp14:editId="6C6FAF85">
            <wp:extent cx="152435" cy="152435"/>
            <wp:effectExtent l="0" t="0" r="0" b="0"/>
            <wp:docPr id="100059" name="Imagen 1000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 </w:t>
      </w:r>
      <w:r>
        <w:t>Artículo 36, apartado 5, del Reglamento sobre disposiciones comunes.</w:t>
      </w:r>
    </w:p>
    <w:p w:rsidR="00F83F12" w:rsidRDefault="001C6219">
      <w:r>
        <w:rPr>
          <w:i/>
          <w:noProof/>
          <w:lang w:val="es-ES"/>
        </w:rPr>
        <w:drawing>
          <wp:inline distT="0" distB="0" distL="0" distR="0" wp14:anchorId="13AD6D38" wp14:editId="7F43AB92">
            <wp:extent cx="152435" cy="152435"/>
            <wp:effectExtent l="0" t="0" r="0" b="0"/>
            <wp:docPr id="100061" name="Imagen 1000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rPr>
          <w:i/>
        </w:rPr>
        <w:t> Estado miembro</w:t>
      </w:r>
      <w:r>
        <w:rPr>
          <w:color w:val="505050"/>
        </w:rPr>
        <w:t xml:space="preserve">: LT </w:t>
      </w:r>
    </w:p>
    <w:p w:rsidR="00F83F12" w:rsidRDefault="00F83F12"/>
    <w:p w:rsidR="00F83F12" w:rsidRDefault="001C6219">
      <w:pPr>
        <w:pStyle w:val="P68B1DB1-Normal4"/>
      </w:pPr>
      <w:r>
        <w:t>Pregunta 1 (incluidos los hechos e información pertinentes):</w:t>
      </w:r>
    </w:p>
    <w:p w:rsidR="00F83F12" w:rsidRDefault="001C6219">
      <w:r>
        <w:t>La autoridad de gestión envió la siguiente pregunta sobre el riesgo de doble financiación de los gastos relacionados con la asistencia técnica entre dos períodos financieros (2014-2020 y 2021-2027) y sobre la mejor manera de mitigar dicho riesgo, en su caso.</w:t>
      </w:r>
      <w:r>
        <w:br/>
      </w:r>
      <w:r>
        <w:br/>
        <w:t>En el período 2014-2020, la situación relativa a los gastos de asistencia técnica es la siguiente:</w:t>
      </w:r>
    </w:p>
    <w:p w:rsidR="00F83F12" w:rsidRDefault="001C6219">
      <w:pPr>
        <w:numPr>
          <w:ilvl w:val="0"/>
          <w:numId w:val="7"/>
        </w:numPr>
      </w:pPr>
      <w:r>
        <w:t xml:space="preserve">Gastos de asistencia técnica basados en </w:t>
      </w:r>
      <w:r>
        <w:rPr>
          <w:b/>
        </w:rPr>
        <w:t>los costes reales</w:t>
      </w:r>
      <w:r>
        <w:t>,</w:t>
      </w:r>
    </w:p>
    <w:p w:rsidR="00F83F12" w:rsidRDefault="001C6219">
      <w:pPr>
        <w:numPr>
          <w:ilvl w:val="0"/>
          <w:numId w:val="7"/>
        </w:numPr>
      </w:pPr>
      <w:r>
        <w:t xml:space="preserve">La asistencia técnica también incluye los gastos relacionados con la </w:t>
      </w:r>
      <w:r>
        <w:rPr>
          <w:b/>
        </w:rPr>
        <w:t xml:space="preserve">preparación </w:t>
      </w:r>
      <w:r>
        <w:t>para 2021-2027.</w:t>
      </w:r>
    </w:p>
    <w:p w:rsidR="00F83F12" w:rsidRDefault="001C6219">
      <w:pPr>
        <w:numPr>
          <w:ilvl w:val="0"/>
          <w:numId w:val="7"/>
        </w:numPr>
      </w:pPr>
      <w:r>
        <w:t>El último día de</w:t>
      </w:r>
      <w:r>
        <w:rPr>
          <w:b/>
        </w:rPr>
        <w:t xml:space="preserve"> subvencionabilidad</w:t>
      </w:r>
      <w:r>
        <w:t xml:space="preserve"> </w:t>
      </w:r>
      <w:r>
        <w:rPr>
          <w:b/>
        </w:rPr>
        <w:t>de la asistencia técnica</w:t>
      </w:r>
      <w:r>
        <w:t xml:space="preserve"> es el 31/12/2023.</w:t>
      </w:r>
    </w:p>
    <w:p w:rsidR="00F83F12" w:rsidRDefault="001C6219">
      <w:pPr>
        <w:pStyle w:val="P68B1DB1-Normal4"/>
      </w:pPr>
      <w:r>
        <w:t> </w:t>
      </w:r>
    </w:p>
    <w:p w:rsidR="00F83F12" w:rsidRDefault="001C6219">
      <w:r>
        <w:t>En el período 2021-2027, la situación relativa a los gastos de asistencia técnica es la siguiente:</w:t>
      </w:r>
      <w:r>
        <w:br/>
        <w:t>La autoridad de gestión tiene la intención de utilizar la asistencia técnica a tanto alzado,</w:t>
      </w:r>
    </w:p>
    <w:p w:rsidR="00F83F12" w:rsidRDefault="001C6219">
      <w:pPr>
        <w:numPr>
          <w:ilvl w:val="0"/>
          <w:numId w:val="8"/>
        </w:numPr>
      </w:pPr>
      <w:r>
        <w:t>De conformidad con el RDC, el gasto de las operaciones sobre cuya base se calcula la asistencia técnica a tanto alzado es</w:t>
      </w:r>
      <w:r>
        <w:rPr>
          <w:b/>
        </w:rPr>
        <w:t xml:space="preserve"> subvencionable a partir de principios de 2021.</w:t>
      </w:r>
    </w:p>
    <w:p w:rsidR="00F83F12" w:rsidRDefault="001C6219">
      <w:pPr>
        <w:numPr>
          <w:ilvl w:val="0"/>
          <w:numId w:val="8"/>
        </w:numPr>
      </w:pPr>
      <w:r>
        <w:t xml:space="preserve">LT empezará a declarar gastos una vez que se haya creado y auditado el Sistema de Gestión y Control. </w:t>
      </w:r>
      <w:r>
        <w:rPr>
          <w:b/>
        </w:rPr>
        <w:t xml:space="preserve">Las primeras declaraciones de gastos deberán presentarse a la Comisión aproximadamente a finales de 2022 o principios de 2023. </w:t>
      </w:r>
      <w:r>
        <w:t>Estas declaraciones incluirán los gastos de operaciones distintas de la asistencia técnica contraídos en 2021 y el importe a cobrar de la asistencia técnica a tanto alzado calculada como porcentaje del gasto de las operaciones.</w:t>
      </w:r>
    </w:p>
    <w:p w:rsidR="00F83F12" w:rsidRDefault="001C6219">
      <w:r>
        <w:t>La autoridad de gestión pide que, si los gastos efectuados por las instituciones para preparar la administración del nuevo período financiero se abonan a partir de la asistencia técnica 2014-2020 sobre la base de los costes reales, ¿pueden solicitar aún un porcentaje completo de la asistencia técnica a tanto alzado correspondiente a los gastos de 2021-2027 que se declarará en 2023? ¿Esto no supondrá una doble financiación?</w:t>
      </w:r>
    </w:p>
    <w:p w:rsidR="00F83F12" w:rsidRDefault="001C6219">
      <w:pPr>
        <w:pStyle w:val="P68B1DB1-Normal4"/>
      </w:pPr>
      <w:r>
        <w:t>Respuesta.</w:t>
      </w:r>
    </w:p>
    <w:p w:rsidR="00F83F12" w:rsidRDefault="001C6219">
      <w:r>
        <w:t xml:space="preserve">Cuando un Estado miembro decida utilizar el método a tanto alzado para la asistencia técnica para el período 2021-2027, el porcentaje a tanto alzado pertinente para el fondo </w:t>
      </w:r>
      <w:r>
        <w:lastRenderedPageBreak/>
        <w:t>de que se trate previsto en el artículo 36, apartado 5, letra b), se aplicará automáticamente a cada solicitud de pago presentada a la Comisión. </w:t>
      </w:r>
    </w:p>
    <w:p w:rsidR="00F83F12" w:rsidRDefault="001C6219">
      <w:r>
        <w:t>La forma en que el Estado miembro utiliza los pagos a tanto alzado para la asistencia técnica es responsabilidad del Estado miembro. Dada la naturaleza del tanto alzado, no se comprobarán los costes subyacentes de los importes reembolsados sobre la base del tipo fijo a escala de la UE.</w:t>
      </w:r>
    </w:p>
    <w:p w:rsidR="00F83F12" w:rsidRDefault="001C6219">
      <w:r>
        <w:t>Así pues, corresponde a cada Estado miembro excluir la doble financiación. Cada autoridad de gestión dispondrá de su propio sistema interno para supervisar la ejecución de la asistencia técnica y corresponde a la autoridad de gestión garantizar que los mismos costes de las operaciones de asistencia técnica cofinanciadas en el período 2014-2020 no se vuelvan a cubrir en el período 2021-2027.</w:t>
      </w:r>
    </w:p>
    <w:p w:rsidR="00F83F12" w:rsidRDefault="00F83F12"/>
    <w:p w:rsidR="00F83F12" w:rsidRDefault="00F83F12"/>
    <w:p w:rsidR="00F83F12" w:rsidRDefault="001C6219">
      <w:pPr>
        <w:pStyle w:val="Ttulo1"/>
      </w:pPr>
      <w:bookmarkStart w:id="33" w:name="scroll-bookmark-33"/>
      <w:bookmarkStart w:id="34" w:name="scroll-bookmark-34"/>
      <w:bookmarkEnd w:id="33"/>
      <w:r>
        <w:t>QA00007 — FTJ — Uso de los pilares 2 y 3 sin utilizar el pilar 1</w:t>
      </w:r>
      <w:bookmarkEnd w:id="34"/>
    </w:p>
    <w:p w:rsidR="00F83F12" w:rsidRDefault="001C6219">
      <w:r>
        <w:rPr>
          <w:noProof/>
          <w:lang w:val="es-ES"/>
        </w:rPr>
        <w:drawing>
          <wp:inline distT="0" distB="0" distL="0" distR="0" wp14:anchorId="621A0303" wp14:editId="1AF2776A">
            <wp:extent cx="152435" cy="152435"/>
            <wp:effectExtent l="0" t="0" r="0" b="0"/>
            <wp:docPr id="100063" name="Imagen 1000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Artículo pertinente: Artículo 11 del Reglamento del FTJ</w:t>
      </w:r>
    </w:p>
    <w:p w:rsidR="00F83F12" w:rsidRDefault="001C6219">
      <w:r>
        <w:rPr>
          <w:b/>
          <w:noProof/>
          <w:lang w:val="es-ES"/>
        </w:rPr>
        <w:drawing>
          <wp:inline distT="0" distB="0" distL="0" distR="0" wp14:anchorId="62DBD182" wp14:editId="26014451">
            <wp:extent cx="152435" cy="152435"/>
            <wp:effectExtent l="0" t="0" r="0" b="0"/>
            <wp:docPr id="100065" name="Imagen 1000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 </w:t>
      </w:r>
      <w:r>
        <w:t>SER</w:t>
      </w:r>
    </w:p>
    <w:p w:rsidR="00F83F12" w:rsidRDefault="001C6219">
      <w:r>
        <w:br/>
        <w:t>Pregunta</w:t>
      </w:r>
      <w:r>
        <w:rPr>
          <w:b/>
        </w:rPr>
        <w:t xml:space="preserve"> 1 (incluidos los hechos e información pertinentes):</w:t>
      </w:r>
    </w:p>
    <w:p w:rsidR="00F83F12" w:rsidRDefault="001C6219">
      <w:r>
        <w:t>¿Es posible que una región o regiones, que no recibirán dinero del FTJ, soliciten los pilares 2 o 3 del MTJ?</w:t>
      </w:r>
    </w:p>
    <w:p w:rsidR="00F83F12" w:rsidRDefault="001C6219">
      <w:r>
        <w:t>A tal fin, la región o regiones contarían con un plan territorial en el que explicarían cómo los pilares 2 y 3 contribuirían a la transición de esas regiones. Estas regiones incluso prevén, en caso necesario, incluir una prioridad en su PO con una asignación de un «euro simbólico» del FTJ. </w:t>
      </w:r>
    </w:p>
    <w:p w:rsidR="00F83F12" w:rsidRDefault="001C6219">
      <w:pPr>
        <w:pStyle w:val="P68B1DB1-Normal4"/>
      </w:pPr>
      <w:r>
        <w:t>Respuesta.</w:t>
      </w:r>
    </w:p>
    <w:p w:rsidR="00F83F12" w:rsidRDefault="001C6219">
      <w:r>
        <w:t>El Mecanismo para una Transición Justa (MTJ) consta de tres pilares, a saber, el Fondo de Transición Justa (pilar 1), el régimen específico de transición justa en el marco de InvestEU para atraer inversiones privadas (pilar 2) y el Instrumento de Préstamo al Sector Público con el BEI para movilizar financiación pública (pilar 3).</w:t>
      </w:r>
    </w:p>
    <w:p w:rsidR="00F83F12" w:rsidRDefault="00F83F12"/>
    <w:p w:rsidR="00F83F12" w:rsidRDefault="001C6219">
      <w:r>
        <w:t xml:space="preserve">El objetivo del MTJ y sus tres pilares es, y siempre ha sido, los «territorios más perjudicados por el proceso de transición». Por lo tanto, los pilares 2 y 3 del MTJ deben, de conformidad con sus respectivos actos jurídicos, beneficiar a los territorios más perjudicados por la transición hacia una economía climáticamente neutra de la UE de aquí a 2050, tal como se indica en los planes territoriales de transición justa. De conformidad con el artículo 11, apartados 1 y 2, letra b), del Reglamento del FTJ, estos territorios recibirán el apoyo del FTJ. Por lo tanto, un territorio no puede beneficiarse </w:t>
      </w:r>
      <w:r>
        <w:lastRenderedPageBreak/>
        <w:t>únicamente de los pilares 2 y 3 sin el apoyo del FTJ. Por lo tanto, el apoyo respectivo de los tres pilares es complementario. A este respecto, los planes territoriales de transición justa deben incluir una descripción de las sinergias y complementariedades con el apoyo previsto de los demás pilares del MTJ.</w:t>
      </w:r>
    </w:p>
    <w:p w:rsidR="00F83F12" w:rsidRDefault="00F83F12"/>
    <w:p w:rsidR="00F83F12" w:rsidRDefault="001C6219">
      <w:r>
        <w:t>La contribución respectiva de los tres pilares debe adaptarse a las necesidades de desarrollo de los territorios en cuestión y al tipo de proyectos subvencionables en el marco de cada instrumento. Los planes territoriales de transición justa deben incluir, en particular, una descripción de la contribución prevista de la ayuda del FTJ de conformidad con el artículo 11, apartado 2, letra d), del Reglamento del FTJ.</w:t>
      </w:r>
    </w:p>
    <w:p w:rsidR="00F83F12" w:rsidRDefault="00F83F12"/>
    <w:p w:rsidR="00F83F12" w:rsidRDefault="001C6219">
      <w:r>
        <w:t>Si bien los tres pilares tienen que beneficiar a los territorios más perjudicados, como se ha señalado anteriormente, los proyectos correspondientes no tienen que estar necesariamente situados en estos territorios. En tales casos, será necesario justificar que un proyecto beneficia a los territorios subvencionables demostrando que contribuye a satisfacer las necesidades de desarrollo derivadas de la transición, tal como se establece en el plan territorial de transición justa pertinente. A tal fin, el plan territorial de transición justa debe especificar, cuando se prevea la ayuda de los pilares 2 o 3, los sectores y actividades que se espera que reciban apoyo en el marco de dichos pilares.</w:t>
      </w:r>
    </w:p>
    <w:p w:rsidR="00F83F12" w:rsidRDefault="00F83F12"/>
    <w:p w:rsidR="00F83F12" w:rsidRDefault="001C6219">
      <w:r>
        <w:t>Por lo tanto, los pilares 2 y 3 no pueden utilizarse como mecanismo de «compensación» para las regiones no identificadas como «más perjudicadas por la transición» y desconectadas del uso del FTJ. Asignar solo un euro simbólico del FTJ a estas regiones para beneficiarse de los pilares 2 y 3 sería contrario a su identificación como «más perjudicada».</w:t>
      </w:r>
    </w:p>
    <w:p w:rsidR="00F83F12" w:rsidRDefault="00F83F12"/>
    <w:p w:rsidR="00F83F12" w:rsidRDefault="00F83F12"/>
    <w:p w:rsidR="00F83F12" w:rsidRDefault="00F83F12"/>
    <w:p w:rsidR="00F83F12" w:rsidRDefault="001C6219">
      <w:pPr>
        <w:pStyle w:val="Ttulo1"/>
      </w:pPr>
      <w:bookmarkStart w:id="35" w:name="scroll-bookmark-35"/>
      <w:bookmarkStart w:id="36" w:name="scroll-bookmark-36"/>
      <w:bookmarkEnd w:id="35"/>
      <w:r>
        <w:t>QA00008 — Proyectos generadores de ingresos</w:t>
      </w:r>
      <w:bookmarkEnd w:id="36"/>
    </w:p>
    <w:p w:rsidR="00F83F12" w:rsidRDefault="001C6219">
      <w:r>
        <w:rPr>
          <w:noProof/>
          <w:lang w:val="es-ES"/>
        </w:rPr>
        <w:drawing>
          <wp:inline distT="0" distB="0" distL="0" distR="0" wp14:anchorId="19A693F8" wp14:editId="268761F1">
            <wp:extent cx="152435" cy="152435"/>
            <wp:effectExtent l="0" t="0" r="0" b="0"/>
            <wp:docPr id="100067" name="Imagen 1000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73 del RDC  </w:t>
      </w:r>
    </w:p>
    <w:p w:rsidR="00F83F12" w:rsidRDefault="001C6219">
      <w:r>
        <w:rPr>
          <w:noProof/>
          <w:lang w:val="es-ES"/>
        </w:rPr>
        <w:drawing>
          <wp:inline distT="0" distB="0" distL="0" distR="0" wp14:anchorId="32C53404" wp14:editId="526952A5">
            <wp:extent cx="152435" cy="152435"/>
            <wp:effectExtent l="0" t="0" r="0" b="0"/>
            <wp:docPr id="100069" name="Imagen 1000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 RO</w:t>
      </w:r>
    </w:p>
    <w:p w:rsidR="00F83F12" w:rsidRDefault="001C6219">
      <w:pPr>
        <w:pStyle w:val="P68B1DB1-Normal4"/>
      </w:pPr>
      <w:r>
        <w:br/>
        <w:t>Pregunta 1 (incluidos los hechos e información pertinentes):</w:t>
      </w:r>
    </w:p>
    <w:p w:rsidR="00F83F12" w:rsidRDefault="001C6219">
      <w:r>
        <w:t>En la exposición de motivos de la propuesta de la Comisión de Reglamento RDC y en el manual de simplificación (punto 42) se menciona el hecho de que, a diferencia del período de programación 2014-2020, ya no habrá normas específicas para las inversiones generadoras de ingresos. ¿Significa que no es necesario calcular la metodología del déficit de financiación a nivel de los proyectos?</w:t>
      </w:r>
    </w:p>
    <w:p w:rsidR="00F83F12" w:rsidRDefault="00F83F12"/>
    <w:p w:rsidR="00F83F12" w:rsidRDefault="001C6219">
      <w:pPr>
        <w:pStyle w:val="P68B1DB1-Normal4"/>
      </w:pPr>
      <w:r>
        <w:lastRenderedPageBreak/>
        <w:t>Respuesta.</w:t>
      </w:r>
    </w:p>
    <w:p w:rsidR="00F83F12" w:rsidRDefault="001C6219">
      <w:r>
        <w:t>El Reglamento sobre disposiciones comunes 2021-2027 no incluye disposiciones específicas sobre las inversiones generadoras de ingresos.</w:t>
      </w:r>
    </w:p>
    <w:p w:rsidR="00F83F12" w:rsidRDefault="001C6219">
      <w:r>
        <w:t>Por lo tanto, el RDC y los reglamentos específicos del Fondo no exigen la aplicación de una metodología específica para el cálculo del déficit de financiación a nivel de una operación (es decir, el valor actual de los ingresos netos no tiene que deducirse del gasto subvencionable).</w:t>
      </w:r>
    </w:p>
    <w:p w:rsidR="00F83F12" w:rsidRDefault="001C6219">
      <w:r>
        <w:t>No obstante, los Estados miembros deben cumplir las normas sobre ayudas estatales y garantizar que la operación que genera ingresos netos se seleccione de conformidad con el artículo 73 del RDC [incluido el artículo 73, apartado 2, letra c),] y las normas nacionales aplicables.  </w:t>
      </w:r>
    </w:p>
    <w:p w:rsidR="00F83F12" w:rsidRDefault="001C6219">
      <w:r>
        <w:t>Además, de conformidad con el principio de que quien contamina paga establecido en el Tratado y los principios del usuario paga en las legislaciones sectoriales, los Estados miembros garantizarán una contribución adecuada de los usuarios, a través de políticas tarifarias, para cubrir una parte de los costes de inversión, especialmente en el sector del medio ambiente.</w:t>
      </w:r>
    </w:p>
    <w:p w:rsidR="00F83F12" w:rsidRDefault="00F83F12"/>
    <w:p w:rsidR="00F83F12" w:rsidRDefault="00F83F12"/>
    <w:p w:rsidR="00F83F12" w:rsidRDefault="001C6219">
      <w:pPr>
        <w:pStyle w:val="Ttulo1"/>
      </w:pPr>
      <w:bookmarkStart w:id="37" w:name="scroll-bookmark-37"/>
      <w:bookmarkStart w:id="38" w:name="scroll-bookmark-38"/>
      <w:bookmarkEnd w:id="37"/>
      <w:r>
        <w:t>QA00009 — En el período 2021-27, la adquisición de terrenos por un importe superior al 10 % del gasto total subvencionable de la operación en cuestión no será subvencionable. ¿Qué significa «terrenos» en este contexto?</w:t>
      </w:r>
      <w:bookmarkEnd w:id="38"/>
    </w:p>
    <w:p w:rsidR="00F83F12" w:rsidRDefault="001C6219">
      <w:r>
        <w:rPr>
          <w:noProof/>
          <w:lang w:val="es-ES"/>
        </w:rPr>
        <w:drawing>
          <wp:inline distT="0" distB="0" distL="0" distR="0" wp14:anchorId="2D9471F0" wp14:editId="32E3D08A">
            <wp:extent cx="152435" cy="152435"/>
            <wp:effectExtent l="0" t="0" r="0" b="0"/>
            <wp:docPr id="100071" name="Imagen 1000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 </w:t>
      </w:r>
      <w:r>
        <w:t>Artículo 64, apartado 1, letra b), del RDC</w:t>
      </w:r>
    </w:p>
    <w:p w:rsidR="00F83F12" w:rsidRDefault="001C6219">
      <w:r>
        <w:rPr>
          <w:noProof/>
          <w:lang w:val="es-ES"/>
        </w:rPr>
        <w:drawing>
          <wp:inline distT="0" distB="0" distL="0" distR="0" wp14:anchorId="68C41B7E" wp14:editId="465F970D">
            <wp:extent cx="152435" cy="152435"/>
            <wp:effectExtent l="0" t="0" r="0" b="0"/>
            <wp:docPr id="100073" name="Imagen 1000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 </w:t>
      </w:r>
      <w:r>
        <w:t>HU</w:t>
      </w:r>
    </w:p>
    <w:p w:rsidR="00F83F12" w:rsidRDefault="00F83F12"/>
    <w:p w:rsidR="00F83F12" w:rsidRDefault="001C6219">
      <w:pPr>
        <w:pStyle w:val="P68B1DB1-Normal4"/>
      </w:pPr>
      <w:r>
        <w:t>Pregunta 1 (incluidos los hechos e información pertinentes):</w:t>
      </w:r>
    </w:p>
    <w:p w:rsidR="00F83F12" w:rsidRDefault="001C6219">
      <w:r>
        <w:t> </w:t>
      </w:r>
      <w:r>
        <w:rPr>
          <w:i/>
        </w:rPr>
        <w:t>«Entre 2021 y 27, la adquisición de terrenos por un importe superior al 10 % del gasto total subvencionable de la operación de que se trate no será subvencionable.</w:t>
      </w:r>
    </w:p>
    <w:p w:rsidR="00F83F12" w:rsidRDefault="001C6219">
      <w:pPr>
        <w:pStyle w:val="P68B1DB1-Normal5"/>
      </w:pPr>
      <w:r>
        <w:t>En este contexto, ¿se refiere «terrenos» a todo tipo de parcelas o solo a las parcelas vacías, que no incluyen edificios?»</w:t>
      </w:r>
    </w:p>
    <w:p w:rsidR="00F83F12" w:rsidRDefault="001C6219">
      <w:r>
        <w:t> Las autoridades húngaras tienen previsto lanzar convocatorias de propuestas para apoyar la rehabilitación social urbana. Es fundamental que planifiquen con la mayor flexibilidad posible en cuanto a la admisibilidad de la adquisición de tierras. Si el límite del 10 % del RDC solo se refiere a parcelas vacías, las autoridades húngaras permitirían un porcentaje más elevado de los costes subvencionables para las parcelas, que también incluyen edificios.</w:t>
      </w:r>
    </w:p>
    <w:p w:rsidR="00F83F12" w:rsidRDefault="00F83F12"/>
    <w:p w:rsidR="00F83F12" w:rsidRDefault="001C6219">
      <w:pPr>
        <w:pStyle w:val="P68B1DB1-Normal4"/>
      </w:pPr>
      <w:r>
        <w:lastRenderedPageBreak/>
        <w:t>Respuesta.</w:t>
      </w:r>
    </w:p>
    <w:p w:rsidR="00F83F12" w:rsidRDefault="001C6219">
      <w:r>
        <w:t>De conformidad con el artículo 64, apartado 1, letra b), del RDC, la adquisición de terrenos es subvencionable hasta un máximo del 10 % del gasto total subvencionable de la operación de que se trate, que puede incrementarse hasta el 15 % en el caso de los terrenos abandonados y de los anteriormente en uso industrial que comprendan edificios.</w:t>
      </w:r>
    </w:p>
    <w:p w:rsidR="00F83F12" w:rsidRDefault="001C6219">
      <w:r>
        <w:t>El hecho de que el terreno adquirido esté edificado o no afecta a su admisibilidad.</w:t>
      </w:r>
    </w:p>
    <w:p w:rsidR="00F83F12" w:rsidRDefault="00F83F12"/>
    <w:p w:rsidR="00F83F12" w:rsidRDefault="00F83F12"/>
    <w:p w:rsidR="00F83F12" w:rsidRDefault="001C6219">
      <w:pPr>
        <w:pStyle w:val="Ttulo1"/>
      </w:pPr>
      <w:bookmarkStart w:id="39" w:name="scroll-bookmark-39"/>
      <w:bookmarkStart w:id="40" w:name="scroll-bookmark-40"/>
      <w:bookmarkEnd w:id="39"/>
      <w:r>
        <w:t>A00010 — Admisibilidad de actividades para impulsar el proceso de descubrimiento empresarial (PDE) en el marco del objetivo específico 1.4 del Reglamento del FEDER 2021-2027</w:t>
      </w:r>
      <w:bookmarkEnd w:id="40"/>
    </w:p>
    <w:p w:rsidR="00F83F12" w:rsidRDefault="001C6219">
      <w:r>
        <w:rPr>
          <w:noProof/>
          <w:lang w:val="es-ES"/>
        </w:rPr>
        <w:drawing>
          <wp:inline distT="0" distB="0" distL="0" distR="0" wp14:anchorId="5C32A53D" wp14:editId="1DF9F4FF">
            <wp:extent cx="152435" cy="152435"/>
            <wp:effectExtent l="0" t="0" r="0" b="0"/>
            <wp:docPr id="100075" name="Imagen 1000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pPr>
        <w:numPr>
          <w:ilvl w:val="0"/>
          <w:numId w:val="9"/>
        </w:numPr>
      </w:pPr>
      <w:r>
        <w:t>Artículo 3 (1), letra a), inciso iv), del Reglamento FEDER/FC</w:t>
      </w:r>
    </w:p>
    <w:p w:rsidR="00F83F12" w:rsidRDefault="001C6219">
      <w:pPr>
        <w:numPr>
          <w:ilvl w:val="0"/>
          <w:numId w:val="9"/>
        </w:numPr>
      </w:pPr>
      <w:r>
        <w:t>Artículo 3, apartado 4, letras a) y b), del Reglamento FEDER/FC</w:t>
      </w:r>
    </w:p>
    <w:p w:rsidR="00F83F12" w:rsidRDefault="001C6219">
      <w:r>
        <w:rPr>
          <w:noProof/>
          <w:lang w:val="es-ES"/>
        </w:rPr>
        <w:drawing>
          <wp:inline distT="0" distB="0" distL="0" distR="0" wp14:anchorId="19389A54" wp14:editId="2B854B21">
            <wp:extent cx="152435" cy="152435"/>
            <wp:effectExtent l="0" t="0" r="0" b="0"/>
            <wp:docPr id="100077" name="Imagen 1000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F83F12" w:rsidRDefault="00F83F12"/>
    <w:p w:rsidR="00F83F12" w:rsidRDefault="001C6219">
      <w:pPr>
        <w:pStyle w:val="P68B1DB1-Normal4"/>
      </w:pPr>
      <w:r>
        <w:t>Pregunta 1 (incluidos los hechos e información pertinentes):</w:t>
      </w:r>
    </w:p>
    <w:p w:rsidR="00F83F12" w:rsidRDefault="001C6219">
      <w:r>
        <w:t>Los procesos de descubrimiento empresarial (PDE) constituyen el núcleo de las estrategias de especialización inteligente. A través de estos procesos, las administraciones públicas, las empresas, las universidades, los agentes de la investigación y la innovación y la sociedad civil participan en la preparación de estrategias de especialización inteligente.</w:t>
      </w:r>
    </w:p>
    <w:p w:rsidR="00F83F12" w:rsidRDefault="001C6219">
      <w:r>
        <w:t>La administración pública tiene un papel clave que desempeñar como motor de la innovación y la transformación económica y social, a través de políticas destinadas a movilizar los conocimientos y capacidades de un territorio para generar nuevas respuestas a los retos sociales. A tal fin, es necesario establecer mecanismos del PDE, de modo que puedan definirse estrategias adecuadas de especialización inteligente como un primer paso y, a continuación, las herramientas y proyectos para desarrollarlas.</w:t>
      </w:r>
    </w:p>
    <w:p w:rsidR="00F83F12" w:rsidRDefault="001C6219">
      <w:r>
        <w:t>Por lo tanto, algunas regiones españolas proponen crear un programa específico en el marco del PDE, que articulará la participación de los cuatro agentes de la hélice en la identificación de retos y oportunidades, en la definición de prioridades y en el diseño, la aplicación y el seguimiento de los instrumentos y proyectos de investigación e innovación, contribuyendo a acelerar la transición hacia vías de desarrollo más sostenibles e inclusivas.</w:t>
      </w:r>
    </w:p>
    <w:p w:rsidR="00F83F12" w:rsidRDefault="001C6219">
      <w:r>
        <w:t xml:space="preserve">Las autoridades españolas consideran que este programa del PDE entraría dentro del objetivo específico del OP 1 iv) «desarrollar capacidades para la especialización </w:t>
      </w:r>
      <w:r>
        <w:lastRenderedPageBreak/>
        <w:t>inteligente, la transición industrial y el emprendimiento» [artículo 3, apartado 1, letra a), inciso iv), del Reglamento del FEDER — FC 2021-2027].</w:t>
      </w:r>
    </w:p>
    <w:p w:rsidR="00F83F12" w:rsidRDefault="001C6219">
      <w:r>
        <w:t>Los objetivos del programa PDE estarían estrechamente vinculados al cumplimiento de los requisitos de la condición de habilitación, que deben cumplirse a lo largo de todo el período.</w:t>
      </w:r>
    </w:p>
    <w:p w:rsidR="00F83F12" w:rsidRDefault="001C6219">
      <w:r>
        <w:t>Los objetivos generales del programa serían los siguientes:</w:t>
      </w:r>
    </w:p>
    <w:p w:rsidR="00F83F12" w:rsidRDefault="001C6219">
      <w:r>
        <w:t xml:space="preserve">• Capacitar a los agentes de la </w:t>
      </w:r>
      <w:r w:rsidR="00214B1C">
        <w:t>cuádruple</w:t>
      </w:r>
      <w:r>
        <w:t xml:space="preserve"> hélice para promover la especialización inteligente</w:t>
      </w:r>
    </w:p>
    <w:p w:rsidR="00F83F12" w:rsidRDefault="001C6219">
      <w:r>
        <w:t>• Proporcionar un proceso eficaz de descubrimiento empresarial con cuatro actores de la hélice.</w:t>
      </w:r>
    </w:p>
    <w:p w:rsidR="00F83F12" w:rsidRDefault="001C6219">
      <w:r>
        <w:t>Este programa crearía diversos grupos de trabajo/oficinas técnicas/laboratorios de innovación, relacionados con los ámbitos de especialización de las RIS3, para articular, revitalizar y coordinar el PDE con los cuatro agentes de la hélice. Las actividades de estos grupos de trabajo/oficinas técnicas/laboratorios de innovación incluirían:</w:t>
      </w:r>
    </w:p>
    <w:p w:rsidR="00F83F12" w:rsidRDefault="001C6219">
      <w:r>
        <w:t>• Creación de espacios y dinámicas para el diálogo y el trabajo colaborativo con agentes de la triple hélice para definir visiones, objetivos y estrategias comunes. </w:t>
      </w:r>
    </w:p>
    <w:p w:rsidR="00F83F12" w:rsidRDefault="001C6219">
      <w:r>
        <w:t>• Promover proyectos que puedan financiarse con fondos europeos que creen nuevas oportunidades de emprendimiento en los ámbitos de especialización.</w:t>
      </w:r>
    </w:p>
    <w:p w:rsidR="00F83F12" w:rsidRDefault="001C6219">
      <w:r>
        <w:t>El tipo de acciones que se financiarán se ajustaría a las definidas en el artículo 5, letra f), del Reglamento del FEDER y los gastos subvencionables serían:</w:t>
      </w:r>
    </w:p>
    <w:p w:rsidR="00F83F12" w:rsidRDefault="001C6219">
      <w:r>
        <w:t>• Gastos de personal (plantilla de personal y nuevas contrataciones)</w:t>
      </w:r>
    </w:p>
    <w:p w:rsidR="00F83F12" w:rsidRDefault="001C6219">
      <w:r>
        <w:t>• Gastos en equipos necesarios para el desempeño de las funciones (ordenadores u otros)</w:t>
      </w:r>
    </w:p>
    <w:p w:rsidR="00F83F12" w:rsidRDefault="001C6219">
      <w:r>
        <w:t>• Contratación de servicios para ejecutar las acciones previstas</w:t>
      </w:r>
    </w:p>
    <w:p w:rsidR="00F83F12" w:rsidRDefault="001C6219">
      <w:r>
        <w:t>• Viajes internacionales (solo billetes de avión o tren y hoteles)</w:t>
      </w:r>
    </w:p>
    <w:p w:rsidR="00F83F12" w:rsidRDefault="001C6219">
      <w:r>
        <w:t>• Costes indirectos</w:t>
      </w:r>
    </w:p>
    <w:p w:rsidR="00F83F12" w:rsidRDefault="00F83F12"/>
    <w:p w:rsidR="00F83F12" w:rsidRDefault="001C6219">
      <w:pPr>
        <w:pStyle w:val="P68B1DB1-Normal5"/>
      </w:pPr>
      <w:r>
        <w:t>¿Serían subvencionables las acciones incluidas en el programa PDE, tal como se ha explicado anteriormente, en el marco del objetivo específico 1.4 «Desarrollo de capacidades para la especialización inteligente, la transición industrial y el emprendimiento» [artículo 3, apartado 1, letra a), inciso iv), del Reglamento del FEDER — FC 2021-2027]?</w:t>
      </w:r>
    </w:p>
    <w:p w:rsidR="00F83F12" w:rsidRDefault="00F83F12"/>
    <w:p w:rsidR="00F83F12" w:rsidRDefault="001C6219">
      <w:pPr>
        <w:pStyle w:val="P68B1DB1-Normal4"/>
      </w:pPr>
      <w:r>
        <w:t>Respuesta.</w:t>
      </w:r>
    </w:p>
    <w:p w:rsidR="00F83F12" w:rsidRDefault="001C6219">
      <w:r>
        <w:t>Por lo que se refiere al programa PDE previsto, las actividades previstas podrían financiarse en el marco del objetivo político 1, objetivo específico 1.1 o del objetivo específico 1.4, en función del enfoque de las actividades.</w:t>
      </w:r>
    </w:p>
    <w:p w:rsidR="00F83F12" w:rsidRDefault="00F83F12"/>
    <w:p w:rsidR="00F83F12" w:rsidRDefault="00F83F12"/>
    <w:p w:rsidR="00F83F12" w:rsidRDefault="00F83F12"/>
    <w:p w:rsidR="00F83F12" w:rsidRDefault="001C6219">
      <w:pPr>
        <w:pStyle w:val="Ttulo1"/>
      </w:pPr>
      <w:bookmarkStart w:id="41" w:name="scroll-bookmark-41"/>
      <w:bookmarkStart w:id="42" w:name="scroll-bookmark-42"/>
      <w:bookmarkEnd w:id="41"/>
      <w:r>
        <w:t>QA00011 — Durabilidad de las vallas publicitarias y las placas</w:t>
      </w:r>
      <w:bookmarkEnd w:id="42"/>
    </w:p>
    <w:p w:rsidR="00F83F12" w:rsidRDefault="001C6219">
      <w:r>
        <w:rPr>
          <w:noProof/>
          <w:lang w:val="es-ES"/>
        </w:rPr>
        <w:drawing>
          <wp:inline distT="0" distB="0" distL="0" distR="0" wp14:anchorId="339FF6D3" wp14:editId="1ACCBB38">
            <wp:extent cx="152435" cy="152435"/>
            <wp:effectExtent l="0" t="0" r="0" b="0"/>
            <wp:docPr id="100079" name="Imagen 1000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apartado 1, letra c), del RDC</w:t>
      </w:r>
    </w:p>
    <w:p w:rsidR="00F83F12" w:rsidRDefault="001C6219">
      <w:r>
        <w:rPr>
          <w:noProof/>
          <w:lang w:val="es-ES"/>
        </w:rPr>
        <w:drawing>
          <wp:inline distT="0" distB="0" distL="0" distR="0" wp14:anchorId="3B372085" wp14:editId="4CE76B9A">
            <wp:extent cx="152435" cy="152435"/>
            <wp:effectExtent l="0" t="0" r="0" b="0"/>
            <wp:docPr id="100081" name="Imagen 1000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t>Pregunta 1 (incluidos los hechos e información pertinentes):</w:t>
      </w:r>
    </w:p>
    <w:p w:rsidR="00F83F12" w:rsidRDefault="001C6219">
      <w:r>
        <w:t xml:space="preserve">Proyectos con una contribución significativa de la UE (más de 500 000 EUR, e inversión/equipos físicos), el beneficiario debe crear una valla publicitaria duradera o una placa. </w:t>
      </w:r>
      <w:r>
        <w:rPr>
          <w:b/>
        </w:rPr>
        <w:t>¿Qué significa la durabilidad en términos de calendario?  </w:t>
      </w:r>
    </w:p>
    <w:p w:rsidR="00F83F12" w:rsidRDefault="00F83F12"/>
    <w:p w:rsidR="00F83F12" w:rsidRDefault="001C6219">
      <w:pPr>
        <w:pStyle w:val="P68B1DB1-Normal4"/>
      </w:pPr>
      <w:r>
        <w:t>Respuesta.</w:t>
      </w:r>
    </w:p>
    <w:p w:rsidR="00F83F12" w:rsidRDefault="001C6219">
      <w:r>
        <w:t>En este contexto particular, por «duradero» debe entenderse que existe y permanece durante el período de tiempo en que el objeto físico, la infraestructura o la construcción pertinentes existen físicamente. </w:t>
      </w:r>
    </w:p>
    <w:p w:rsidR="00F83F12" w:rsidRDefault="00F83F12"/>
    <w:p w:rsidR="00F83F12" w:rsidRDefault="00F83F12"/>
    <w:p w:rsidR="00F83F12" w:rsidRDefault="001C6219">
      <w:pPr>
        <w:pStyle w:val="Ttulo1"/>
      </w:pPr>
      <w:bookmarkStart w:id="43" w:name="scroll-bookmark-43"/>
      <w:bookmarkStart w:id="44" w:name="scroll-bookmark-44"/>
      <w:bookmarkEnd w:id="43"/>
      <w:r>
        <w:t>QA00013 — Campos de datos 103, 104 y 130, anexo XVII</w:t>
      </w:r>
      <w:bookmarkEnd w:id="44"/>
    </w:p>
    <w:p w:rsidR="00F83F12" w:rsidRDefault="001C6219">
      <w:r>
        <w:rPr>
          <w:noProof/>
          <w:lang w:val="es-ES"/>
        </w:rPr>
        <w:drawing>
          <wp:inline distT="0" distB="0" distL="0" distR="0" wp14:anchorId="6517D241" wp14:editId="5DE9E340">
            <wp:extent cx="152435" cy="152435"/>
            <wp:effectExtent l="0" t="0" r="0" b="0"/>
            <wp:docPr id="100083" name="Imagen 1000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98, apartado 6, del RDC</w:t>
      </w:r>
    </w:p>
    <w:p w:rsidR="00F83F12" w:rsidRDefault="001C6219">
      <w:r>
        <w:rPr>
          <w:noProof/>
          <w:lang w:val="es-ES"/>
        </w:rPr>
        <w:drawing>
          <wp:inline distT="0" distB="0" distL="0" distR="0" wp14:anchorId="70BFEDB5" wp14:editId="0E0F2255">
            <wp:extent cx="152435" cy="152435"/>
            <wp:effectExtent l="0" t="0" r="0" b="0"/>
            <wp:docPr id="100085" name="Imagen 1000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La adición «(importe corregido como resultado de una auditoría)» no deja claro si las auditorías de la autoridad de auditoría [artículo 127 del Reglamento (UE) n.º 1303/2013] deben tenerse en cuenta en este caso, por analogía con el período de financiación 2014-2020.</w:t>
      </w:r>
    </w:p>
    <w:p w:rsidR="00F83F12" w:rsidRDefault="001C6219">
      <w:pPr>
        <w:pStyle w:val="P68B1DB1-Normal7"/>
      </w:pPr>
      <w:r>
        <w:t>Campo de datos 103</w:t>
      </w:r>
    </w:p>
    <w:p w:rsidR="00F83F12" w:rsidRDefault="001C6219">
      <w:pPr>
        <w:numPr>
          <w:ilvl w:val="0"/>
          <w:numId w:val="10"/>
        </w:numPr>
      </w:pPr>
      <w:r>
        <w:t>¿Es correcto indicar en el campo de datos 103 la deducción en valor del motivo de deducción registrado en el campo de datos 102 de conformidad con el artículo 98, apartado 6, del Reglamento (CE) n.º 2021/1060?</w:t>
      </w:r>
    </w:p>
    <w:p w:rsidR="00F83F12" w:rsidRDefault="00F83F12"/>
    <w:p w:rsidR="00F83F12" w:rsidRDefault="001C6219">
      <w:pPr>
        <w:pStyle w:val="P68B1DB1-Normal7"/>
      </w:pPr>
      <w:r>
        <w:t>Campo de datos 104</w:t>
      </w:r>
    </w:p>
    <w:p w:rsidR="00F83F12" w:rsidRDefault="001C6219">
      <w:pPr>
        <w:numPr>
          <w:ilvl w:val="0"/>
          <w:numId w:val="11"/>
        </w:numPr>
      </w:pPr>
      <w:r>
        <w:lastRenderedPageBreak/>
        <w:t>¿Es correcto comunicar en el campo de datos 104 el importe público de la deducción del valor registrada en 103?</w:t>
      </w:r>
    </w:p>
    <w:p w:rsidR="00F83F12" w:rsidRDefault="001C6219">
      <w:pPr>
        <w:pStyle w:val="P68B1DB1-Normal7"/>
      </w:pPr>
      <w:r>
        <w:t>Campo de datos 130</w:t>
      </w:r>
    </w:p>
    <w:p w:rsidR="00F83F12" w:rsidRDefault="001C6219">
      <w:pPr>
        <w:numPr>
          <w:ilvl w:val="0"/>
          <w:numId w:val="12"/>
        </w:numPr>
      </w:pPr>
      <w:r>
        <w:t>¿Es correcto comunicar en el campo de datos 130 la suma de todas las deducciones de los campos de datos 103 de una operación que se dedujeron durante el ejercicio contable al que se refieren las cuentas?</w:t>
      </w:r>
    </w:p>
    <w:p w:rsidR="00F83F12" w:rsidRDefault="001C6219">
      <w:pPr>
        <w:pStyle w:val="P68B1DB1-Normal7"/>
      </w:pPr>
      <w:r>
        <w:t>Campos de datos 103, 104 y 130</w:t>
      </w:r>
    </w:p>
    <w:p w:rsidR="00F83F12" w:rsidRDefault="001C6219">
      <w:pPr>
        <w:numPr>
          <w:ilvl w:val="0"/>
          <w:numId w:val="13"/>
        </w:numPr>
      </w:pPr>
      <w:r>
        <w:t>¿Es correcto presentar el «importe corregido como resultado de una auditoría», por analogía con el período de financiación 2014-2020, únicamente en relación con las auditorías realizadas por la autoridad de auditoría con arreglo al artículo 77 o al artículo 79 del Reglamento (CE) n.º 2021/1060?</w:t>
      </w:r>
    </w:p>
    <w:p w:rsidR="00F83F12" w:rsidRDefault="00F83F12"/>
    <w:p w:rsidR="00F83F12" w:rsidRDefault="001C6219">
      <w:pPr>
        <w:pStyle w:val="P68B1DB1-Normal4"/>
      </w:pPr>
      <w:r>
        <w:t>Respuesta.</w:t>
      </w:r>
    </w:p>
    <w:p w:rsidR="00F83F12" w:rsidRDefault="001C6219">
      <w:r>
        <w:t>En el campo de datos 103 del anexo XVII del RDC, el Estado miembro debe indicar el importe del gasto total subvencionable deducido de las cuentas para cada deducción efectuada de conformidad con el artículo 98, apartado 6, del RDC y presentada en el campo de datos 102, mientras que en el campo de datos 104 el Estado miembro debe comunicar el importe de la contribución pública correspondiente a la deducción presentada en el campo de datos 103. Los importes deducidos directamente de las cuentas de conformidad con el artículo 98, apartado 6, del RDC (que se comentan en la conciliación del gasto en las cuentas de conformidad con el apéndice 4 de la plantilla para las cuentas que figura en el anexo XXIV del RDC) deben indicarse en el campo de datos 130. El importe total de las deducciones correspondientes a una operación indicada en el campo de datos 130 debe ser la suma de todas las deducciones de una operación presentadas en el campo de datos 103.</w:t>
      </w:r>
    </w:p>
    <w:p w:rsidR="00F83F12" w:rsidRDefault="00F83F12"/>
    <w:p w:rsidR="00F83F12" w:rsidRDefault="001C6219">
      <w:r>
        <w:t>Cabe señalar que los importes de los campos de datos 102, 103, 104 y 130 del anexo XVII del RDC se refieren a deducciones de las cuentas, es decir, a importes deducidos directamente de las cuentas, y no se incluyen en las retiradas de las solicitudes de pago durante el ejercicio contable (que se presentan en el campo de datos 128 del anexo XVII del RDC y en el apéndice 2 de la plantilla para las cuentas que figura en el anexo XXIV del RDC).</w:t>
      </w:r>
    </w:p>
    <w:p w:rsidR="00F83F12" w:rsidRDefault="00F83F12"/>
    <w:p w:rsidR="00F83F12" w:rsidRDefault="001C6219">
      <w:r>
        <w:t>Los importes corregidos como resultado de la auditoría se refieren a correcciones resultantes de todo el trabajo de auditoría de la autoridad de auditoría.</w:t>
      </w:r>
    </w:p>
    <w:p w:rsidR="00F83F12" w:rsidRDefault="00F83F12"/>
    <w:p w:rsidR="00F83F12" w:rsidRDefault="00F83F12"/>
    <w:p w:rsidR="00F83F12" w:rsidRDefault="001C6219">
      <w:pPr>
        <w:pStyle w:val="Ttulo1"/>
      </w:pPr>
      <w:bookmarkStart w:id="45" w:name="scroll-bookmark-45"/>
      <w:bookmarkStart w:id="46" w:name="scroll-bookmark-46"/>
      <w:bookmarkEnd w:id="45"/>
      <w:r>
        <w:t>QA00014 — Campo de datos 95 (anexo XVII)</w:t>
      </w:r>
      <w:bookmarkEnd w:id="46"/>
    </w:p>
    <w:p w:rsidR="00F83F12" w:rsidRDefault="001C6219">
      <w:r>
        <w:rPr>
          <w:noProof/>
          <w:lang w:val="es-ES"/>
        </w:rPr>
        <w:drawing>
          <wp:inline distT="0" distB="0" distL="0" distR="0" wp14:anchorId="75A4C7CE" wp14:editId="4D921B21">
            <wp:extent cx="152435" cy="152435"/>
            <wp:effectExtent l="0" t="0" r="0" b="0"/>
            <wp:docPr id="100087" name="Imagen 1000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F83F12" w:rsidRDefault="001C6219">
      <w:r>
        <w:rPr>
          <w:noProof/>
          <w:lang w:val="es-ES"/>
        </w:rPr>
        <w:lastRenderedPageBreak/>
        <w:drawing>
          <wp:inline distT="0" distB="0" distL="0" distR="0" wp14:anchorId="79278D0A" wp14:editId="7D5AA07B">
            <wp:extent cx="152435" cy="152435"/>
            <wp:effectExtent l="0" t="0" r="0" b="0"/>
            <wp:docPr id="100089" name="Imagen 1000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 Entendemos la norma de que este campo es el registro de los gastos subvencionables para importes a tanto alzado (por ejemplo, tipos fijos sobre gastos directos o a tanto alzado).</w:t>
      </w:r>
    </w:p>
    <w:p w:rsidR="00F83F12" w:rsidRDefault="001C6219">
      <w:r>
        <w:t>A tal fin, se recogerá la siguiente información:</w:t>
      </w:r>
    </w:p>
    <w:p w:rsidR="00F83F12" w:rsidRDefault="001C6219">
      <w:r>
        <w:t>(1) El importe del gasto subvencionable declarado a la Comisión; y</w:t>
      </w:r>
    </w:p>
    <w:p w:rsidR="00F83F12" w:rsidRDefault="001C6219">
      <w:r>
        <w:t>(2) Indicación de la financiación a tanto alzado en los documentos que establecen las condiciones de la ayuda.</w:t>
      </w:r>
    </w:p>
    <w:p w:rsidR="00F83F12" w:rsidRDefault="00F83F12"/>
    <w:p w:rsidR="00F83F12" w:rsidRDefault="001C6219">
      <w:pPr>
        <w:numPr>
          <w:ilvl w:val="0"/>
          <w:numId w:val="14"/>
        </w:numPr>
      </w:pPr>
      <w:r>
        <w:t xml:space="preserve">¿Qué debe registrarse? el importe del gasto subvencionable declarado a la Comisión incluye el importe total de los gastos subvencionables, incluida la financiación a tipo fijo, </w:t>
      </w:r>
      <w:r>
        <w:rPr>
          <w:u w:val="single"/>
        </w:rPr>
        <w:t xml:space="preserve">o </w:t>
      </w:r>
      <w:r>
        <w:t xml:space="preserve">el importe al que se refiere la financiación a tipo fijo </w:t>
      </w:r>
      <w:r>
        <w:rPr>
          <w:u w:val="single"/>
        </w:rPr>
        <w:t>o</w:t>
      </w:r>
      <w:r>
        <w:t xml:space="preserve"> solo la parte de la cantidad a tanto alzado declarada en una solicitud de pago por el beneficiario?</w:t>
      </w:r>
    </w:p>
    <w:p w:rsidR="00F83F12" w:rsidRDefault="001C6219">
      <w:pPr>
        <w:numPr>
          <w:ilvl w:val="0"/>
          <w:numId w:val="14"/>
        </w:numPr>
      </w:pPr>
      <w:r>
        <w:t>¿Qué unidad tiene la cantidad a tanto alzado, «%» o «EUR»? En otras palabras, ¿es necesaria la proporción/porcentaje a tanto alzado o el importe resultante?</w:t>
      </w:r>
    </w:p>
    <w:p w:rsidR="00F83F12" w:rsidRDefault="00F83F12"/>
    <w:p w:rsidR="00F83F12" w:rsidRDefault="001C6219">
      <w:r>
        <w:t>Ejemplo:</w:t>
      </w:r>
    </w:p>
    <w:p w:rsidR="00F83F12" w:rsidRDefault="001C6219">
      <w:r>
        <w:t>La financiación a tanto alzado se concede de conformidad con el artículo 56 del Reglamento (CE) n.º 2021/1060 (40 % de los costes residuales). Los gastos directos de personal ascienden a 100 000 EUR. El beneficiario contabilizará 50 000 EUR de la autoridad de gestión.</w:t>
      </w:r>
    </w:p>
    <w:p w:rsidR="00F83F12" w:rsidRDefault="001C6219">
      <w:r>
        <w:t> ¿Cómo se realizaría la grabación?</w:t>
      </w:r>
    </w:p>
    <w:p w:rsidR="00F83F12" w:rsidRDefault="00F83F12"/>
    <w:p w:rsidR="00F83F12" w:rsidRDefault="001C6219">
      <w:r>
        <w:t>(1) 50 000 EUR más 40 % = 70 000 EUR o 50 000 EUR o 40 % de 50 000 EUR = 20 000 EUR</w:t>
      </w:r>
    </w:p>
    <w:p w:rsidR="00F83F12" w:rsidRDefault="001C6219">
      <w:r>
        <w:t>(2) 40 % o 40 000 EUR</w:t>
      </w:r>
    </w:p>
    <w:p w:rsidR="00F83F12" w:rsidRDefault="00F83F12"/>
    <w:p w:rsidR="00F83F12" w:rsidRDefault="001C6219">
      <w:pPr>
        <w:pStyle w:val="P68B1DB1-Normal4"/>
      </w:pPr>
      <w:r>
        <w:t>Respuesta.</w:t>
      </w:r>
    </w:p>
    <w:p w:rsidR="00F83F12" w:rsidRDefault="001C6219">
      <w:r>
        <w:t xml:space="preserve">El campo de datos 95 del anexo XVII del Reglamento (UE) n.º 1060/2021 se refiere a los «datos sobre el gasto en la solicitud de pago del beneficiario — solo para los importes a tanto alzado». Se requiere el registro de: a) el importe declarado a la Comisión, que corresponde a los costes calculados sobre la base aplicable, y b) el propio tipo fijo (es decir, el porcentaje (%)). El gasto subvencionable al que se aplica el tipo fijo (la base que se utilizará para calcular el importe de las OCS) no debe consignarse en este campo: en función de la forma de subvención proporcionada al beneficiario, se registrará en el campo correspondiente. Por ejemplo, si la base corresponde a los gastos </w:t>
      </w:r>
      <w:r>
        <w:lastRenderedPageBreak/>
        <w:t>subvencionables contraídos por el beneficiario y pagados (es decir, los costes reales), se registrará en el campo 79.</w:t>
      </w:r>
    </w:p>
    <w:p w:rsidR="00F83F12" w:rsidRDefault="001C6219">
      <w:r>
        <w:t> Sobre la base de lo anterior y teniendo en cuenta el ejemplo específico, lo que debe registrarse en el campo 95 es el importe de 20,000 EUR y el porcentaje a tanto alzado del 40 %.</w:t>
      </w:r>
    </w:p>
    <w:p w:rsidR="00F83F12" w:rsidRDefault="00F83F12"/>
    <w:p w:rsidR="00F83F12" w:rsidRDefault="00F83F12"/>
    <w:p w:rsidR="00F83F12" w:rsidRDefault="001C6219">
      <w:pPr>
        <w:pStyle w:val="Ttulo1"/>
      </w:pPr>
      <w:bookmarkStart w:id="47" w:name="scroll-bookmark-47"/>
      <w:bookmarkStart w:id="48" w:name="scroll-bookmark-48"/>
      <w:bookmarkEnd w:id="47"/>
      <w:r>
        <w:t>QA00015 — Requisitos de publicidad con arreglo al artículo 50, apartado 1, letra c), en el contexto de los instrumentos financieros</w:t>
      </w:r>
      <w:bookmarkEnd w:id="48"/>
    </w:p>
    <w:p w:rsidR="00F83F12" w:rsidRDefault="001C6219">
      <w:r>
        <w:rPr>
          <w:noProof/>
          <w:lang w:val="es-ES"/>
        </w:rPr>
        <w:drawing>
          <wp:inline distT="0" distB="0" distL="0" distR="0" wp14:anchorId="18CB8599" wp14:editId="52D0FC3F">
            <wp:extent cx="152435" cy="152435"/>
            <wp:effectExtent l="0" t="0" r="0" b="0"/>
            <wp:docPr id="100091" name="Imagen 1000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apartado 1, letra c), y artículo 50, apartado 2, párrafo segundo, del RDC</w:t>
      </w:r>
    </w:p>
    <w:p w:rsidR="00F83F12" w:rsidRDefault="001C6219">
      <w:r>
        <w:rPr>
          <w:noProof/>
          <w:lang w:val="es-ES"/>
        </w:rPr>
        <w:drawing>
          <wp:inline distT="0" distB="0" distL="0" distR="0" wp14:anchorId="3669E989" wp14:editId="1830EEC9">
            <wp:extent cx="152435" cy="152435"/>
            <wp:effectExtent l="0" t="0" r="0" b="0"/>
            <wp:docPr id="100093" name="Imagen 1000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t>Pregunta 1 (incluidos los hechos e información pertinentes):</w:t>
      </w:r>
    </w:p>
    <w:p w:rsidR="00F83F12" w:rsidRDefault="001C6219">
      <w:r>
        <w:t>¿Es aplicable el requisito de publicidad establecido en el artículo 50, apartado 1, letra c), a todos los tipos de instrumentos financieros, incluidos los que financian el capital circulante?</w:t>
      </w:r>
    </w:p>
    <w:p w:rsidR="00F83F12" w:rsidRDefault="001C6219">
      <w:pPr>
        <w:pStyle w:val="P68B1DB1-Normal4"/>
      </w:pPr>
      <w:r>
        <w:t>Respuesta.</w:t>
      </w:r>
    </w:p>
    <w:p w:rsidR="00F83F12" w:rsidRDefault="001C6219">
      <w:r>
        <w:t>El artículo 50, apartado 2, párrafo segundo, del Reglamento (UE</w:t>
      </w:r>
      <w:hyperlink r:id="rId423" w:anchor="_ftn1" w:history="1">
        <w:r>
          <w:rPr>
            <w:rStyle w:val="Hipervnculo"/>
          </w:rPr>
          <w:t>) 2021/1060 [</w:t>
        </w:r>
      </w:hyperlink>
      <w:r>
        <w:t xml:space="preserve"> 1] («RDC»)</w:t>
      </w:r>
      <w:r>
        <w:rPr>
          <w:i/>
        </w:rPr>
        <w:t xml:space="preserve">especifica que «en el caso de los instrumentos financieros, el beneficiario garantizará mediante cláusulas contractuales que los perceptores finales cumplan los requisitos establecidos en el apartado 1, </w:t>
      </w:r>
      <w:r w:rsidR="00214B1C">
        <w:rPr>
          <w:i/>
        </w:rPr>
        <w:t>letra c</w:t>
      </w:r>
      <w:r>
        <w:t>)». Esto significa que, en el contexto de un instrumento financiero, el umbral del artículo 50, apartado 1, letra c), se refiere a la inversión a nivel del destinatario final. Por lo tanto, cuando las operaciones reciban apoyo del FEDER y del Fondo de Cohesión, los beneficiarios finales deben mostrar placas o vallas publicitarias duraderas claramente visibles para el público cuando el coste total de la inversión supere los 500 000 EUR</w:t>
      </w:r>
      <w:hyperlink r:id="rId424" w:anchor="_ftn2" w:history="1">
        <w:r>
          <w:rPr>
            <w:rStyle w:val="Hipervnculo"/>
          </w:rPr>
          <w:t>[2] tan pronto</w:t>
        </w:r>
      </w:hyperlink>
      <w:r>
        <w:t xml:space="preserve"> como se inicie la inversión física o se instalen equipos adquiridos. En los instrumentos de garantía, el requisito debe respetarse al nivel de la inversión subyacente. Cabe señalar que el umbral de 500 000 EUR no se refiere únicamente a una partida o partidas de gasto relacionadas con la inversión física/compra de equipos, sino que cubre el coste total de una inversión a nivel del beneficiario final, como se explica a continuación en la respuesta a la pregunta 3.</w:t>
      </w:r>
    </w:p>
    <w:p w:rsidR="00F83F12" w:rsidRDefault="001C6219">
      <w:r>
        <w:t xml:space="preserve">Las disposiciones mencionadas establecen explícitamente que el requisito relativo a la exhibición de placas o vallas publicitarias duraderas se refiere únicamente a las </w:t>
      </w:r>
      <w:r>
        <w:rPr>
          <w:i/>
        </w:rPr>
        <w:t xml:space="preserve">inversiones físicas </w:t>
      </w:r>
      <w:r>
        <w:t>y a su</w:t>
      </w:r>
      <w:r>
        <w:rPr>
          <w:i/>
        </w:rPr>
        <w:t xml:space="preserve"> aplicación física </w:t>
      </w:r>
      <w:r>
        <w:t xml:space="preserve">e </w:t>
      </w:r>
      <w:r>
        <w:rPr>
          <w:i/>
        </w:rPr>
        <w:t xml:space="preserve">instalación de equipos adquiridos. A </w:t>
      </w:r>
      <w:r w:rsidR="00214B1C">
        <w:rPr>
          <w:i/>
        </w:rPr>
        <w:t>este</w:t>
      </w:r>
      <w:r w:rsidR="00214B1C">
        <w:t xml:space="preserve"> respecto</w:t>
      </w:r>
      <w:r>
        <w:t xml:space="preserve">, el apoyo al capital circulante queda fuera del ámbito de aplicación de esta disposición, </w:t>
      </w:r>
      <w:r w:rsidR="002F3719">
        <w:t xml:space="preserve">ya que, </w:t>
      </w:r>
      <w:r>
        <w:t xml:space="preserve">tiene por objeto reforzar las actividades generales de un beneficiario </w:t>
      </w:r>
      <w:r>
        <w:lastRenderedPageBreak/>
        <w:t>final (por ejemplo, una empresa) sin inducir ninguna inversión física definida ni adquisición de equipos que se consideren activos materiales.</w:t>
      </w:r>
    </w:p>
    <w:p w:rsidR="00F83F12" w:rsidRDefault="001C6219">
      <w:r>
        <w:t> Del mismo modo, las disposiciones del presente artículo no se aplicarán si la ayuda se concede para la adquisición de activos intangibles</w:t>
      </w:r>
      <w:hyperlink r:id="rId425" w:anchor="_ftn3" w:history="1">
        <w:r>
          <w:rPr>
            <w:rStyle w:val="Hipervnculo"/>
          </w:rPr>
          <w:t>[3]</w:t>
        </w:r>
      </w:hyperlink>
      <w:r>
        <w:t xml:space="preserve"> debido a la falta de sustancia física de dichos activos.</w:t>
      </w:r>
    </w:p>
    <w:p w:rsidR="00F83F12" w:rsidRDefault="001C6219">
      <w:r>
        <w:t> En general, se recomienda que los perceptores finales reconozcan la contribución de los fondos de la UE aplicando las directrices operativas generales para los perceptores de financiación de la UE</w:t>
      </w:r>
      <w:hyperlink r:id="rId426" w:anchor="_ftn4" w:history="1">
        <w:r>
          <w:rPr>
            <w:rStyle w:val="Hipervnculo"/>
          </w:rPr>
          <w:t>[4]</w:t>
        </w:r>
      </w:hyperlink>
      <w:r>
        <w:t>, es decir, utilizando las herramientas de visibilidad estándar facilitadas por la Comisión.</w:t>
      </w:r>
    </w:p>
    <w:p w:rsidR="00F83F12" w:rsidRDefault="00F83F12"/>
    <w:p w:rsidR="00F83F12" w:rsidRDefault="001C6219">
      <w:pPr>
        <w:pStyle w:val="P68B1DB1-Normal4"/>
      </w:pPr>
      <w:r>
        <w:t>Pregunta 2 (incluidos los hechos e información pertinentes):</w:t>
      </w:r>
    </w:p>
    <w:p w:rsidR="00F83F12" w:rsidRDefault="001C6219">
      <w:r>
        <w:t>¿Es aplicable esta interpretación también a las inversiones en capital, como la aportación de capital de crecimiento a las empresas emergentes?</w:t>
      </w:r>
    </w:p>
    <w:p w:rsidR="00F83F12" w:rsidRDefault="001C6219">
      <w:pPr>
        <w:pStyle w:val="P68B1DB1-Normal4"/>
      </w:pPr>
      <w:r>
        <w:t>Respuesta.</w:t>
      </w:r>
    </w:p>
    <w:p w:rsidR="00F83F12" w:rsidRDefault="001C6219">
      <w:r>
        <w:t>En el contexto de los instrumentos financieros que proporcionan inversiones de capital, las normas y la interpretación que se explican a continuación se aplican en función de cómo se utilice el capital aportado a la empresa para la combinación de sus necesidades. En el momento de realizar una inversión de capital puede no estar claro cuánto del capital aportado se utilizará para una combinación de diversos tipos de activos. No obstante, el contrato de inversión con el destinatario final debe incluir las obligaciones previstas en el artículo 50, apartado 1, letra c), del RDC que deben respetarse, en caso de que el coste total de una inversión supere los 500 000 EUR e implique la inversión física o la instalación de equipos adquiridos. </w:t>
      </w:r>
    </w:p>
    <w:p w:rsidR="00F83F12" w:rsidRDefault="001C6219">
      <w:pPr>
        <w:pStyle w:val="P68B1DB1-Normal4"/>
      </w:pPr>
      <w:r>
        <w:t>Pregunta 3 (incluidos los hechos e información pertinentes):</w:t>
      </w:r>
    </w:p>
    <w:p w:rsidR="00F83F12" w:rsidRDefault="001C6219">
      <w:r>
        <w:t>¿Qué se entiende por «coste total de funcionamiento» en el contexto de los instrumentos financieros?</w:t>
      </w:r>
    </w:p>
    <w:p w:rsidR="00F83F12" w:rsidRDefault="001C6219">
      <w:pPr>
        <w:pStyle w:val="P68B1DB1-Normal4"/>
      </w:pPr>
      <w:r>
        <w:t>Respuesta.</w:t>
      </w:r>
    </w:p>
    <w:p w:rsidR="00F83F12" w:rsidRDefault="001C6219">
      <w:r>
        <w:t xml:space="preserve">El artículo 50, apartado 2, </w:t>
      </w:r>
      <w:r w:rsidR="00214B1C">
        <w:t>establece</w:t>
      </w:r>
      <w:r w:rsidR="00214B1C">
        <w:rPr>
          <w:i/>
        </w:rPr>
        <w:t xml:space="preserve"> que</w:t>
      </w:r>
      <w:r>
        <w:rPr>
          <w:i/>
        </w:rPr>
        <w:t xml:space="preserve"> «los destinatarios finales cumplen los requisitos establecidos en el apartado 1, </w:t>
      </w:r>
      <w:r w:rsidR="00214B1C">
        <w:rPr>
          <w:i/>
        </w:rPr>
        <w:t>letra c</w:t>
      </w:r>
      <w:r>
        <w:t xml:space="preserve">)», tal como se establece en sus cláusulas contractuales. Esto aclara que el coste total debe tenerse en cuenta al nivel de la </w:t>
      </w:r>
      <w:r>
        <w:rPr>
          <w:i/>
        </w:rPr>
        <w:t>inversión</w:t>
      </w:r>
      <w:r>
        <w:t xml:space="preserve"> de los perceptores finales que reciben ayuda. Por lo tanto, la disposición del artículo 50, apartado 1, letra c), del RDC debe considerarse en relación con el coste total de la inversión, tal como se establece en las condiciones contractuales respectivas.</w:t>
      </w:r>
    </w:p>
    <w:p w:rsidR="00F83F12" w:rsidRDefault="001C6219">
      <w:r>
        <w:t>En el caso de las garantías, el importe de los recursos del programa reservados en contratos de garantía para los préstamos desembolsados subyacentes o las inversiones de (cuasi) capital no es pertinente para el cálculo del coste total de la inversión a nivel del beneficiario final.</w:t>
      </w:r>
    </w:p>
    <w:p w:rsidR="00F83F12" w:rsidRDefault="00F83F12"/>
    <w:p w:rsidR="00F83F12" w:rsidRDefault="001C6219">
      <w:pPr>
        <w:pStyle w:val="P68B1DB1-Normal4"/>
      </w:pPr>
      <w:r>
        <w:t>Pregunta 4 (incluidos los hechos e información pertinentes):</w:t>
      </w:r>
    </w:p>
    <w:p w:rsidR="00F83F12" w:rsidRDefault="001C6219">
      <w:r>
        <w:t>¿Está influido de algún modo el cálculo del coste total de la operación si el instrumento financiero se combina con una subvención en una o dos operaciones? </w:t>
      </w:r>
    </w:p>
    <w:p w:rsidR="00F83F12" w:rsidRDefault="001C6219">
      <w:pPr>
        <w:pStyle w:val="P68B1DB1-Normal4"/>
      </w:pPr>
      <w:r>
        <w:lastRenderedPageBreak/>
        <w:t>Respuesta.</w:t>
      </w:r>
    </w:p>
    <w:p w:rsidR="00F83F12" w:rsidRDefault="001C6219">
      <w:r>
        <w:t>No, la combinación con la subvención no tiene influencia alguna. Como se ha explicado anteriormente en el contexto de FI, las disposiciones del artículo 50, apartado 1, letra c), y del artículo 50, apartado 2, párrafo segundo, se aplican al coste total de la inversión, independientemente de cómo se financie. </w:t>
      </w:r>
    </w:p>
    <w:p w:rsidR="00F83F12" w:rsidRDefault="00F83F12"/>
    <w:p w:rsidR="00F83F12" w:rsidRDefault="001C6219">
      <w:pPr>
        <w:pStyle w:val="P68B1DB1-Normal4"/>
      </w:pPr>
      <w:r>
        <w:t>Pregunta 5 (incluidos los hechos e información pertinentes):</w:t>
      </w:r>
    </w:p>
    <w:p w:rsidR="00F83F12" w:rsidRDefault="001C6219">
      <w:r>
        <w:t>¿Qué apartados del artículo 50 son aplicables a los instrumentos financieros?   </w:t>
      </w:r>
    </w:p>
    <w:p w:rsidR="00F83F12" w:rsidRDefault="001C6219">
      <w:pPr>
        <w:pStyle w:val="P68B1DB1-Normal4"/>
      </w:pPr>
      <w:r>
        <w:t>Respuesta.</w:t>
      </w:r>
    </w:p>
    <w:p w:rsidR="00F83F12" w:rsidRDefault="001C6219">
      <w:r>
        <w:t>El artículo 50, apartado 1, letra a), y letra b), el artículo 50, apartado 1, letra d), primera frase, y el artículo 50, apartado 3, se aplican a los beneficiarios y organismos que ejecutan instrumentos financieros, tal como se definen, respectivamente, en el artículo 2, apartado 9, letra e), y en el artículo 2, apartado 22, del Reglamento.</w:t>
      </w:r>
    </w:p>
    <w:p w:rsidR="00F83F12" w:rsidRDefault="001C6219">
      <w:r>
        <w:t xml:space="preserve">El artículo 50, apartado 1, letra c), debe leerse en relación con el artículo 50, apartado 2, y es aplicable a los destinatarios finales en consonancia con las aclaraciones anteriores. El artículo 50, apartado 2, párrafo segundo, establece que los beneficiarios de instrumentos financieros deben garantizar, mediante cláusulas contractuales, </w:t>
      </w:r>
      <w:r w:rsidR="00214B1C">
        <w:t xml:space="preserve">por ejemplo, </w:t>
      </w:r>
      <w:r>
        <w:t>en los acuerdos de préstamo firmados con los destinatarios finales, que estos cumplan los requisitos del artículo 50, apartado 1, letra c). En caso de incumplimiento de sus obligaciones, las condiciones contractuales a este respecto se aplican a los destinatarios finales.</w:t>
      </w:r>
    </w:p>
    <w:p w:rsidR="00F83F12" w:rsidRDefault="001C6219">
      <w:r>
        <w:t xml:space="preserve">La segunda frase del artículo 50, apartado 1, letra d), no se aplica a los beneficiarios de instrumentos financieros, </w:t>
      </w:r>
      <w:r w:rsidR="002F3719">
        <w:t xml:space="preserve">ya que, </w:t>
      </w:r>
      <w:r>
        <w:t>este punto solo se aplica a las personas físicas.</w:t>
      </w:r>
    </w:p>
    <w:p w:rsidR="00F83F12" w:rsidRDefault="001C6219">
      <w:r>
        <w:t>El artículo 50, apartado 1, letra e), se aplica a los beneficiarios y organismos que ejecutan instrumentos financieros en caso de:</w:t>
      </w:r>
    </w:p>
    <w:p w:rsidR="00F83F12" w:rsidRDefault="001C6219">
      <w:r>
        <w:t>— cuando la operación de IF esté incluida en la lista de operaciones de importancia estratégica; y</w:t>
      </w:r>
    </w:p>
    <w:p w:rsidR="00F83F12" w:rsidRDefault="001C6219">
      <w:r>
        <w:t>— operaciones cuyo coste total supere los 10 000 000 EUR.</w:t>
      </w:r>
    </w:p>
    <w:p w:rsidR="00F83F12" w:rsidRDefault="001C6219">
      <w:r>
        <w:rPr>
          <w:noProof/>
          <w:lang w:val="es-E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82895" cy="0"/>
                <wp:effectExtent l="13335" t="6985" r="13970" b="1206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8F4B"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" strokecolor="gray"/>
            </w:pict>
          </mc:Fallback>
        </mc:AlternateContent>
      </w:r>
      <w:hyperlink r:id="rId427" w:anchor="_ftnref1" w:history="1">
        <w:r>
          <w:rPr>
            <w:rStyle w:val="Hipervnculo"/>
          </w:rPr>
          <w:t>[1]</w:t>
        </w:r>
      </w:hyperlink>
      <w:r>
        <w:t xml:space="preserve"> Reglamento (UE) 2021/1060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w:t>
      </w:r>
    </w:p>
    <w:p w:rsidR="00F83F12" w:rsidRDefault="00FC0FB1">
      <w:hyperlink r:id="rId428" w:anchor="_ftnref2" w:history="1">
        <w:r w:rsidR="001C6219">
          <w:rPr>
            <w:rStyle w:val="Hipervnculo"/>
          </w:rPr>
          <w:t>[2]</w:t>
        </w:r>
      </w:hyperlink>
      <w:r w:rsidR="001C6219">
        <w:t xml:space="preserve"> Téngase en cuenta que el umbral es de 100 000 EUR para el FSE +, el FTJ, el FEMPA, el MAIF, el FSI y el IGFV, de conformidad con el artículo 50, apartado 1, letra c), inciso ii).</w:t>
      </w:r>
    </w:p>
    <w:p w:rsidR="00F83F12" w:rsidRDefault="00FC0FB1">
      <w:hyperlink r:id="rId429" w:anchor="_ftnref3" w:history="1">
        <w:r w:rsidR="001C6219">
          <w:rPr>
            <w:rStyle w:val="Hipervnculo"/>
          </w:rPr>
          <w:t>[3]</w:t>
        </w:r>
      </w:hyperlink>
      <w:r w:rsidR="001C6219">
        <w:t xml:space="preserve"> Activo intangible: un activo no monetario identificable </w:t>
      </w:r>
      <w:r w:rsidR="001C6219">
        <w:rPr>
          <w:b/>
        </w:rPr>
        <w:t>sin sustancia física</w:t>
      </w:r>
      <w:r w:rsidR="001C6219">
        <w:t>. Un activo es un recurso controlado por la entidad como resultado de sucesos pasados (por ejemplo, compra o autocreación) y del que se esperan beneficios económicos futuros (entradas de efectivo u otros activos) (Norma Internacional de Contabilidad, NIC 38).</w:t>
      </w:r>
    </w:p>
    <w:p w:rsidR="00F83F12" w:rsidRDefault="00FC0FB1">
      <w:hyperlink r:id="rId430" w:anchor="_ftnref4" w:history="1">
        <w:r w:rsidR="001C6219">
          <w:rPr>
            <w:rStyle w:val="Hipervnculo"/>
          </w:rPr>
          <w:t>[4]</w:t>
        </w:r>
      </w:hyperlink>
      <w:r w:rsidR="001C6219">
        <w:t xml:space="preserve"> </w:t>
      </w:r>
      <w:hyperlink r:id="rId431" w:history="1">
        <w:r w:rsidR="001C6219">
          <w:rPr>
            <w:rStyle w:val="Hipervnculo"/>
          </w:rPr>
          <w:t>EL USO DEL EMBLEMA EUROPEO EN EL CONTEXTO DE LOS PROGRAMAS DE LA UE 2021-2027. Directrices operativas para los beneficiarios de la financiación de la UE.</w:t>
        </w:r>
      </w:hyperlink>
    </w:p>
    <w:p w:rsidR="00F83F12" w:rsidRDefault="00F83F12"/>
    <w:p w:rsidR="00F83F12" w:rsidRDefault="00F83F12"/>
    <w:p w:rsidR="00F83F12" w:rsidRDefault="001C6219">
      <w:pPr>
        <w:pStyle w:val="Ttulo1"/>
      </w:pPr>
      <w:bookmarkStart w:id="49" w:name="scroll-bookmark-49"/>
      <w:bookmarkStart w:id="50" w:name="scroll-bookmark-50"/>
      <w:bookmarkEnd w:id="49"/>
      <w:r>
        <w:t>QA00016 — Operaciones de infraestructura en el sector del turismo y la cultura: «reforzar el papel de la cultura y el turismo en el desarrollo económico, la inclusión social y la innovación social» y «dimensiones de campo de intervención».</w:t>
      </w:r>
      <w:bookmarkEnd w:id="50"/>
    </w:p>
    <w:p w:rsidR="00F83F12" w:rsidRDefault="001C6219">
      <w:r>
        <w:rPr>
          <w:noProof/>
          <w:lang w:val="es-ES"/>
        </w:rPr>
        <w:drawing>
          <wp:inline distT="0" distB="0" distL="0" distR="0" wp14:anchorId="28454979" wp14:editId="05206022">
            <wp:extent cx="152435" cy="152435"/>
            <wp:effectExtent l="0" t="0" r="0" b="0"/>
            <wp:docPr id="100096" name="Imagen 10009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 del Reglamento FEDER/FC, anexo I del RDC</w:t>
      </w:r>
    </w:p>
    <w:p w:rsidR="00F83F12" w:rsidRDefault="00F83F12"/>
    <w:p w:rsidR="00F83F12" w:rsidRDefault="001C6219">
      <w:r>
        <w:rPr>
          <w:noProof/>
          <w:lang w:val="es-ES"/>
        </w:rPr>
        <w:drawing>
          <wp:inline distT="0" distB="0" distL="0" distR="0" wp14:anchorId="46149C2B" wp14:editId="1FB7F0B8">
            <wp:extent cx="152435" cy="152435"/>
            <wp:effectExtent l="0" t="0" r="0" b="0"/>
            <wp:docPr id="100098" name="Imagen 10009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¿Puede confirmar que, en ausencia de «códigos de dimensión de campo de intervención» específicos, las operaciones de inversión en infraestructuras culturales y turísticas pueden recibir apoyo en el marco del objetivo político 4 o incluir tales inversiones en uno o varios de los demás objetivos políticos y qué condiciones deben cumplirse?</w:t>
      </w:r>
    </w:p>
    <w:p w:rsidR="00F83F12" w:rsidRDefault="00F83F12"/>
    <w:p w:rsidR="00F83F12" w:rsidRDefault="001C6219">
      <w:pPr>
        <w:pStyle w:val="P68B1DB1-Normal4"/>
      </w:pPr>
      <w:r>
        <w:t>Respuesta.</w:t>
      </w:r>
    </w:p>
    <w:p w:rsidR="00F83F12" w:rsidRDefault="001C6219">
      <w:r>
        <w:t>No obstante, las inversiones en estos sectores pueden llevarse a cabo a través de los códigos de intervención existentes que figuran en el anexo I del RDC en el marco del OP 5, de 165 a 167. Estos códigos no se limitan únicamente a la OP5, sino que podrían utilizarse también en el marco de cualquier otro objetivo político, por lo que no es necesario un nuevo código de intervención relacionado con la cultura y las infraestructuras turísticas en el anexo 1 del RDC.</w:t>
      </w:r>
    </w:p>
    <w:p w:rsidR="00F83F12" w:rsidRDefault="00F83F12"/>
    <w:p w:rsidR="00F83F12" w:rsidRDefault="00F83F12"/>
    <w:p w:rsidR="00F83F12" w:rsidRDefault="00F83F12"/>
    <w:p w:rsidR="00F83F12" w:rsidRDefault="001C6219">
      <w:pPr>
        <w:pStyle w:val="Ttulo1"/>
      </w:pPr>
      <w:bookmarkStart w:id="51" w:name="scroll-bookmark-51"/>
      <w:bookmarkStart w:id="52" w:name="scroll-bookmark-52"/>
      <w:bookmarkEnd w:id="51"/>
      <w:r>
        <w:t>QA00019 — ¿Pueden las pymes como beneficiarias de apoyo al turismo y la cultura en el marco del OP 5?</w:t>
      </w:r>
      <w:bookmarkEnd w:id="52"/>
    </w:p>
    <w:p w:rsidR="00F83F12" w:rsidRDefault="001C6219">
      <w:r>
        <w:rPr>
          <w:noProof/>
          <w:lang w:val="es-ES"/>
        </w:rPr>
        <w:drawing>
          <wp:inline distT="0" distB="0" distL="0" distR="0" wp14:anchorId="6E9A872D" wp14:editId="3940BC5D">
            <wp:extent cx="152435" cy="152435"/>
            <wp:effectExtent l="0" t="0" r="0" b="0"/>
            <wp:docPr id="100100" name="Imagen 10010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F83F12" w:rsidRDefault="001C6219">
      <w:r>
        <w:rPr>
          <w:noProof/>
          <w:lang w:val="es-ES"/>
        </w:rPr>
        <w:lastRenderedPageBreak/>
        <w:drawing>
          <wp:inline distT="0" distB="0" distL="0" distR="0" wp14:anchorId="03870EBC" wp14:editId="6F4CF8B1">
            <wp:extent cx="152435" cy="152435"/>
            <wp:effectExtent l="0" t="0" r="0" b="0"/>
            <wp:docPr id="100102" name="Imagen 10010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F83F12"/>
    <w:p w:rsidR="00F83F12" w:rsidRDefault="001C6219">
      <w:pPr>
        <w:pStyle w:val="P68B1DB1-Normal4"/>
      </w:pPr>
      <w:r>
        <w:br/>
        <w:t>Pregunta 1 (incluidos los hechos e información pertinentes):</w:t>
      </w:r>
    </w:p>
    <w:p w:rsidR="00F83F12" w:rsidRDefault="001C6219">
      <w:pPr>
        <w:pStyle w:val="P68B1DB1-Normal4"/>
      </w:pPr>
      <w:r>
        <w:t>¿Es posible apoyar intervenciones en el sector del turismo y la cultura en el marco del OP 5 (ámbitos de intervención 165-167) en las que las pymes sean beneficiarias, por sí solas o en asociación con beneficiarios públicos?</w:t>
      </w:r>
    </w:p>
    <w:p w:rsidR="00F83F12" w:rsidRDefault="001C6219">
      <w:r>
        <w:t> El turismo y el turismo ecológico son un gran motor para el desarrollo local, mientras que los sitios del patrimonio cultural y natural son activos que pueden ayudar a atraer turistas e impulsar las economías locales. </w:t>
      </w:r>
    </w:p>
    <w:p w:rsidR="00F83F12" w:rsidRDefault="001C6219">
      <w:r>
        <w:t>Dado que las inversiones en el marco del OP 5 deben formar parte de una estrategia territorial integrada, desarrollada por la autoridad pública local en colaboración con agentes privados, consideramos que la aceptación de las pymes como beneficiarias, por sí solas o en asociación con beneficiarios públicos, contribuirá de manera más eficaz a la explotación sostenible de los recursos turísticos y obtendrá mejores resultados sobre el terreno.</w:t>
      </w:r>
    </w:p>
    <w:p w:rsidR="00F83F12" w:rsidRDefault="001C6219">
      <w:r>
        <w:t>Por lo tanto, debemos saber si las pymes podrían ser beneficiarias elegibles en el marco del OP 5 (si contribuyen a la consecución de los objetivos de estas estrategias).</w:t>
      </w:r>
    </w:p>
    <w:p w:rsidR="00F83F12" w:rsidRDefault="001C6219">
      <w:pPr>
        <w:pStyle w:val="P68B1DB1-Normal4"/>
      </w:pPr>
      <w:r>
        <w:t>Respuesta.</w:t>
      </w:r>
    </w:p>
    <w:p w:rsidR="00F83F12" w:rsidRDefault="001C6219">
      <w:r>
        <w:t> Las pymes pueden ser los beneficiarios en el marco del OP 5 siempre que las operaciones a partir de las cuales reciban ayuda se ejecuten con arreglo a cualquiera de las herramientas territoriales propuestas en el artículo 28 del RDC y seleccionadas como contribuyentes a las estrategias territoriales de conformidad con el artículo 29 del RDC.</w:t>
      </w:r>
    </w:p>
    <w:p w:rsidR="00F83F12" w:rsidRDefault="001C6219">
      <w:r>
        <w:t>No existe ninguna norma que prohíba a las pymes ser beneficiarias en el marco del OP 5.</w:t>
      </w:r>
    </w:p>
    <w:p w:rsidR="00F83F12" w:rsidRDefault="00F83F12"/>
    <w:p w:rsidR="00F83F12" w:rsidRDefault="00F83F12"/>
    <w:p w:rsidR="00F83F12" w:rsidRDefault="001C6219">
      <w:pPr>
        <w:pStyle w:val="Ttulo1"/>
      </w:pPr>
      <w:bookmarkStart w:id="53" w:name="scroll-bookmark-53"/>
      <w:bookmarkStart w:id="54" w:name="scroll-bookmark-54"/>
      <w:bookmarkEnd w:id="53"/>
      <w:r>
        <w:t>QA00023 — Inversiones en unidades de investigación de grandes empresas</w:t>
      </w:r>
      <w:bookmarkEnd w:id="54"/>
    </w:p>
    <w:p w:rsidR="00F83F12" w:rsidRDefault="001C6219">
      <w:r>
        <w:rPr>
          <w:noProof/>
          <w:lang w:val="es-ES"/>
        </w:rPr>
        <w:drawing>
          <wp:inline distT="0" distB="0" distL="0" distR="0" wp14:anchorId="76ED998E" wp14:editId="1428D526">
            <wp:extent cx="152435" cy="152435"/>
            <wp:effectExtent l="0" t="0" r="0" b="0"/>
            <wp:docPr id="100104" name="Imagen 10010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3 y 5 del Reglamento FEDER/FC</w:t>
      </w:r>
    </w:p>
    <w:p w:rsidR="00F83F12" w:rsidRDefault="001C6219">
      <w:r>
        <w:rPr>
          <w:noProof/>
          <w:lang w:val="es-ES"/>
        </w:rPr>
        <w:drawing>
          <wp:inline distT="0" distB="0" distL="0" distR="0" wp14:anchorId="7D85D051" wp14:editId="1195B880">
            <wp:extent cx="152435" cy="152435"/>
            <wp:effectExtent l="0" t="0" r="0" b="0"/>
            <wp:docPr id="100106" name="Imagen 10010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1C6219">
      <w:pPr>
        <w:pStyle w:val="P68B1DB1-Normal4"/>
      </w:pPr>
      <w:r>
        <w:t>Pregunta 1 (incluidos los hechos e información pertinentes):</w:t>
      </w:r>
    </w:p>
    <w:p w:rsidR="00F83F12" w:rsidRDefault="001C6219">
      <w:r>
        <w:t>¿Las unidades de investigación de las grandes empresas pueden optar a financiación a través del OP 1 — SO (i)?</w:t>
      </w:r>
    </w:p>
    <w:p w:rsidR="00F83F12" w:rsidRDefault="001C6219">
      <w:pPr>
        <w:pStyle w:val="P68B1DB1-Normal4"/>
      </w:pPr>
      <w:r>
        <w:t>Respuesta.</w:t>
      </w:r>
    </w:p>
    <w:p w:rsidR="00F83F12" w:rsidRDefault="001C6219">
      <w:r>
        <w:t xml:space="preserve">En el marco de la política de cohesión 2021-2027, debe darse prioridad al fomento de la investigación privada y a la colaboración entre el sector público y el privado. La </w:t>
      </w:r>
      <w:r>
        <w:lastRenderedPageBreak/>
        <w:t>financiación general y la asistencia técnica deben utilizarse para recompensar la innovación y apoyar a los beneficiarios en la preparación de proyectos maduros e integrados, promoviendo, cuando sea posible, la cooperación intersectorial a lo largo de toda la cadena de valor.</w:t>
      </w:r>
    </w:p>
    <w:p w:rsidR="00F83F12" w:rsidRDefault="001C6219">
      <w:r>
        <w:t>A este respecto, la investigación básica (TRL1-3) no debe ser una prioridad para la inversión del FEDER, excepto cuando responda a una necesidad identificada en una estrategia de especialización inteligente a través del proceso de descubrimiento de empresas, en particular en relación con las necesidades empresariales y sociales impulsadas por la demanda.</w:t>
      </w:r>
    </w:p>
    <w:p w:rsidR="00F83F12" w:rsidRDefault="001C6219">
      <w:r>
        <w:t>Además, para concentrar el uso de recursos limitados de la manera más eficiente, cuando se trate de financiar inversiones productivas, las medidas deben limitarse únicamente a las pymes. Sin embargo, el apoyo a la inversión productiva en grandes empresas puede apoyarse en el OE i) del OP 1 cuando las inversiones impliquen la cooperación con pymes en actividades de investigación e innovación (artículo 5, apartado 2, del Reglamento FEDER/FC).</w:t>
      </w:r>
    </w:p>
    <w:p w:rsidR="00F83F12" w:rsidRDefault="001C6219">
      <w:r>
        <w:t>Por último, se recuerda que todas las inversiones en el marco de este objetivo específico deben estar en consonancia con la estrategia de especialización inteligente.</w:t>
      </w:r>
    </w:p>
    <w:p w:rsidR="00F83F12" w:rsidRDefault="00F83F12"/>
    <w:p w:rsidR="00F83F12" w:rsidRDefault="00F83F12"/>
    <w:p w:rsidR="00F83F12" w:rsidRDefault="001C6219">
      <w:pPr>
        <w:pStyle w:val="Ttulo1"/>
      </w:pPr>
      <w:bookmarkStart w:id="55" w:name="scroll-bookmark-55"/>
      <w:bookmarkStart w:id="56" w:name="scroll-bookmark-56"/>
      <w:bookmarkEnd w:id="55"/>
      <w:r>
        <w:t>QA00025 — Combinar objetivos específicos en una prioridad</w:t>
      </w:r>
      <w:bookmarkEnd w:id="56"/>
    </w:p>
    <w:p w:rsidR="00F83F12" w:rsidRDefault="001C6219">
      <w:r>
        <w:rPr>
          <w:noProof/>
          <w:lang w:val="es-ES"/>
        </w:rPr>
        <w:drawing>
          <wp:inline distT="0" distB="0" distL="0" distR="0" wp14:anchorId="37D3D0C1" wp14:editId="53FC562D">
            <wp:extent cx="152435" cy="152435"/>
            <wp:effectExtent l="0" t="0" r="0" b="0"/>
            <wp:docPr id="100108" name="Imagen 10010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22 del RDC</w:t>
      </w:r>
    </w:p>
    <w:p w:rsidR="00F83F12" w:rsidRDefault="001C6219">
      <w:r>
        <w:rPr>
          <w:noProof/>
          <w:lang w:val="es-ES"/>
        </w:rPr>
        <w:drawing>
          <wp:inline distT="0" distB="0" distL="0" distR="0" wp14:anchorId="1282E2ED" wp14:editId="42486B20">
            <wp:extent cx="152435" cy="152435"/>
            <wp:effectExtent l="0" t="0" r="0" b="0"/>
            <wp:docPr id="100110" name="Imagen 10011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F83F12" w:rsidRDefault="00F83F12"/>
    <w:p w:rsidR="00F83F12" w:rsidRDefault="001C6219">
      <w:pPr>
        <w:pStyle w:val="P68B1DB1-Normal4"/>
      </w:pPr>
      <w:r>
        <w:br/>
        <w:t>Pregunta 1 (incluidos los hechos e información pertinentes):</w:t>
      </w:r>
    </w:p>
    <w:p w:rsidR="00F83F12" w:rsidRDefault="001C6219">
      <w:r>
        <w:t>¿Pueden combinarse o fusionarse dos o más objetivos específicos en una prioridad? Por ejemplo, ¿puede combinarse el objetivo específico 2.2 (energía sostenible) con el objetivo específico 2.3 (sistemas energéticos inteligentes)?</w:t>
      </w:r>
    </w:p>
    <w:p w:rsidR="00F83F12" w:rsidRDefault="001C6219">
      <w:r>
        <w:rPr>
          <w:u w:val="single"/>
        </w:rPr>
        <w:t>Contexto</w:t>
      </w:r>
      <w:r>
        <w:t>: Anticipándose a una asignación obligatoria al OP 2, las autoridades de gestión de los Países Bajos están estudiando el posible contenido de esta prioridad. En consonancia con el anexo D (2019), la programación se ha centrado en el OP 1 hasta ahora. El proyecto de Reglamento del FEDER para el período 2021-2027 prevé una serie de objetivos específicos en el marco del OP 2. La autoridad de gestión desea evitar la multiplicación de objetivos específicos en una prioridad del OP 2 y, por lo tanto, desea saber si pueden combinarse objetivos específicos conexos. </w:t>
      </w:r>
    </w:p>
    <w:p w:rsidR="00F83F12" w:rsidRDefault="00F83F12"/>
    <w:p w:rsidR="00F83F12" w:rsidRDefault="001C6219">
      <w:pPr>
        <w:pStyle w:val="P68B1DB1-Normal4"/>
      </w:pPr>
      <w:r>
        <w:t>Respuesta.</w:t>
      </w:r>
    </w:p>
    <w:p w:rsidR="00F83F12" w:rsidRDefault="001C6219">
      <w:r>
        <w:lastRenderedPageBreak/>
        <w:t>De conformidad con el artículo 22 del RDC, una prioridad correspondiente a un objetivo político consistirá en uno o varios objetivos específicos. Además, cada prioridad corresponderá a un único objetivo político.</w:t>
      </w:r>
    </w:p>
    <w:p w:rsidR="00F83F12" w:rsidRDefault="001C6219">
      <w:r>
        <w:t>En otras palabras, la autoridad de gestión puede tener, en un programa, una prioridad consistente en uno o varios objetivos específicos, siempre que estos objetivos específicos pertenezcan al mismo objetivo político. Sin embargo, los diferentes objetivos específicos no pueden fusionarse en un único objetivo específico.</w:t>
      </w:r>
    </w:p>
    <w:p w:rsidR="00F83F12" w:rsidRDefault="00F83F12"/>
    <w:p w:rsidR="00F83F12" w:rsidRDefault="00F83F12"/>
    <w:p w:rsidR="00F83F12" w:rsidRDefault="00F83F12"/>
    <w:p w:rsidR="00F83F12" w:rsidRDefault="00F83F12"/>
    <w:p w:rsidR="00F83F12" w:rsidRDefault="001C6219">
      <w:pPr>
        <w:pStyle w:val="Ttulo1"/>
      </w:pPr>
      <w:bookmarkStart w:id="57" w:name="scroll-bookmark-57"/>
      <w:bookmarkStart w:id="58" w:name="scroll-bookmark-58"/>
      <w:bookmarkEnd w:id="57"/>
      <w:r>
        <w:t>QA00027 — Campo de datos 69 Anexo XVII</w:t>
      </w:r>
      <w:bookmarkEnd w:id="58"/>
    </w:p>
    <w:p w:rsidR="00F83F12" w:rsidRDefault="001C6219">
      <w:r>
        <w:rPr>
          <w:noProof/>
          <w:lang w:val="es-ES"/>
        </w:rPr>
        <w:drawing>
          <wp:inline distT="0" distB="0" distL="0" distR="0" wp14:anchorId="6F4279F9" wp14:editId="644E2D02">
            <wp:extent cx="152435" cy="152435"/>
            <wp:effectExtent l="0" t="0" r="0" b="0"/>
            <wp:docPr id="100112" name="Imagen 10011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F83F12" w:rsidRDefault="001C6219">
      <w:r>
        <w:rPr>
          <w:noProof/>
          <w:lang w:val="es-ES"/>
        </w:rPr>
        <w:drawing>
          <wp:inline distT="0" distB="0" distL="0" distR="0" wp14:anchorId="262180C4" wp14:editId="6E55AD47">
            <wp:extent cx="152435" cy="152435"/>
            <wp:effectExtent l="0" t="0" r="0" b="0"/>
            <wp:docPr id="100114" name="Imagen 10011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t>Preguntas (incluidos los hechos y la información pertinentes):</w:t>
      </w:r>
    </w:p>
    <w:p w:rsidR="00F83F12" w:rsidRDefault="001C6219">
      <w:r>
        <w:t>En la letra c) no está claro en qué medida debe indicarse aquí la totalidad o solo una parte de la ayuda proporcionada por los Fondos y en qué medida el término «recibido» se refiere a los importes concedidos o pagados.</w:t>
      </w:r>
    </w:p>
    <w:p w:rsidR="00F83F12" w:rsidRDefault="00F83F12"/>
    <w:p w:rsidR="00F83F12" w:rsidRDefault="001C6219">
      <w:pPr>
        <w:numPr>
          <w:ilvl w:val="0"/>
          <w:numId w:val="15"/>
        </w:numPr>
      </w:pPr>
      <w:r>
        <w:t>¿Es correcto que en la letra c) deba suponerse la ayuda total del instrumento financiero al perceptor final, incluida, en su caso, la cofinanciación nacional (por ejemplo, el importe nominal del préstamo o el importe del capital)?</w:t>
      </w:r>
      <w:r>
        <w:br/>
      </w:r>
    </w:p>
    <w:p w:rsidR="00F83F12" w:rsidRDefault="001C6219">
      <w:pPr>
        <w:numPr>
          <w:ilvl w:val="0"/>
          <w:numId w:val="15"/>
        </w:numPr>
      </w:pPr>
      <w:r>
        <w:t>¿Es correcto que el término «recibido» se refiera al importe concedido, pero no al importe efectivamente pagado?</w:t>
      </w:r>
      <w:r>
        <w:br/>
      </w:r>
    </w:p>
    <w:p w:rsidR="00F83F12" w:rsidRDefault="001C6219">
      <w:pPr>
        <w:numPr>
          <w:ilvl w:val="0"/>
          <w:numId w:val="15"/>
        </w:numPr>
      </w:pPr>
      <w:r>
        <w:t>¿Es necesario ajustar los importes en caso de cambio en relación con el perceptor final (por ejemplo, cancelación parcial del importe del préstamo)?</w:t>
      </w:r>
      <w:r>
        <w:br/>
      </w:r>
    </w:p>
    <w:p w:rsidR="00F83F12" w:rsidRDefault="001C6219">
      <w:pPr>
        <w:numPr>
          <w:ilvl w:val="0"/>
          <w:numId w:val="15"/>
        </w:numPr>
      </w:pPr>
      <w:r>
        <w:t>¿Cómo se determina el importe de la ayuda si una combinación con una subvención [artículo 58, apartado 5, del Reglamento (CE) n.º 2021/1060] adopta la forma, por ejemplo, de un descuento o subvención de reembolso de un préstamo?</w:t>
      </w:r>
    </w:p>
    <w:p w:rsidR="00F83F12" w:rsidRDefault="001C6219">
      <w:r>
        <w:t>a) el importe corresponde al importe original del principal del préstamo; o</w:t>
      </w:r>
    </w:p>
    <w:p w:rsidR="00F83F12" w:rsidRDefault="001C6219">
      <w:r>
        <w:t>b) el importe es igual a la suma del principal del préstamo y del descuento de reembolso; o</w:t>
      </w:r>
    </w:p>
    <w:p w:rsidR="00F83F12" w:rsidRDefault="001C6219">
      <w:r>
        <w:lastRenderedPageBreak/>
        <w:t>C) Importe igual a la diferencia entre el importe principal del préstamo y el descuento de reembolso (capital restante del préstamo)».</w:t>
      </w:r>
    </w:p>
    <w:p w:rsidR="00F83F12" w:rsidRDefault="00F83F12"/>
    <w:p w:rsidR="00F83F12" w:rsidRDefault="001C6219">
      <w:pPr>
        <w:pStyle w:val="P68B1DB1-Normal4"/>
      </w:pPr>
      <w:r>
        <w:t>Respuesta.</w:t>
      </w:r>
    </w:p>
    <w:p w:rsidR="00F83F12" w:rsidRDefault="001C6219">
      <w:r>
        <w:t>(1) Los beneficiarios finales podrán recibir ayuda de los instrumentos financieros en forma de préstamos, préstamos garantizados y capital y, cuando proceda, en combinación de ayuda al programa en forma de subvenciones en una única operación de instrumento financiero. El importe de la ayuda está vinculado a la ayuda proporcionada por los recursos del programa. En el caso de préstamos o inversiones en capital, el importe de la ayuda es el importe de los recursos del programa (ayuda de los Fondos y cofinanciación nacional) efectivamente pagado a un beneficiario final. En el caso de las garantías, el importe de la ayuda es, por ejemplo, el importe del préstamo pagado al beneficiario final garantizado por los recursos del programa.</w:t>
      </w:r>
    </w:p>
    <w:p w:rsidR="00F83F12" w:rsidRDefault="00F83F12"/>
    <w:p w:rsidR="00F83F12" w:rsidRDefault="001C6219">
      <w:r>
        <w:t>(2) El importe del préstamo (garantizado) efectivamente pagado al perceptor final o de una inversión de capital realizada en el capital del perceptor final es el «importe de la ayuda recibida» por el perceptor final. Cuando los instrumentos financieros se combinen con un componente de subvención en una única operación de instrumento financiero de conformidad con el artículo 58, apartado 5, del Reglamento (UE) 2021/1060, la subvención pagada al perceptor final o en beneficio de este constituirá también el «importe de la ayuda recibida» por el perceptor final.</w:t>
      </w:r>
    </w:p>
    <w:p w:rsidR="00F83F12" w:rsidRDefault="00F83F12"/>
    <w:p w:rsidR="00F83F12" w:rsidRDefault="001C6219">
      <w:r>
        <w:t>(3) Si se produce un cambio en el plan empresarial y el préstamo inicialmente pagado al beneficiario final se cancela parcialmente, es decir, la inversión para la que se solicita el préstamo necesita un importe tomado en préstamo inferior, el importe indicado debe ser únicamente el importe de la ayuda que recibe el beneficiario final.</w:t>
      </w:r>
    </w:p>
    <w:p w:rsidR="00F83F12" w:rsidRDefault="00F83F12"/>
    <w:p w:rsidR="00F83F12" w:rsidRDefault="001C6219">
      <w:r>
        <w:t>(4) En el caso de un descuento de capital, el importe de la ayuda recibida de FI debe registrarse inicialmente como un préstamo para inversión de, por ejemplo, 100. Una vez que se active la cláusula de descuento de capital del contrato de préstamo y una parte del préstamo se transforme en subvención, el importe de los registros electrónicos deberá ajustarse presentando el importe del préstamo restante (por ejemplo, 80) y la subvención (por ejemplo, 20).</w:t>
      </w:r>
    </w:p>
    <w:p w:rsidR="00F83F12" w:rsidRDefault="001C6219">
      <w:r>
        <w:t>En el caso de una combinación de un préstamo y una subvención de capital para la inversión de 100, el importe del préstamo y la subvención abonada al beneficiario final o en beneficio de este se conocen desde el principio; por lo tanto, debe registrarse como préstamo (por ejemplo, 80) y como subvención de capital (por ejemplo, 20).  </w:t>
      </w:r>
    </w:p>
    <w:p w:rsidR="00F83F12" w:rsidRDefault="00F83F12"/>
    <w:p w:rsidR="00F83F12" w:rsidRDefault="00F83F12"/>
    <w:p w:rsidR="00F83F12" w:rsidRDefault="001C6219">
      <w:pPr>
        <w:pStyle w:val="Ttulo1"/>
      </w:pPr>
      <w:bookmarkStart w:id="59" w:name="scroll-bookmark-59"/>
      <w:bookmarkStart w:id="60" w:name="scroll-bookmark-60"/>
      <w:bookmarkEnd w:id="59"/>
      <w:r>
        <w:lastRenderedPageBreak/>
        <w:t>QA00028 — ¿La inclusión de una lista de proyectos en una estrategia territorial cumple el requisito de garantizar la influencia de las autoridades municipales o locales en la selección de proyectos?</w:t>
      </w:r>
      <w:bookmarkEnd w:id="60"/>
    </w:p>
    <w:p w:rsidR="00F83F12" w:rsidRDefault="001C6219">
      <w:r>
        <w:rPr>
          <w:noProof/>
          <w:lang w:val="es-ES"/>
        </w:rPr>
        <w:drawing>
          <wp:inline distT="0" distB="0" distL="0" distR="0" wp14:anchorId="67E560F8" wp14:editId="65C604C0">
            <wp:extent cx="152435" cy="152435"/>
            <wp:effectExtent l="0" t="0" r="0" b="0"/>
            <wp:docPr id="100116" name="Imagen 10011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29 del RDC </w:t>
      </w:r>
    </w:p>
    <w:p w:rsidR="00F83F12" w:rsidRDefault="001C6219">
      <w:r>
        <w:rPr>
          <w:noProof/>
          <w:lang w:val="es-ES"/>
        </w:rPr>
        <w:drawing>
          <wp:inline distT="0" distB="0" distL="0" distR="0" wp14:anchorId="78B120D9" wp14:editId="3E4622A3">
            <wp:extent cx="152435" cy="152435"/>
            <wp:effectExtent l="0" t="0" r="0" b="0"/>
            <wp:docPr id="100118" name="Imagen 10011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El Ministerio de Inversión y Desarrollo Económico polaco ha preguntado si la inclusión de una lista de proyectos en una estrategia territorial cumplirá el requisito de garantizar la influencia de las autoridades municipales o locales en la selección de proyectos.</w:t>
      </w:r>
    </w:p>
    <w:p w:rsidR="00F83F12" w:rsidRDefault="001C6219">
      <w:r>
        <w:t>Los proyectos señalados en la estrategia se seleccionarán de manera no competitiva. Así pues, al adoptar la estrategia junto con la lista de proyectos, se garantizará a las autoridades municipales el derecho exclusivo a presentar proyectos en el marco del programa operativo, mientras que la AG solo evaluará si se cumplen los criterios formales y sustantivos.</w:t>
      </w:r>
    </w:p>
    <w:p w:rsidR="00F83F12" w:rsidRDefault="001C6219">
      <w:r>
        <w:t>El modo de competencia solo debe aplicarse en determinadas situaciones, como una asignación limitada en relación con el número de áreas funcionales interesadas en obtener apoyo en un ámbito temático determinado. El concurso organizado por la AG en ámbitos temáticos pertinentes para los instrumentos territoriales se limitará a los proyectos que cumplan las estrategias territoriales, mientras que la AG evaluará los proyectos en términos de criterios formales y sustantivos y seleccionará los mejores.</w:t>
      </w:r>
    </w:p>
    <w:p w:rsidR="00F83F12" w:rsidRDefault="001C6219">
      <w:r>
        <w:t>En ambas opciones, se garantiza la participación de las autoridades municipales en la selección de proyectos.</w:t>
      </w:r>
    </w:p>
    <w:p w:rsidR="00F83F12" w:rsidRDefault="00F83F12"/>
    <w:p w:rsidR="00F83F12" w:rsidRDefault="001C6219">
      <w:pPr>
        <w:pStyle w:val="P68B1DB1-Normal4"/>
      </w:pPr>
      <w:r>
        <w:t>Respuesta.</w:t>
      </w:r>
    </w:p>
    <w:p w:rsidR="00F83F12" w:rsidRDefault="001C6219">
      <w:r>
        <w:t> El artículo 29 del RDC incluye requisitos de contenido para la estrategia territorial, así como las funciones y responsabilidades de las autoridades u organismos territoriales pertinentes para las estrategias y en la selección de las operaciones.</w:t>
      </w:r>
    </w:p>
    <w:p w:rsidR="00F83F12" w:rsidRDefault="001C6219">
      <w:r>
        <w:t>Las estrategias territoriales son responsabilidad de las autoridades u organismos territoriales pertinentes, de conformidad con el artículo 29, apartado 2, del RDC. Cuando la lista de operaciones que vayan a recibir ayuda se incluya en las estrategias territoriales, debe significar que estas autoridades u organismos ya han participado en la selección o han sido seleccionados ellos mismos. Así pues, podría considerarse garantizada la participación de estas autoridades u organismos en la selección de dichas operaciones.</w:t>
      </w:r>
    </w:p>
    <w:p w:rsidR="00F83F12" w:rsidRDefault="001C6219">
      <w:r>
        <w:t xml:space="preserve">Además, deben cumplirse las normas y criterios generales relacionados con la ejecución de los fondos, especialmente los relacionados con la selección de operaciones del </w:t>
      </w:r>
      <w:r>
        <w:lastRenderedPageBreak/>
        <w:t>artículo 73 del RDC (incluidas la transparencia y la no discriminación) para modos competitivos y no competitivos.</w:t>
      </w:r>
    </w:p>
    <w:p w:rsidR="00F83F12" w:rsidRDefault="00F83F12"/>
    <w:p w:rsidR="00F83F12" w:rsidRDefault="00F83F12"/>
    <w:p w:rsidR="00F83F12" w:rsidRDefault="001C6219">
      <w:pPr>
        <w:pStyle w:val="Ttulo1"/>
      </w:pPr>
      <w:bookmarkStart w:id="61" w:name="scroll-bookmark-61"/>
      <w:bookmarkStart w:id="62" w:name="scroll-bookmark-62"/>
      <w:bookmarkEnd w:id="61"/>
      <w:r>
        <w:t>QA00029 — Planes de desarrollo regional 2021-2027 y Estrategias de Desarrollo de Condados como estrategias suficientes para enmarcar las inversiones territoriales en el marco del objetivo político 5</w:t>
      </w:r>
      <w:bookmarkEnd w:id="62"/>
    </w:p>
    <w:p w:rsidR="00F83F12" w:rsidRDefault="001C6219">
      <w:r>
        <w:rPr>
          <w:noProof/>
          <w:lang w:val="es-ES"/>
        </w:rPr>
        <w:drawing>
          <wp:inline distT="0" distB="0" distL="0" distR="0" wp14:anchorId="23ABA028" wp14:editId="0A2BE950">
            <wp:extent cx="152435" cy="152435"/>
            <wp:effectExtent l="0" t="0" r="0" b="0"/>
            <wp:docPr id="100120" name="Imagen 10012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29 del RDC</w:t>
      </w:r>
    </w:p>
    <w:p w:rsidR="00F83F12" w:rsidRDefault="001C6219">
      <w:r>
        <w:rPr>
          <w:noProof/>
          <w:lang w:val="es-ES"/>
        </w:rPr>
        <w:drawing>
          <wp:inline distT="0" distB="0" distL="0" distR="0" wp14:anchorId="51A2602D" wp14:editId="5D508E70">
            <wp:extent cx="152435" cy="152435"/>
            <wp:effectExtent l="0" t="0" r="0" b="0"/>
            <wp:docPr id="100122" name="Imagen 10012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F83F12"/>
    <w:p w:rsidR="00F83F12" w:rsidRDefault="001C6219">
      <w:pPr>
        <w:pStyle w:val="P68B1DB1-Normal4"/>
      </w:pPr>
      <w:r>
        <w:t>Pregunta (incluidos los hechos y la información pertinentes):</w:t>
      </w:r>
    </w:p>
    <w:p w:rsidR="00F83F12" w:rsidRDefault="001C6219">
      <w:r>
        <w:t>¿Basta con que los objetivos turísticos o patrimoniales incluyan el objeto de inversión en una estrategia regional, nacional o sectorial o es necesaria una estrategia integrada a nivel local? En este contexto, el Plan de Desarrollo Regional 2021-2027 (PDR) o la Estrategia de Desarrollo del Condado pueden considerarse estrategias en función de las cuales pueden financiarse inversiones para el enfoque territorial integrado (por ejemplo, turismo y cultura en el marco del OP 5), cumpliendo así las condiciones estipuladas en el artículo 29 del Reglamento RDC?</w:t>
      </w:r>
    </w:p>
    <w:p w:rsidR="00F83F12" w:rsidRDefault="00F83F12"/>
    <w:p w:rsidR="00F83F12" w:rsidRDefault="001C6219">
      <w:r>
        <w:t>En nuestra opinión, cada PDR respeta todas las condiciones exigidas por las estrategias territoriales del artículo 29 y podría considerarse un documento de apoyo para la ejecución de las intervenciones financiadas en el marco del OP 5:</w:t>
      </w:r>
    </w:p>
    <w:p w:rsidR="00F83F12" w:rsidRDefault="001C6219">
      <w:r>
        <w:t>— La zona geográfica cubierta por la estrategia está representada por toda la región, que se presenta en la primera parte de cada PDR y abarca la descripción de la región (ubicación geográfica, marco natural, principales recursos naturales, descripción de los condados y de las localidades de la región, etc.).</w:t>
      </w:r>
    </w:p>
    <w:p w:rsidR="00F83F12" w:rsidRDefault="001C6219">
      <w:r>
        <w:t>— El análisis de las necesidades de desarrollo y el potencial de la zona se lleva a cabo en los análisis socioeconómicos y DAFO regionales.</w:t>
      </w:r>
    </w:p>
    <w:p w:rsidR="00F83F12" w:rsidRDefault="001C6219">
      <w:r>
        <w:t>— La descripción de un enfoque integrado para abordar las necesidades de desarrollo identificadas y el potencial se presenta en el capítulo dedicado a la estrategia regional y la estimación de las necesidades de financiación.</w:t>
      </w:r>
    </w:p>
    <w:p w:rsidR="00F83F12" w:rsidRDefault="001C6219">
      <w:r>
        <w:t>— La descripción de la participación de los socios de conformidad con el artículo 8 en la preparación y en la ejecución de la estrategia también se presenta en un capítulo específico del documento.</w:t>
      </w:r>
    </w:p>
    <w:p w:rsidR="00F83F12" w:rsidRDefault="001C6219">
      <w:r>
        <w:t xml:space="preserve">Asimismo, en el contexto del artículo 29, apartado 2, del RDC, si bien los documentos estratégicos existentes relativos a las zonas cubiertas pueden utilizarse para estrategias </w:t>
      </w:r>
      <w:r>
        <w:lastRenderedPageBreak/>
        <w:t>territoriales, ¿podría considerarse que la Estrategia de Desarrollo del Condado es una estrategia integrada?</w:t>
      </w:r>
    </w:p>
    <w:p w:rsidR="00F83F12" w:rsidRDefault="00F83F12"/>
    <w:p w:rsidR="00F83F12" w:rsidRDefault="001C6219">
      <w:pPr>
        <w:pStyle w:val="P68B1DB1-Normal4"/>
      </w:pPr>
      <w:r>
        <w:t>Respuesta.</w:t>
      </w:r>
    </w:p>
    <w:p w:rsidR="00F83F12" w:rsidRDefault="001C6219">
      <w:r>
        <w:t>Las inversiones en turismo y cultura previstas para la ayuda en el marco del OP 5 deben derivarse de las estrategias integradas de desarrollo territorial o local que deben cumplir los requisitos reglamentarios, como el artículo 29 del RDC para las estrategias territoriales.</w:t>
      </w:r>
    </w:p>
    <w:p w:rsidR="00F83F12" w:rsidRDefault="001C6219">
      <w:r>
        <w:t>El término «estrategias de desarrollo territorial y local» no especifica, por su finalidad, el nivel territorial específico en el que deben elaborarse dichas estrategias. Este término se utiliza para permitir el uso de instrumentos territoriales por debajo del nivel del programa regional (es decir, NUTS2, el nivel habitual del programa regional). Se entiende que las «autoridades u organismos territoriales pertinentes» comprenden niveles inferiores al nivel NUTS 2 en función del territorio cubierto.</w:t>
      </w:r>
    </w:p>
    <w:p w:rsidR="00F83F12" w:rsidRDefault="001C6219">
      <w:r>
        <w:t>Por lo tanto, a priori, la Comisión no consideraría que los planes de desarrollo regional de Rumanía son adecuados a efectos de las estrategias territoriales en el sentido del artículo 29 del RDC. Para cumplir los requisitos del artículo 29 del RDC, los planes tendrían que abarcar territorios por debajo del nivel del territorio, que está cubierto por el programa regional (por ejemplo, a nivel de condado).</w:t>
      </w:r>
    </w:p>
    <w:p w:rsidR="00F83F12" w:rsidRDefault="001C6219">
      <w:r>
        <w:t>Por consiguiente, pueden considerarse las estrategias locales, urbanas y territoriales en el marco de los programas regionales, como las estrategias de desarrollo de los condados de Rumanía, en la medida en que cumplan los requisitos del artículo 29 del RDC y estén justificadas por la lógica de intervención del programa. La identificación de los territorios específicos a los que se dirige y la justificación del uso de herramientas territoriales deben explicarse en los programas.</w:t>
      </w:r>
    </w:p>
    <w:p w:rsidR="00F83F12" w:rsidRDefault="00F83F12"/>
    <w:p w:rsidR="00F83F12" w:rsidRDefault="00F83F12"/>
    <w:p w:rsidR="00F83F12" w:rsidRDefault="001C6219">
      <w:pPr>
        <w:pStyle w:val="Ttulo1"/>
      </w:pPr>
      <w:bookmarkStart w:id="63" w:name="scroll-bookmark-63"/>
      <w:bookmarkStart w:id="64" w:name="scroll-bookmark-64"/>
      <w:bookmarkEnd w:id="63"/>
      <w:r>
        <w:t>A00030 — En caso de apoyo de fondos de la UE de conformidad con el RDC y del MRR (NextGenerationEU), ¿qué declaración de financiación debe utilizarse?</w:t>
      </w:r>
      <w:bookmarkEnd w:id="64"/>
    </w:p>
    <w:p w:rsidR="00F83F12" w:rsidRDefault="001C6219">
      <w:r>
        <w:rPr>
          <w:noProof/>
          <w:lang w:val="es-ES"/>
        </w:rPr>
        <w:drawing>
          <wp:inline distT="0" distB="0" distL="0" distR="0" wp14:anchorId="767554B2" wp14:editId="0E3F3417">
            <wp:extent cx="152435" cy="152435"/>
            <wp:effectExtent l="0" t="0" r="0" b="0"/>
            <wp:docPr id="100124" name="Imagen 10012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47 y 50 del RDC, anexo IX; Artículo 34, apartado 2, del Reglamento del MRR </w:t>
      </w:r>
    </w:p>
    <w:p w:rsidR="00F83F12" w:rsidRDefault="001C6219">
      <w:r>
        <w:rPr>
          <w:noProof/>
          <w:lang w:val="es-ES"/>
        </w:rPr>
        <w:drawing>
          <wp:inline distT="0" distB="0" distL="0" distR="0" wp14:anchorId="29BE20E9" wp14:editId="7E015A37">
            <wp:extent cx="152435" cy="152435"/>
            <wp:effectExtent l="0" t="0" r="0" b="0"/>
            <wp:docPr id="100126" name="Imagen 10012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F83F12" w:rsidRDefault="00F83F12"/>
    <w:p w:rsidR="00F83F12" w:rsidRDefault="001C6219">
      <w:pPr>
        <w:pStyle w:val="P68B1DB1-Normal4"/>
      </w:pPr>
      <w:r>
        <w:br/>
        <w:t>Pregunta 1 (incluidos los hechos e información pertinentes):</w:t>
      </w:r>
    </w:p>
    <w:p w:rsidR="00F83F12" w:rsidRDefault="001C6219">
      <w:r>
        <w:t xml:space="preserve">Si un proyecto en régimen de gestión compartida recibe apoyo de fondos de la UE de conformidad con el Reglamento sobre disposiciones comunes y del Mecanismo de </w:t>
      </w:r>
      <w:r>
        <w:lastRenderedPageBreak/>
        <w:t>Recuperación y Resiliencia (NextGenerationEU), ¿qué declaración de financiación debe utilizarse para reconocer este apoyo de la UE?</w:t>
      </w:r>
    </w:p>
    <w:p w:rsidR="00F83F12" w:rsidRDefault="00F83F12"/>
    <w:p w:rsidR="00F83F12" w:rsidRDefault="001C6219">
      <w:pPr>
        <w:pStyle w:val="P68B1DB1-Normal4"/>
      </w:pPr>
      <w:r>
        <w:t>Respuesta.</w:t>
      </w:r>
    </w:p>
    <w:p w:rsidR="00F83F12" w:rsidRDefault="001C6219">
      <w:r>
        <w:t>Los servicios de la Comisión recomiendan utilizar «Financiado por la Unión Europea — NextGenerationEU». Desde el punto de vista jurídico, esto cumple tanto las normas establecidas en el Reglamento sobre disposiciones comunes como en el Reglamento sobre el Mecanismo de Recuperación y Resiliencia y es una opción mejor y más sencilla que disponer de declaraciones de financiación distintas para cada fuente de financiación.</w:t>
      </w:r>
    </w:p>
    <w:p w:rsidR="00F83F12" w:rsidRDefault="00F83F12"/>
    <w:p w:rsidR="00F83F12" w:rsidRDefault="00F83F12"/>
    <w:p w:rsidR="00F83F12" w:rsidRDefault="001C6219">
      <w:pPr>
        <w:pStyle w:val="Ttulo1"/>
      </w:pPr>
      <w:bookmarkStart w:id="65" w:name="scroll-bookmark-65"/>
      <w:bookmarkStart w:id="66" w:name="scroll-bookmark-66"/>
      <w:bookmarkEnd w:id="65"/>
      <w:r>
        <w:t>QA00031 — Campo de datos 59, campo de datos 60, anexo XVII</w:t>
      </w:r>
      <w:bookmarkEnd w:id="66"/>
    </w:p>
    <w:p w:rsidR="00F83F12" w:rsidRDefault="001C6219">
      <w:r>
        <w:rPr>
          <w:noProof/>
          <w:lang w:val="es-ES"/>
        </w:rPr>
        <w:drawing>
          <wp:inline distT="0" distB="0" distL="0" distR="0" wp14:anchorId="14EEEC70" wp14:editId="2CF1534A">
            <wp:extent cx="152435" cy="152435"/>
            <wp:effectExtent l="0" t="0" r="0" b="0"/>
            <wp:docPr id="100128" name="Imagen 1001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42, 72 y 92 del RDC</w:t>
      </w:r>
    </w:p>
    <w:p w:rsidR="00F83F12" w:rsidRDefault="001C6219">
      <w:r>
        <w:rPr>
          <w:noProof/>
          <w:lang w:val="es-ES"/>
        </w:rPr>
        <w:drawing>
          <wp:inline distT="0" distB="0" distL="0" distR="0" wp14:anchorId="4115061D" wp14:editId="5E986445">
            <wp:extent cx="152435" cy="152435"/>
            <wp:effectExtent l="0" t="0" r="0" b="0"/>
            <wp:docPr id="100130" name="Imagen 10013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El campo de datos 60 corresponde a la información del informe de conformidad con el cuadro 12 del anexo VII y es similar al campo 38 del informe de ejecución para el período de financiación 2014-2020, en el que los datos deben comunicarse a nivel del beneficiario final.</w:t>
      </w:r>
    </w:p>
    <w:p w:rsidR="00F83F12" w:rsidRDefault="001C6219">
      <w:r>
        <w:t>No está claro en qué medida la información sobre los fondos debe conservarse al nivel del instrumento financiero o a nivel de los perceptores finales. La información a nivel del Fondo podría calcularse a partir de la información del campo 59.</w:t>
      </w:r>
    </w:p>
    <w:p w:rsidR="00F83F12" w:rsidRDefault="001C6219">
      <w:r>
        <w:t>En el caso de los instrumentos financieros en los que la cofinanciación nacional se proporciona a nivel de los beneficiarios finales, puede producirse una doble contabilización en los campos 59 y 60.</w:t>
      </w:r>
    </w:p>
    <w:p w:rsidR="00F83F12" w:rsidRDefault="001C6219">
      <w:pPr>
        <w:numPr>
          <w:ilvl w:val="0"/>
          <w:numId w:val="16"/>
        </w:numPr>
      </w:pPr>
      <w:r>
        <w:t>¿A qué nivel se refieren los fondos adicionales del campo 60 (instrumento financiero o perceptores finales)?</w:t>
      </w:r>
    </w:p>
    <w:p w:rsidR="00F83F12" w:rsidRDefault="001C6219">
      <w:pPr>
        <w:numPr>
          <w:ilvl w:val="0"/>
          <w:numId w:val="16"/>
        </w:numPr>
      </w:pPr>
      <w:r>
        <w:t>Cuando la información se refiera al nivel de destinatarios finales: ¿Deben recopilarse los datos de manera que se garantice que la contribución del programa se asigna a los destinatarios finales individuales?</w:t>
      </w:r>
    </w:p>
    <w:p w:rsidR="00F83F12" w:rsidRDefault="001C6219">
      <w:pPr>
        <w:numPr>
          <w:ilvl w:val="0"/>
          <w:numId w:val="16"/>
        </w:numPr>
      </w:pPr>
      <w:r>
        <w:t>¿Cómo deben registrarse los datos de los instrumentos financieros en los que se proporciona cofinanciación nacional a nivel de los beneficiarios finales?</w:t>
      </w:r>
    </w:p>
    <w:p w:rsidR="00F83F12" w:rsidRDefault="00F83F12"/>
    <w:p w:rsidR="00F83F12" w:rsidRDefault="001C6219">
      <w:pPr>
        <w:pStyle w:val="P68B1DB1-Normal4"/>
      </w:pPr>
      <w:r>
        <w:lastRenderedPageBreak/>
        <w:t>Respuesta.</w:t>
      </w:r>
    </w:p>
    <w:p w:rsidR="00F83F12" w:rsidRDefault="001C6219">
      <w:r>
        <w:t>Los anexos VII y XVII del RDC tienen dos objetivos distintos, aunque deben ser coherentes entre sí. El anexo VII del RDC, incluido el cuadro 12, contiene el contenido de la información que debe transmitirse a la Comisión de conformidad con el artículo 42 del RDC como ejercicio de notificación. El anexo XVII del RDC establece el contenido de la información, que las autoridades de gestión deben conservar electrónicamente. Con el fin de facilitar el acceso a los datos sobre cada operación necesarios para el seguimiento, la evaluación, la gestión financiera, las verificaciones y las auditorías, tal como se prevé en el artículo 72 del RDC.</w:t>
      </w:r>
    </w:p>
    <w:p w:rsidR="00F83F12" w:rsidRDefault="00F83F12"/>
    <w:p w:rsidR="00F83F12" w:rsidRDefault="001C6219">
      <w:r>
        <w:t>En relación con:</w:t>
      </w:r>
    </w:p>
    <w:p w:rsidR="00F83F12" w:rsidRDefault="001C6219">
      <w:pPr>
        <w:pStyle w:val="P68B1DB1-Normal8"/>
      </w:pPr>
      <w:r>
        <w:t>Anexo XVII del RDC, campo de datos 59</w:t>
      </w:r>
    </w:p>
    <w:p w:rsidR="00F83F12" w:rsidRDefault="001C6219">
      <w:r>
        <w:t xml:space="preserve">El campo de datos 59 especifica que la información registrada debe incluir la contribución total del programa, es decir, los Fondos más la contribución pública o privada nacional comprometida en el acuerdo de financiación. Esto significa también la contribución pública o privada que </w:t>
      </w:r>
      <w:r>
        <w:rPr>
          <w:b/>
        </w:rPr>
        <w:t xml:space="preserve">se espera </w:t>
      </w:r>
      <w:r>
        <w:t>aportar al beneficiario final y que formará parte de la contribución del programa.</w:t>
      </w:r>
    </w:p>
    <w:p w:rsidR="00F83F12" w:rsidRDefault="001C6219">
      <w:r>
        <w:t>Además, las autoridades de gestión deben determinar qué parte de la contribución total del programa es el importe de la contribución pública, incluso si parte de la contribución pública nacional llega al nivel del destinatario final. Esta información se registrará en el subcampo 59.a).</w:t>
      </w:r>
    </w:p>
    <w:p w:rsidR="00F83F12" w:rsidRDefault="001C6219">
      <w:r>
        <w:t>Un subcampo (s) separado (s) [59 (b)] presenta el desglose de los importes por Fondo (FEDER, FC, etc.) comprometidos con el instrumento financiero con arreglo al acuerdo de financiación.</w:t>
      </w:r>
    </w:p>
    <w:p w:rsidR="00F83F12" w:rsidRDefault="001C6219">
      <w:r>
        <w:t>El campo de datos 59 y sus subcampos son una reproducción de la información acordada en el acuerdo de financiación y no el avance de la ejecución, de ahí la referencia en el texto del campo de datos «</w:t>
      </w:r>
      <w:r>
        <w:rPr>
          <w:b/>
        </w:rPr>
        <w:t>comprometido con un instrumento financiero y aprobado en un documento en</w:t>
      </w:r>
      <w:r>
        <w:t xml:space="preserve"> el que se establecen las condiciones de la ayuda (acuerdo de financiación)».</w:t>
      </w:r>
    </w:p>
    <w:p w:rsidR="00F83F12" w:rsidRDefault="001C6219">
      <w:r>
        <w:t xml:space="preserve">No existe riesgo de doble registro, </w:t>
      </w:r>
      <w:r w:rsidR="002F3719">
        <w:t xml:space="preserve">ya que, </w:t>
      </w:r>
      <w:r>
        <w:t>el campo de datos 59 presenta información sobre los importes acordados en el acuerdo de financiación entre la autoridad de gestión y el organismo que ejecuta el instrumento financiero. El importe de la contribución total del programa podrá ajustarse (al alza o a la baja) a lo largo del tiempo en caso necesario mediante la modificación del acuerdo de financiación en función de los avances en la aplicación del instrumento financiero y de las condiciones de mercado respectivas. Esta modificación del acuerdo de financiación debe reflejarse, respectivamente, en los datos almacenados electrónicamente.</w:t>
      </w:r>
    </w:p>
    <w:p w:rsidR="00F83F12" w:rsidRDefault="001C6219">
      <w:pPr>
        <w:pStyle w:val="P68B1DB1-Normal8"/>
      </w:pPr>
      <w:r>
        <w:t>Anexo XVII del RDC, campo de datos 60</w:t>
      </w:r>
    </w:p>
    <w:p w:rsidR="00F83F12" w:rsidRDefault="001C6219">
      <w:r>
        <w:t xml:space="preserve">Los datos almacenados en el campo de datos 60 deben incluir todos los recursos públicos o privados atraídos por los Fondos e invertidos en los destinatarios finales; de ahí la referencia «por producto» en el texto del campo de datos. Los datos conservados electrónicamente demostrarán el progreso de la aplicación. Este campo de datos puede contener recursos tanto públicos como privados de programas o no (excepto la </w:t>
      </w:r>
      <w:r>
        <w:lastRenderedPageBreak/>
        <w:t>contribución propia de los destinatarios finales, dado que los recursos propios no pueden tenerse en cuenta para el cálculo del apalancamiento) y se comunicará posteriormente a la Comisión de conformidad con el artículo 42, apartado 3, letra c), y el cuadro 12 del anexo VII del RDC. </w:t>
      </w:r>
    </w:p>
    <w:p w:rsidR="00F83F12" w:rsidRDefault="00F83F12"/>
    <w:p w:rsidR="00F83F12" w:rsidRDefault="00F83F12"/>
    <w:p w:rsidR="00F83F12" w:rsidRDefault="001C6219">
      <w:pPr>
        <w:pStyle w:val="Ttulo1"/>
      </w:pPr>
      <w:bookmarkStart w:id="67" w:name="scroll-bookmark-67"/>
      <w:bookmarkStart w:id="68" w:name="scroll-bookmark-68"/>
      <w:bookmarkEnd w:id="67"/>
      <w:r>
        <w:t>QA00032 — Admisibilidad de las empresas municipales en el marco del FTJ clasificadas como grandes empresas</w:t>
      </w:r>
      <w:bookmarkEnd w:id="68"/>
    </w:p>
    <w:p w:rsidR="00F83F12" w:rsidRDefault="001C6219">
      <w:r>
        <w:rPr>
          <w:noProof/>
          <w:lang w:val="es-ES"/>
        </w:rPr>
        <w:drawing>
          <wp:inline distT="0" distB="0" distL="0" distR="0" wp14:anchorId="174B8DD3" wp14:editId="488C9A90">
            <wp:extent cx="152435" cy="152435"/>
            <wp:effectExtent l="0" t="0" r="0" b="0"/>
            <wp:docPr id="100132" name="Imagen 10013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8 (2) y 11 (2) (h) del Reglamento del FTJ </w:t>
      </w:r>
    </w:p>
    <w:p w:rsidR="00F83F12" w:rsidRDefault="001C6219">
      <w:r>
        <w:rPr>
          <w:noProof/>
          <w:lang w:val="es-ES"/>
        </w:rPr>
        <w:drawing>
          <wp:inline distT="0" distB="0" distL="0" distR="0" wp14:anchorId="55126805" wp14:editId="3E2D5C43">
            <wp:extent cx="152435" cy="152435"/>
            <wp:effectExtent l="0" t="0" r="0" b="0"/>
            <wp:docPr id="100134" name="Imagen 10013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El Reglamento del FTJ brinda la oportunidad de apoyar a las grandes empresas a condición de que sus posibles inversiones en el marco del FTJ solo reciban apoyo para la creación de empleo en el territorio identificado. Además, el Reglamento exige una justificación en forma de un análisis de deficiencias que demuestre que las pérdidas de puestos de trabajo previstas superarían el número previsto de puestos de trabajo creados en ausencia de la inversión.</w:t>
      </w:r>
    </w:p>
    <w:p w:rsidR="00F83F12" w:rsidRDefault="001C6219">
      <w:r>
        <w:t xml:space="preserve">Durante los trabajos sobre el Plan Territorial de Transición Justa de la subregión de Wałbrzych en Baja Silesia, las autoridades de gestión plantearon una cuestión relativa al estatuto específico de las empresas municipales. Las empresas municipales según la definición de pyme se consideran grandes empresas, </w:t>
      </w:r>
      <w:r w:rsidR="002F3719">
        <w:t xml:space="preserve">ya que, </w:t>
      </w:r>
      <w:r>
        <w:t>están controladas por autoridades públicas (artículo 3, apartado 4, del anexo de la Recomendación de la Comisión, de 6 de mayo de 2003, sobre la definición de microempresas, pequeñas y medianas empresas).</w:t>
      </w:r>
    </w:p>
    <w:p w:rsidR="00F83F12" w:rsidRDefault="001C6219">
      <w:r>
        <w:t>La AG sostiene que, si bien las empresas municipales son, en principio, grandes empresas, debido a su estatuto específico no deben quedar excluidas de la ayuda del FTJ en virtud de los requisitos mencionados del Reglamento del FTJ. Estas empresas, propiedad de las administraciones locales, desempeñan un papel en la satisfacción de las necesidades socioeconómicas de la región mediante la prestación de servicios públicos y proyectos para ciudades y municipios. Entre ellas figuran las empresas de transporte local, las empresas de tratamiento y eliminación de residuos, las empresas de agua y alcantarillado, las empresas de calefacción, las agencias regionales que apoyan el desarrollo del espíritu empresarial y el mercado laboral, etc. Las actividades de estas empresas están relacionadas con la amplia gama de ayudas indicada en el artículo 8, apartado 2, del Reglamento del FTJ, en lugar de limitarse a inversiones productivas, y no estarán vinculadas al cambio de empleo. Sin embargo, sus actividades forman parte de los objetivos económicos, sociales y espaciales del plan territorial de transición justa que se está preparando.</w:t>
      </w:r>
    </w:p>
    <w:p w:rsidR="00F83F12" w:rsidRDefault="001C6219">
      <w:r>
        <w:lastRenderedPageBreak/>
        <w:t>El presidente adjunto de Baja Silesia abordó la Comisión con las siguientes preguntas:</w:t>
      </w:r>
    </w:p>
    <w:p w:rsidR="00F83F12" w:rsidRDefault="001C6219">
      <w:pPr>
        <w:pStyle w:val="P68B1DB1-Normal4"/>
      </w:pPr>
      <w:r>
        <w:t>1) ¿pueden las empresas municipales, que en principio son grandes empresas, ser beneficiarias del Fondo de Transición Justa (FTJ) si no llevan a cabo inversiones productivas que tengan un impacto directo en el mantenimiento o la creación de nuevos puestos de trabajo o en la reducción de una brecha en el equilibrio laboral?</w:t>
      </w:r>
    </w:p>
    <w:p w:rsidR="00F83F12" w:rsidRDefault="001C6219">
      <w:pPr>
        <w:pStyle w:val="P68B1DB1-Normal4"/>
      </w:pPr>
      <w:r>
        <w:t>2) en general, ¿podrán las grandes empresas ejecutar proyectos en ámbitos cubiertos por el Reglamento del FTJ, como el tratamiento de aguas residuales y la transformación en agua potable, la revitalización económica y social de zonas posteriores a la minería degradadas, la transición de infraestructuras energéticas relacionadas con la descarbonización, las inversiones en fuentes de energía renovables, las medidas para el desarrollo de competencias y capacidades de los empleados, la creación y el desarrollo de viveros de empresas y aceleradores de la innovación? Estos ámbitos desempeñan un papel importante en el caso de la transición de la subregión de Wałbrzych.</w:t>
      </w:r>
    </w:p>
    <w:p w:rsidR="00F83F12" w:rsidRDefault="001C6219">
      <w:pPr>
        <w:pStyle w:val="P68B1DB1-Normal4"/>
      </w:pPr>
      <w:r>
        <w:t>3) ¿se aplican las restricciones a la ayuda a las grandes empresas y los requisitos para tales proyectos en términos de análisis de la brecha de empleo únicamente a las inversiones productivas en dichas empresas y no a otros tipos de inversiones indicadas en el Reglamento del FTJ?</w:t>
      </w:r>
    </w:p>
    <w:p w:rsidR="00F83F12" w:rsidRDefault="00F83F12"/>
    <w:p w:rsidR="00F83F12" w:rsidRDefault="001C6219">
      <w:pPr>
        <w:pStyle w:val="P68B1DB1-Normal4"/>
      </w:pPr>
      <w:r>
        <w:t>Respuesta.</w:t>
      </w:r>
    </w:p>
    <w:p w:rsidR="00F83F12" w:rsidRDefault="001C6219">
      <w:pPr>
        <w:pStyle w:val="P68B1DB1-Normal4"/>
      </w:pPr>
      <w:r>
        <w:t>Contexto:</w:t>
      </w:r>
    </w:p>
    <w:p w:rsidR="00F83F12" w:rsidRDefault="001C6219">
      <w:r>
        <w:t>El Reglamento del FTJ establece que «</w:t>
      </w:r>
      <w:r>
        <w:rPr>
          <w:i/>
        </w:rPr>
        <w:t>con el fin de mejorar la diversificación económica de los territorios afectados por la transición, el FTJ debe prestar apoyo a las empresas y a las partes interesadas económicas, en particular mediante el apoyo a las inversiones productivas en microempresas y pequeñas y medianas empresas</w:t>
      </w:r>
      <w:r>
        <w:t>». Por lo tanto, todas las categorías de empresas, independientemente de su tamaño, son admisibles en las diferentes zonas de apoyo en el marco del FTJ. Sin embargo, se aplican algunas restricciones importantes a las inversiones productivas en empresas distintas de las pymes («grandes empresas»)</w:t>
      </w:r>
      <w:hyperlink r:id="rId432" w:anchor="_ftn1" w:history="1">
        <w:r>
          <w:rPr>
            <w:rStyle w:val="Hipervnculo"/>
          </w:rPr>
          <w:t>[1]</w:t>
        </w:r>
      </w:hyperlink>
      <w:r>
        <w:t>.</w:t>
      </w:r>
    </w:p>
    <w:p w:rsidR="00F83F12" w:rsidRDefault="001C6219">
      <w:r>
        <w:t xml:space="preserve">La definición de </w:t>
      </w:r>
      <w:r>
        <w:rPr>
          <w:i/>
        </w:rPr>
        <w:t>inversión productiva</w:t>
      </w:r>
      <w:r>
        <w:t xml:space="preserve"> figura en el considerando (16) del FTJ. Deben </w:t>
      </w:r>
      <w:r w:rsidR="00214B1C">
        <w:t>entenderse</w:t>
      </w:r>
      <w:r w:rsidR="00214B1C">
        <w:rPr>
          <w:i/>
        </w:rPr>
        <w:t xml:space="preserve"> como</w:t>
      </w:r>
      <w:r>
        <w:rPr>
          <w:i/>
        </w:rPr>
        <w:t xml:space="preserve"> «inversiones en capital fijo o en activos inmateriales de empresas con el fin de producir bienes y servicios, contribuyendo así a la formación bruta de capital y al empleo».</w:t>
      </w:r>
    </w:p>
    <w:p w:rsidR="00F83F12" w:rsidRDefault="001C6219">
      <w:r>
        <w:t>El artículo 8, apartado 2, letra a), del FTJ reduce el apoyo a las inversiones productivas en pymes, incluidas las microempresas y las empresas emergentes. Estos proyectos también deben conducir a la diversificación económica, la modernización y la reconversión. Las inversiones productivas en grandes empresas son posibles en el marco del FTJ en casos muy limitados, en zonas designadas como «zonas asistidas» de conformidad con el artículo 107, apartado 3, letras a) y c), del TFUE. Deben cumplir los cuatro criterios acumulativos basados en el artículo 8, apartado 2, y en el artículo 11, apartado 2, letra h), del FTJ:</w:t>
      </w:r>
    </w:p>
    <w:p w:rsidR="00F83F12" w:rsidRDefault="001C6219">
      <w:pPr>
        <w:numPr>
          <w:ilvl w:val="0"/>
          <w:numId w:val="17"/>
        </w:numPr>
      </w:pPr>
      <w:r>
        <w:t>son necesarios para la aplicación del plan territorial de transición justa,</w:t>
      </w:r>
    </w:p>
    <w:p w:rsidR="00F83F12" w:rsidRDefault="001C6219">
      <w:pPr>
        <w:numPr>
          <w:ilvl w:val="0"/>
          <w:numId w:val="17"/>
        </w:numPr>
      </w:pPr>
      <w:r>
        <w:lastRenderedPageBreak/>
        <w:t>contribuyen a la transición hacia una economía climáticamente neutra de aquí a 2050 y a los objetivos medioambientales conexos,</w:t>
      </w:r>
    </w:p>
    <w:p w:rsidR="00F83F12" w:rsidRDefault="001C6219">
      <w:pPr>
        <w:numPr>
          <w:ilvl w:val="0"/>
          <w:numId w:val="17"/>
        </w:numPr>
      </w:pPr>
      <w:r>
        <w:t>su apoyo es necesario para la creación de empleo en el territorio identificado. A tal fin, en el plan territorial de transición justa se requiere un análisis de deficiencias que demuestre que las pérdidas de puestos de trabajo previstas superarían el número previsto de puestos de trabajo creados en ausencia de la inversión.</w:t>
      </w:r>
    </w:p>
    <w:p w:rsidR="00F83F12" w:rsidRDefault="001C6219">
      <w:pPr>
        <w:numPr>
          <w:ilvl w:val="0"/>
          <w:numId w:val="17"/>
        </w:numPr>
      </w:pPr>
      <w:r>
        <w:t>no dan lugar a la reubicación, tal como se define en el artículo 2, punto (27), del RDC.</w:t>
      </w:r>
    </w:p>
    <w:p w:rsidR="00F83F12" w:rsidRDefault="001C6219">
      <w:r>
        <w:t>En el caso de las inversiones productivas en grandes empresas, el plan territorial de transición justa pertinente debe incluir una lista indicativa de dichas operaciones y empresas que recibirán ayuda. También debe justificar la necesidad de dicho apoyo mediante un análisis de deficiencias que demuestre que las pérdidas de puestos de trabajo previstas superarían el número previsto de puestos de trabajo creados en ausencia de la inversión. El análisis de carencias debe incluir la diferencia estimada entre la pérdida de puestos de trabajo prevista y el potencial de creación de empleo que ofrece el apoyo del FTJ (por ejemplo, inversiones en diversificación económica para pymes). Este análisis puede referirse a pruebas históricas de creación de empleo por parte de las PYME en el territorio, análisis del empleo actual por parte de las pymes de la región, encuestas sobre perspectivas de empleo u otras metodologías.</w:t>
      </w:r>
    </w:p>
    <w:p w:rsidR="00F83F12" w:rsidRDefault="001C6219">
      <w:r>
        <w:t> Además, el apoyo a las inversiones productivas está sujeto a las normas sobre ayudas estatales, en particular a las normas aplicables a las ayudas regionales. De conformidad con las Directrices sobre las ayudas estatales de finalidad regional, las ayudas regionales pueden concederse en zonas «a» para apoyar todo tipo de inversiones iniciales realizadas por pequeñas y medianas empresas o grandes empresas. En las zonas «c», las ayudas regionales pueden concederse para apoyar todo tipo de inversiones iniciales realizadas por pequeñas y medianas empresas, mientras que las grandes empresas solo pueden recibir ayudas regionales para apoyar inversiones iniciales que creen una nueva actividad económica. Sin embargo, cuando se cumplen las condiciones del punto 14 de las Directrices sobre las ayudas estatales de finalidad regional</w:t>
      </w:r>
      <w:hyperlink r:id="rId433" w:anchor="_ftn2" w:history="1">
        <w:r>
          <w:rPr>
            <w:rStyle w:val="Hipervnculo"/>
          </w:rPr>
          <w:t>[2]</w:t>
        </w:r>
      </w:hyperlink>
      <w:r>
        <w:t>, las grandes empresas también pueden recibir ayudas regionales para su diversificación o inversiones de cambio fundamental en zonas de transición justa.</w:t>
      </w:r>
    </w:p>
    <w:p w:rsidR="00F83F12" w:rsidRDefault="001C6219">
      <w:r>
        <w:t> </w:t>
      </w:r>
      <w:r>
        <w:rPr>
          <w:b/>
        </w:rPr>
        <w:t>Respuestas a preguntas específicas:</w:t>
      </w:r>
    </w:p>
    <w:p w:rsidR="00F83F12" w:rsidRDefault="001C6219">
      <w:pPr>
        <w:pStyle w:val="P68B1DB1-Normal7"/>
      </w:pPr>
      <w:r>
        <w:t>Pregunta 1:</w:t>
      </w:r>
    </w:p>
    <w:p w:rsidR="00F83F12" w:rsidRDefault="001C6219">
      <w:r>
        <w:t>Para determinar si una inversión en una gran empresa es subvencionable en el marco del FTJ y en qué condición, debe distinguirse, por tanto, entre dos tipos de inversiones:</w:t>
      </w:r>
    </w:p>
    <w:p w:rsidR="00F83F12" w:rsidRDefault="001C6219">
      <w:pPr>
        <w:pStyle w:val="P68B1DB1-Normal5"/>
        <w:numPr>
          <w:ilvl w:val="0"/>
          <w:numId w:val="18"/>
        </w:numPr>
      </w:pPr>
      <w:r>
        <w:t>inversiones productivas:  </w:t>
      </w:r>
    </w:p>
    <w:p w:rsidR="00F83F12" w:rsidRDefault="001C6219">
      <w:r>
        <w:t xml:space="preserve">Según el considerando (16) del FTJ, las inversiones productivas son inversiones en una empresa y su crecimiento para producir nuevos bienes o servicios. Dan lugar a un aumento neto del valor o la rentabilidad de una empresa. Como se ha mencionado anteriormente, están sujetos a condiciones de ayuda en virtud del artículo 8, apartado 2, y del artículo 11, apartado 2, letra h), del FTJ, incluido un impacto positivo </w:t>
      </w:r>
      <w:r>
        <w:lastRenderedPageBreak/>
        <w:t>en la creación de empleo. Si una de las condiciones sigue sin cumplirse, dichas inversiones se consideran no subvencionables en el marco del FTJ. </w:t>
      </w:r>
    </w:p>
    <w:p w:rsidR="00F83F12" w:rsidRDefault="001C6219">
      <w:r>
        <w:t>El ejemplo estándar de una inversión de este tipo es la instalación de una línea de producción para lanzar un nuevo producto con arreglo a la nueva estrategia de diversificación de la capacidad de una empresa. La inversión dará lugar a una reasignación de los recursos laborales a un nuevo ámbito empresarial para mantener los puestos de trabajo existentes. </w:t>
      </w:r>
    </w:p>
    <w:p w:rsidR="00F83F12" w:rsidRDefault="001C6219">
      <w:pPr>
        <w:pStyle w:val="P68B1DB1-Normal5"/>
        <w:numPr>
          <w:ilvl w:val="0"/>
          <w:numId w:val="19"/>
        </w:numPr>
      </w:pPr>
      <w:r>
        <w:t>otro tipo de inversiones distintas de las inversiones productivas:</w:t>
      </w:r>
    </w:p>
    <w:p w:rsidR="00F83F12" w:rsidRDefault="001C6219">
      <w:r>
        <w:t>El artículo 8, apartado 2, letra b), inciso i), enumera de manera exhaustiva las inversiones subvencionables que pueden ser distintas de las productivas. Sin embargo, no se proporciona una definición en el Reglamento del FTJ ni en el RDC para tales inversiones, contrariamente a las inversiones productivas mencionadas anteriormente.</w:t>
      </w:r>
    </w:p>
    <w:p w:rsidR="00F83F12" w:rsidRDefault="001C6219">
      <w:r>
        <w:t>Si un análisis caso por caso lleva a la conclusión de que dichas inversiones no son productivas, no estarán sujetas a las cuatro condiciones acumulativas establecidas en el artículo 8, 2.º guion, ni al requisito establecido en el artículo 11, apartado 2, letra h), del FTJ.  </w:t>
      </w:r>
    </w:p>
    <w:p w:rsidR="00F83F12" w:rsidRDefault="001C6219">
      <w:r>
        <w:t>Este tipo de inversiones suelen realizarse en infraestructuras, equipos y acceso a servicios (por ejemplo, en el ámbito de la energía, el medio ambiente, el transporte, la conectividad digital, la educación, la formación, la inclusión social, etc.) que tienen como objetivo el desarrollo territorial. Su objetivo principal no es aumentar el valor o la rentabilidad de una empresa, a diferencia de las inversiones productivas. El ejemplo habitual de tales inversiones son los servicios de interés económico general. Estas inversiones producen resultados en el bien público general que el mercado no suministraría (o se suministraría en las diferentes condiciones en términos de objetivo, calidad, seguridad, asequibilidad o acceso universal) sin intervención pública</w:t>
      </w:r>
      <w:hyperlink r:id="rId434" w:anchor="_ftn3" w:history="1">
        <w:r>
          <w:rPr>
            <w:rStyle w:val="Hipervnculo"/>
          </w:rPr>
          <w:t>[3]</w:t>
        </w:r>
      </w:hyperlink>
      <w:r>
        <w:t xml:space="preserve">. En tal caso, las empresas municipales no serían beneficiarios en el sentido del RDC, sino </w:t>
      </w:r>
      <w:r w:rsidR="00214B1C">
        <w:t>contratistas</w:t>
      </w:r>
      <w:r>
        <w:t xml:space="preserve"> del beneficiario (municipio) y llevarían a cabo las obras o inversiones. Estas empresas ayudarán a ejecutar y gestionar la inversión si se seleccionan de conformidad con las normas aplicables.</w:t>
      </w:r>
    </w:p>
    <w:p w:rsidR="00F83F12" w:rsidRDefault="001C6219">
      <w:r>
        <w:t>Independientemente de que sean productivas o no, todas las inversiones en el marco del FTJ aún deben cumplir todas las disposiciones aplicables en virtud del RDC y los Reglamentos del FTJ, por ejemplo, el cumplimiento del objetivo específico del FTJ y el alcance de la ayuda subvencionable en virtud de los artículos 8 y 9 del FTJ.</w:t>
      </w:r>
    </w:p>
    <w:p w:rsidR="00F83F12" w:rsidRDefault="001C6219">
      <w:r>
        <w:t>Por último, son subvencionables las inversiones que reduzcan las emisiones de GEI de las actividades enumeradas en la Directiva RCDE, siempre que se cumplan las condiciones específicas establecidas en el artículo 8,</w:t>
      </w:r>
      <w:r w:rsidR="00767CF5">
        <w:t xml:space="preserve"> </w:t>
      </w:r>
      <w:r w:rsidRPr="00767CF5">
        <w:t>apartado</w:t>
      </w:r>
      <w:r>
        <w:t xml:space="preserve"> 2, párrafo 3, y en el artículo 11, apartado 2, letra i), del FTJ.</w:t>
      </w:r>
    </w:p>
    <w:p w:rsidR="00F83F12" w:rsidRDefault="001C6219">
      <w:pPr>
        <w:pStyle w:val="P68B1DB1-Normal7"/>
      </w:pPr>
      <w:r>
        <w:t>Cuestiones 2 y 3</w:t>
      </w:r>
    </w:p>
    <w:p w:rsidR="00F83F12" w:rsidRDefault="001C6219">
      <w:r>
        <w:t>Las inversiones productivas y de otro tipo pueden ejecutarse en los distintos ámbitos de ayuda indicados en el artículo 8, apartado 2, del FTJ.</w:t>
      </w:r>
    </w:p>
    <w:p w:rsidR="00F83F12" w:rsidRDefault="001C6219">
      <w:r>
        <w:t xml:space="preserve">No obstante, a este respecto, es necesario recordar que el ámbito de subvencionabilidad del FTJ se detalla de manera exclusiva y no implica inversiones en el tratamiento de aguas residuales ni en la gestión del agua potable o del agua, que, por lo tanto, no son </w:t>
      </w:r>
      <w:r>
        <w:lastRenderedPageBreak/>
        <w:t>subvencionables. Solo en circunstancias debidamente justificadas, la gestión del agua puede apoyarse como parte de un proyecto de restauración de tierras, de conformidad con el considerando 12 del FTJ.</w:t>
      </w:r>
    </w:p>
    <w:p w:rsidR="00F83F12" w:rsidRDefault="001C6219">
      <w:r>
        <w:t>Los demás ámbitos temáticos enumerados en su pregunta cumplen el ámbito de subvencionabilidad del FTJ con arreglo al artículo 8, apartado 2, del FTJ. Sin embargo, para determinar si las operaciones futuras que vayan a ser ejecutadas en estos ámbitos temáticos por grandes empresas están sujetas a las condiciones establecidas en el artículo 8, 2.º guion, y al requisito establecido en el artículo 11, apartado 2, letra h), del FTJ, debe concluirse en primer lugar si estas operaciones entran o no en la definición de inversiones productivas.</w:t>
      </w:r>
    </w:p>
    <w:p w:rsidR="00F83F12" w:rsidRDefault="001C6219">
      <w:r>
        <w:t>Sobre la base de los hechos presentados en la pregunta, no existe información suficiente sobre la naturaleza exacta de las operaciones previstas por la subregión de Wałbrzych — por ejemplo, sobre el objetivo al que contribuirían dichas operaciones — para determinar si tales inversiones deben considerarse productivas o no. Es responsabilidad de la autoridad de gestión determinar si se cumplen las condiciones explicadas anteriormente y si el plan territorial de transición justa debe demostrar su cumplimiento.</w:t>
      </w:r>
    </w:p>
    <w:p w:rsidR="00F83F12" w:rsidRDefault="001C6219">
      <w:r>
        <w:t>Por último, como se ha mencionado anteriormente, todas las demás condiciones generales de apoyo en el marco del RDC y del FTJ se aplican a las inversiones productivas y de otro tipo.</w:t>
      </w:r>
    </w:p>
    <w:p w:rsidR="00F83F12" w:rsidRDefault="001C6219">
      <w:r>
        <w:rPr>
          <w:noProof/>
          <w:lang w:val="es-E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82895" cy="0"/>
                <wp:effectExtent l="13335" t="11430" r="13970" b="762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8775" id="Conector recto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" strokecolor="gray"/>
            </w:pict>
          </mc:Fallback>
        </mc:AlternateContent>
      </w:r>
      <w:hyperlink r:id="rId435" w:anchor="_ftnref1" w:history="1">
        <w:r>
          <w:rPr>
            <w:rStyle w:val="Hipervnculo"/>
          </w:rPr>
          <w:t>[1]</w:t>
        </w:r>
      </w:hyperlink>
      <w:r>
        <w:t xml:space="preserve"> Todas las empresas que no entran en el ámbito de aplicación de la definición de microempresas, pequeñas y medianas empresas establecida en la Recomendación 2003/361/CE de la Comisión, de 6 de mayo de 2003 (DO L 124 de 20.5.2003, p. 36).</w:t>
      </w:r>
    </w:p>
    <w:p w:rsidR="00F83F12" w:rsidRDefault="00FC0FB1">
      <w:hyperlink r:id="rId436" w:anchor="_ftnref2" w:history="1">
        <w:r w:rsidR="001C6219">
          <w:rPr>
            <w:rStyle w:val="Hipervnculo"/>
          </w:rPr>
          <w:t>[2]</w:t>
        </w:r>
      </w:hyperlink>
      <w:r w:rsidR="001C6219">
        <w:t xml:space="preserve"> DO C 153 de 29.4.2021, p. 1.</w:t>
      </w:r>
    </w:p>
    <w:p w:rsidR="00F83F12" w:rsidRDefault="00FC0FB1">
      <w:hyperlink r:id="rId437" w:anchor="_ftnref3" w:history="1">
        <w:r w:rsidR="001C6219">
          <w:rPr>
            <w:rStyle w:val="Hipervnculo"/>
          </w:rPr>
          <w:t>[3]</w:t>
        </w:r>
      </w:hyperlink>
      <w:r w:rsidR="001C6219">
        <w:t xml:space="preserve"> El CPR no tiene una definición de servicio público o servicio de interés económico general. Por lo tanto, el concepto podría aplicarse a diferentes situaciones y términos, dependiendo del Estado miembro, salvo cuando la legislación de la Unión establezca la obligación de designar formalmente una tarea o un servicio como de interés económico general.</w:t>
      </w:r>
    </w:p>
    <w:p w:rsidR="00F83F12" w:rsidRDefault="00F83F12"/>
    <w:p w:rsidR="00F83F12" w:rsidRDefault="00F83F12"/>
    <w:p w:rsidR="00F83F12" w:rsidRDefault="001C6219">
      <w:pPr>
        <w:pStyle w:val="Ttulo1"/>
      </w:pPr>
      <w:bookmarkStart w:id="69" w:name="scroll-bookmark-69"/>
      <w:bookmarkStart w:id="70" w:name="scroll-bookmark-70"/>
      <w:bookmarkEnd w:id="69"/>
      <w:r>
        <w:t>QA00033 — Comunicación eficaz y cumplimiento de las disposiciones del RDC relativas a la comunicación</w:t>
      </w:r>
      <w:bookmarkEnd w:id="70"/>
    </w:p>
    <w:p w:rsidR="00F83F12" w:rsidRDefault="001C6219">
      <w:r>
        <w:rPr>
          <w:noProof/>
          <w:lang w:val="es-ES"/>
        </w:rPr>
        <w:drawing>
          <wp:inline distT="0" distB="0" distL="0" distR="0" wp14:anchorId="6D394503" wp14:editId="491979A7">
            <wp:extent cx="152435" cy="152435"/>
            <wp:effectExtent l="0" t="0" r="0" b="0"/>
            <wp:docPr id="100137" name="Imagen 1001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Capítulo I del RDC — Seguimiento</w:t>
      </w:r>
    </w:p>
    <w:p w:rsidR="00F83F12" w:rsidRDefault="001C6219">
      <w:r>
        <w:t>Artículo 103 del RDC — Correcciones financieras por parte del Estado miembro</w:t>
      </w:r>
    </w:p>
    <w:p w:rsidR="00F83F12" w:rsidRDefault="001C6219">
      <w:r>
        <w:rPr>
          <w:noProof/>
          <w:lang w:val="es-ES"/>
        </w:rPr>
        <w:drawing>
          <wp:inline distT="0" distB="0" distL="0" distR="0" wp14:anchorId="715CD55B" wp14:editId="1171EE29">
            <wp:extent cx="152435" cy="152435"/>
            <wp:effectExtent l="0" t="0" r="0" b="0"/>
            <wp:docPr id="100139" name="Imagen 1001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lastRenderedPageBreak/>
        <w:br/>
        <w:t>Pregunta 1 (incluidos los hechos e información pertinentes):</w:t>
      </w:r>
    </w:p>
    <w:p w:rsidR="00F83F12" w:rsidRDefault="001C6219">
      <w:r>
        <w:t>¿Cuáles son las recomendaciones de la Comisión para comunicar de la manera más eficaz posible, en caso de suspensión de la financiación, como consecuencia del incumplimiento por parte de un beneficiario de sus compromisos?</w:t>
      </w:r>
    </w:p>
    <w:p w:rsidR="00F83F12" w:rsidRDefault="001C6219">
      <w:r>
        <w:t>¿Cuál sería la evaluación de la Comisión sobre el cumplimiento de la obligación de comunicación por parte de los beneficiarios de los fondos?</w:t>
      </w:r>
    </w:p>
    <w:p w:rsidR="00F83F12" w:rsidRDefault="00F83F12"/>
    <w:p w:rsidR="00F83F12" w:rsidRDefault="001C6219">
      <w:pPr>
        <w:pStyle w:val="P68B1DB1-Normal4"/>
      </w:pPr>
      <w:r>
        <w:t>Respuesta.</w:t>
      </w:r>
    </w:p>
    <w:p w:rsidR="00F83F12" w:rsidRDefault="001C6219">
      <w:r>
        <w:t>La comunicación y la visibilidad serán supervisadas y evaluadas de la misma manera que el cumplimiento de otros aspectos del programa por parte de los servicios competentes de la Comisión.</w:t>
      </w:r>
    </w:p>
    <w:p w:rsidR="00F83F12" w:rsidRDefault="001C6219">
      <w:r>
        <w:t>No hay intención de publicar las directrices sobre la metodología para determinar el alcance de la infracción o el importe de las correcciones. Cuando sea necesario, el Estado miembro debe proceder a las correcciones de la misma manera que a cualquier otra corrección financiera aplicada de conformidad con el artículo 103 del RDC.</w:t>
      </w:r>
    </w:p>
    <w:p w:rsidR="00F83F12" w:rsidRDefault="00F83F12"/>
    <w:p w:rsidR="00F83F12" w:rsidRDefault="00F83F12"/>
    <w:p w:rsidR="00F83F12" w:rsidRDefault="00F83F12"/>
    <w:p w:rsidR="00F83F12" w:rsidRDefault="001C6219">
      <w:pPr>
        <w:pStyle w:val="Ttulo1"/>
      </w:pPr>
      <w:bookmarkStart w:id="71" w:name="scroll-bookmark-71"/>
      <w:bookmarkStart w:id="72" w:name="scroll-bookmark-72"/>
      <w:bookmarkEnd w:id="71"/>
      <w:r>
        <w:t>QA00037 — Financiación a tanto alzado de los costes indirectos relativos a las subvenciones</w:t>
      </w:r>
      <w:bookmarkEnd w:id="72"/>
    </w:p>
    <w:p w:rsidR="00F83F12" w:rsidRDefault="001C6219">
      <w:pPr>
        <w:pStyle w:val="P68B1DB1-Normal4"/>
      </w:pPr>
      <w:r>
        <w:t> </w:t>
      </w:r>
    </w:p>
    <w:p w:rsidR="00F83F12" w:rsidRDefault="001C6219">
      <w:r>
        <w:rPr>
          <w:noProof/>
          <w:lang w:val="es-ES"/>
        </w:rPr>
        <w:drawing>
          <wp:inline distT="0" distB="0" distL="0" distR="0" wp14:anchorId="5ACA5629" wp14:editId="1F5856BC">
            <wp:extent cx="152435" cy="152435"/>
            <wp:effectExtent l="0" t="0" r="0" b="0"/>
            <wp:docPr id="100141" name="Imagen 1001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54 del RDC</w:t>
      </w:r>
    </w:p>
    <w:p w:rsidR="00F83F12" w:rsidRDefault="001C6219">
      <w:r>
        <w:rPr>
          <w:noProof/>
          <w:lang w:val="es-ES"/>
        </w:rPr>
        <w:drawing>
          <wp:inline distT="0" distB="0" distL="0" distR="0" wp14:anchorId="1B043D18" wp14:editId="0CA8908C">
            <wp:extent cx="152435" cy="152435"/>
            <wp:effectExtent l="0" t="0" r="0" b="0"/>
            <wp:docPr id="100143" name="Imagen 1001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t>Pregunta 1 (incluidos los hechos e información pertinentes):</w:t>
      </w:r>
    </w:p>
    <w:p w:rsidR="00F83F12" w:rsidRDefault="001C6219">
      <w:r>
        <w:t>Nos preguntamos si sería posible utilizar, para el reembolso de los costes indirectos (artículo 54 del RDC), tanto el tipo fijo del 15 % de los costes de personal cuando dichos gastos estén presentes en un proyecto como el del 7 % de los gastos subvencionables totales cuando no se declaren costes de personal, y ello para todo el FEMPA.</w:t>
      </w:r>
    </w:p>
    <w:p w:rsidR="00F83F12" w:rsidRDefault="00F83F12"/>
    <w:p w:rsidR="00F83F12" w:rsidRDefault="001C6219">
      <w:pPr>
        <w:pStyle w:val="P68B1DB1-Normal4"/>
      </w:pPr>
      <w:r>
        <w:t>Respuesta.</w:t>
      </w:r>
    </w:p>
    <w:p w:rsidR="00F83F12" w:rsidRDefault="001C6219">
      <w:r>
        <w:t xml:space="preserve">En el artículo 54 del RDC, el uso de ambos porcentajes es posible a nivel de la operación: «cuando se utilice un tipo fijo para cubrir los costes indirectos de una operación, podrá basarse en uno de los siguientes elementos... ». Por lo tanto, es posible utilizar uno de </w:t>
      </w:r>
      <w:r>
        <w:lastRenderedPageBreak/>
        <w:t>los porcentajes indicados en la misma por operación, dependiendo, por ejemplo, del criterio que proponga (existencia o no de costes de personal).  La autoridad de gestión debe definir las categorías de costes y seleccionar las OCS y los porcentajes adecuados de manera coherente y respetando plenamente el principio de igualdad de trato. </w:t>
      </w:r>
    </w:p>
    <w:p w:rsidR="00F83F12" w:rsidRDefault="001C6219">
      <w:r>
        <w:t xml:space="preserve">Para más información sobre el cálculo de los costes indirectos, consulte la sección 3.1.2.1 de las </w:t>
      </w:r>
      <w:hyperlink r:id="rId438" w:history="1">
        <w:r>
          <w:rPr>
            <w:rStyle w:val="Hipervnculo"/>
          </w:rPr>
          <w:t>Directrices revisadas sobre OCS en el marco del ESI</w:t>
        </w:r>
      </w:hyperlink>
      <w:r>
        <w:t>.</w:t>
      </w:r>
    </w:p>
    <w:p w:rsidR="00F83F12" w:rsidRDefault="001C6219">
      <w:r>
        <w:t>El documento en el que se establezcan las condiciones de la ayuda de conformidad con el artículo 73, apartado 3, incluirá información sobre la forma de reembolso de los costes indirectos (es decir, qué tipo fijo se aplicará).</w:t>
      </w:r>
    </w:p>
    <w:p w:rsidR="00F83F12" w:rsidRDefault="00F83F12"/>
    <w:p w:rsidR="00F83F12" w:rsidRDefault="00F83F12"/>
    <w:p w:rsidR="00F83F12" w:rsidRDefault="00F83F12"/>
    <w:p w:rsidR="00F83F12" w:rsidRDefault="001C6219">
      <w:pPr>
        <w:pStyle w:val="Ttulo1"/>
      </w:pPr>
      <w:bookmarkStart w:id="73" w:name="scroll-bookmark-73"/>
      <w:bookmarkStart w:id="74" w:name="scroll-bookmark-74"/>
      <w:bookmarkEnd w:id="73"/>
      <w:r>
        <w:t>QA00038 — Selección de operaciones por parte de la autoridad de gestión en materia de infraestructuras — defensa contra el cambio climático</w:t>
      </w:r>
      <w:bookmarkEnd w:id="74"/>
    </w:p>
    <w:p w:rsidR="00F83F12" w:rsidRDefault="001C6219">
      <w:r>
        <w:rPr>
          <w:noProof/>
          <w:lang w:val="es-ES"/>
        </w:rPr>
        <w:drawing>
          <wp:inline distT="0" distB="0" distL="0" distR="0" wp14:anchorId="39BE01A2" wp14:editId="49517539">
            <wp:extent cx="152435" cy="152435"/>
            <wp:effectExtent l="0" t="0" r="0" b="0"/>
            <wp:docPr id="100145" name="Imagen 1001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 (42) y</w:t>
      </w:r>
      <w:r>
        <w:rPr>
          <w:b/>
        </w:rPr>
        <w:t xml:space="preserve"> </w:t>
      </w:r>
      <w:r>
        <w:t>73 del RDC</w:t>
      </w:r>
    </w:p>
    <w:p w:rsidR="00F83F12" w:rsidRDefault="001C6219">
      <w:r>
        <w:rPr>
          <w:noProof/>
          <w:lang w:val="es-ES"/>
        </w:rPr>
        <w:drawing>
          <wp:inline distT="0" distB="0" distL="0" distR="0" wp14:anchorId="550AEF96" wp14:editId="1F962C34">
            <wp:extent cx="152435" cy="152435"/>
            <wp:effectExtent l="0" t="0" r="0" b="0"/>
            <wp:docPr id="100147" name="Imagen 1001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IE</w:t>
      </w:r>
    </w:p>
    <w:p w:rsidR="00F83F12" w:rsidRDefault="00F83F12"/>
    <w:p w:rsidR="00F83F12" w:rsidRDefault="001C6219">
      <w:pPr>
        <w:pStyle w:val="P68B1DB1-Normal4"/>
      </w:pPr>
      <w:r>
        <w:br/>
        <w:t>Pregunta 1 (incluidos los hechos e información pertinentes):</w:t>
      </w:r>
    </w:p>
    <w:p w:rsidR="00F83F12" w:rsidRDefault="001C6219">
      <w:r>
        <w:t>El artículo 73 (selección de operaciones por la autoridad de gestión) del RDC establece en su apartado 2, letra j), lo siguiente:</w:t>
      </w:r>
    </w:p>
    <w:p w:rsidR="00F83F12" w:rsidRDefault="001C6219">
      <w:pPr>
        <w:pStyle w:val="P68B1DB1-Normal5"/>
      </w:pPr>
      <w:r>
        <w:t>(2)  En la selección de operaciones, la autoridad de gestión:</w:t>
      </w:r>
    </w:p>
    <w:p w:rsidR="00F83F12" w:rsidRDefault="001C6219">
      <w:pPr>
        <w:pStyle w:val="P68B1DB1-Normal5"/>
      </w:pPr>
      <w:r>
        <w:t>........................</w:t>
      </w:r>
    </w:p>
    <w:p w:rsidR="00F83F12" w:rsidRDefault="001C6219">
      <w:r>
        <w:rPr>
          <w:i/>
        </w:rPr>
        <w:t>j) garantizará la defensa contra el cambio climático de las inversiones en infraestructuras cuya vida útil sea de al menos cinco años</w:t>
      </w:r>
      <w:r>
        <w:t>.</w:t>
      </w:r>
    </w:p>
    <w:p w:rsidR="00F83F12" w:rsidRDefault="00F83F12"/>
    <w:p w:rsidR="00F83F12" w:rsidRDefault="001C6219">
      <w:r>
        <w:t>El término «infraestructura» no se define en el RDC y no parece haber una definición estándar en línea, por lo que me pregunto si la Comisión tiene una opinión sobre su aplicabilidad a las inversiones de capital financiadas por el FEMPA.  Es evidente que sería pertinente para las infraestructuras portuarias.  Creo que podemos estar seguros de que no se aplica a los buques pesqueros ni a las estructuras acuícolas, como los remanentes, las jaulas de salmón, etc. Me menos seguro de los edificios, como las fábricas de transformación.  Agradecería un dictamen de la Comisión al respecto, a fin de poder planificar los procedimientos de evaluación necesarios.</w:t>
      </w:r>
    </w:p>
    <w:p w:rsidR="00F83F12" w:rsidRDefault="00F83F12"/>
    <w:p w:rsidR="00F83F12" w:rsidRDefault="001C6219">
      <w:pPr>
        <w:pStyle w:val="P68B1DB1-Normal4"/>
      </w:pPr>
      <w:r>
        <w:lastRenderedPageBreak/>
        <w:t>Respuesta.</w:t>
      </w:r>
    </w:p>
    <w:p w:rsidR="00F83F12" w:rsidRDefault="001C6219">
      <w:r>
        <w:t>La Comisión ha elaborado una guía sobre la defensa contra el cambio climático de las infraestructuras que abarca el período de programación 2021-2027, que también se considera una referencia pertinente para la defensa contra el cambio climático de las infraestructuras con arreglo al artículo 2, apartado 42, y al artículo 73, apartado 2, letra j), del Reglamento</w:t>
      </w:r>
      <w:hyperlink r:id="rId439" w:anchor="_ftn1" w:history="1">
        <w:r>
          <w:rPr>
            <w:rStyle w:val="Hipervnculo"/>
          </w:rPr>
          <w:t>(UE) n.º 2021/1060 [Reglamento sobre disposiciones comunes (</w:t>
        </w:r>
      </w:hyperlink>
      <w:r>
        <w:t xml:space="preserve"> RDC)]. Aunque el RDC no proporciona una definición de infraestructura, las orientaciones las definen como un concepto amplio</w:t>
      </w:r>
      <w:hyperlink r:id="rId440" w:anchor="_ftn2" w:history="1">
        <w:r>
          <w:rPr>
            <w:rStyle w:val="Hipervnculo"/>
          </w:rPr>
          <w:t>, que incluye</w:t>
        </w:r>
      </w:hyperlink>
      <w:r>
        <w:t>[2]:</w:t>
      </w:r>
    </w:p>
    <w:p w:rsidR="00F83F12" w:rsidRDefault="001C6219">
      <w:r>
        <w:t xml:space="preserve">• </w:t>
      </w:r>
      <w:r>
        <w:rPr>
          <w:b/>
        </w:rPr>
        <w:t xml:space="preserve">edificios, </w:t>
      </w:r>
      <w:r>
        <w:t>desde residencias privadas hasta escuelas</w:t>
      </w:r>
      <w:r>
        <w:rPr>
          <w:b/>
        </w:rPr>
        <w:t xml:space="preserve"> o instalaciones industriales</w:t>
      </w:r>
      <w:r>
        <w:t>, que constituyen el tipo de infraestructura más común y la base para el asentamiento humano;</w:t>
      </w:r>
    </w:p>
    <w:p w:rsidR="00F83F12" w:rsidRDefault="001C6219">
      <w:r>
        <w:t>• infraestructuras basadas en la naturaleza, como tejados verdes, muros, espacios y sistemas de drenaje;</w:t>
      </w:r>
    </w:p>
    <w:p w:rsidR="00F83F12" w:rsidRDefault="001C6219">
      <w:r>
        <w:t xml:space="preserve">• </w:t>
      </w:r>
      <w:r>
        <w:rPr>
          <w:b/>
        </w:rPr>
        <w:t>infraestructuras de red cruciales para el funcionamiento de la economía y la sociedad</w:t>
      </w:r>
      <w:r>
        <w:t xml:space="preserve"> actuales, en particular las infraestructuras energéticas (por ejemplo, redes, centrales eléctricas, tuberías), el </w:t>
      </w:r>
      <w:r>
        <w:rPr>
          <w:b/>
        </w:rPr>
        <w:t>transporte</w:t>
      </w:r>
      <w:r>
        <w:t xml:space="preserve"> (activos fijos como carreteras, ferrocarriles, </w:t>
      </w:r>
      <w:r>
        <w:rPr>
          <w:b/>
        </w:rPr>
        <w:t>puertos</w:t>
      </w:r>
      <w:r>
        <w:t>, aeropuertos o infraestructuras de transporte por vías navegables interiores), las tecnologías de la información y la comunicación (por ejemplo, redes de telefonía móvil, cables de datos, centros de datos) y el agua (por ejemplo, tuberías de suministro de agua, embalses, instalaciones de tratamiento de aguas residuales);</w:t>
      </w:r>
    </w:p>
    <w:p w:rsidR="00F83F12" w:rsidRDefault="001C6219">
      <w:r>
        <w:t xml:space="preserve">• </w:t>
      </w:r>
      <w:r>
        <w:rPr>
          <w:b/>
        </w:rPr>
        <w:t>sistemas de gestión de los residuos generados por las empresas</w:t>
      </w:r>
      <w:r>
        <w:t xml:space="preserve"> y los hogares (</w:t>
      </w:r>
      <w:r>
        <w:rPr>
          <w:b/>
        </w:rPr>
        <w:t>puntos</w:t>
      </w:r>
      <w:r>
        <w:t xml:space="preserve"> de recogida, instalaciones de clasificación y reciclado, incineradores y vertederos);</w:t>
      </w:r>
    </w:p>
    <w:p w:rsidR="00F83F12" w:rsidRDefault="001C6219">
      <w:r>
        <w:t xml:space="preserve">• </w:t>
      </w:r>
      <w:r>
        <w:rPr>
          <w:b/>
        </w:rPr>
        <w:t>otros activos físicos en una gama más amplia de ámbitos políticos</w:t>
      </w:r>
      <w:r>
        <w:t xml:space="preserve">, como las comunicaciones, los servicios de emergencia, la energía, las finanzas, la alimentación, la administración, la sanidad, la educación y la formación, la investigación, la protección civil, el </w:t>
      </w:r>
      <w:r>
        <w:rPr>
          <w:b/>
        </w:rPr>
        <w:t>transporte y los residuos o el agua</w:t>
      </w:r>
      <w:r>
        <w:t>;</w:t>
      </w:r>
    </w:p>
    <w:p w:rsidR="00F83F12" w:rsidRDefault="001C6219">
      <w:r>
        <w:t>• también pueden establecerse otros tipos de infraestructuras admisibles en la legislación específica de cada fondo, por ejemplo, el Reglamento InvestEU incluye una lista exhaustiva de inversiones admisibles en el marco del eje de actuación sobre infraestructuras sostenibles.</w:t>
      </w:r>
    </w:p>
    <w:p w:rsidR="00F83F12" w:rsidRDefault="001C6219">
      <w:r>
        <w:t>Las orientaciones aclaran además que, con respecto a la financiación de la UE para infraestructuras en el período de programación 2021-2027, los principales instrumentos que pueden utilizarse incluyen, en virtud del Reglamento sobre disposiciones comunes (RDC), el Fondo Europeo de Desarrollo Regional (FEDER), el Fondo de Cohesión (FC) y el Fondo de Transición Justa (FTJ). No obstante, dado que el artículo 73 del RDC se aplica plenamente a las operaciones seleccionadas para recibir ayuda también del FEMPA, el requisito de cumplir el principio de defensa contra el cambio climático es aplicable a las nuevas infraestructuras, así como a la renovación, rehabilitación y ampliación de las infraestructuras existentes, apoyadas por el FEMPA con una vida útil prevista de al menos cinco años.</w:t>
      </w:r>
    </w:p>
    <w:p w:rsidR="00F83F12" w:rsidRDefault="001C6219">
      <w:r>
        <w:t xml:space="preserve">Sobre esta base, este principio debe considerarse </w:t>
      </w:r>
      <w:r>
        <w:rPr>
          <w:b/>
        </w:rPr>
        <w:t>pertinente tanto en lo que respecta a las infraestructuras portuarias como a las fábricas de transformación</w:t>
      </w:r>
      <w:r>
        <w:t xml:space="preserve">. Por lo tanto, además de apoyar actividades que respeten las normas y prioridades climáticas y medioambientales de la Unión, al seleccionar las operaciones, la autoridad de gestión </w:t>
      </w:r>
      <w:r>
        <w:lastRenderedPageBreak/>
        <w:t>debe garantizar la defensa contra el cambio climático de las inversiones de capital en ambos tipos de infraestructuras.</w:t>
      </w:r>
    </w:p>
    <w:p w:rsidR="00F83F12" w:rsidRDefault="001C6219">
      <w:r>
        <w:t>A este respecto, las orientaciones de la Comisión sobre la defensa contra el cambio climático de las inversiones 2021-2027 pueden ser una referencia útil para las autoridades públicas como base para complementar otras consideraciones y orientaciones nacionales y sectoriales.</w:t>
      </w:r>
    </w:p>
    <w:p w:rsidR="00F83F12" w:rsidRDefault="00F83F12"/>
    <w:p w:rsidR="00F83F12" w:rsidRDefault="001C6219">
      <w:r>
        <w:rPr>
          <w:noProof/>
          <w:lang w:val="es-E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82895" cy="0"/>
                <wp:effectExtent l="13335" t="10160" r="13970" b="889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19B3"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" strokecolor="gray"/>
            </w:pict>
          </mc:Fallback>
        </mc:AlternateContent>
      </w:r>
      <w:hyperlink r:id="rId441" w:anchor="_ftnref1" w:history="1">
        <w:r>
          <w:rPr>
            <w:rStyle w:val="Hipervnculo"/>
          </w:rPr>
          <w:t>[1]</w:t>
        </w:r>
      </w:hyperlink>
      <w:r>
        <w:t xml:space="preserve"> C (2021) 5430 final.</w:t>
      </w:r>
    </w:p>
    <w:p w:rsidR="00F83F12" w:rsidRDefault="00FC0FB1">
      <w:hyperlink r:id="rId442" w:history="1">
        <w:r w:rsidR="001C6219">
          <w:rPr>
            <w:rStyle w:val="Hipervnculo"/>
          </w:rPr>
          <w:t>httpson//ec.europa.eu/clima/sites/default/files/adaptation/what/docs/climate_proofing_guidance_en.pdf</w:t>
        </w:r>
      </w:hyperlink>
    </w:p>
    <w:p w:rsidR="00F83F12" w:rsidRDefault="00FC0FB1">
      <w:hyperlink r:id="rId443" w:anchor="_ftnref2" w:history="1">
        <w:r w:rsidR="001C6219">
          <w:rPr>
            <w:rStyle w:val="Hipervnculo"/>
          </w:rPr>
          <w:t>[2]</w:t>
        </w:r>
      </w:hyperlink>
      <w:r w:rsidR="001C6219">
        <w:t xml:space="preserve"> C (2021) 5430 final, página 7. </w:t>
      </w:r>
    </w:p>
    <w:p w:rsidR="00F83F12" w:rsidRDefault="00F83F12"/>
    <w:p w:rsidR="00F83F12" w:rsidRDefault="00F83F12"/>
    <w:p w:rsidR="00F83F12" w:rsidRDefault="00F83F12"/>
    <w:p w:rsidR="00F83F12" w:rsidRDefault="001C6219">
      <w:pPr>
        <w:pStyle w:val="Ttulo1"/>
      </w:pPr>
      <w:bookmarkStart w:id="75" w:name="scroll-bookmark-75"/>
      <w:bookmarkStart w:id="76" w:name="scroll-bookmark-76"/>
      <w:bookmarkEnd w:id="75"/>
      <w:r>
        <w:t>QA00039 — FTJ</w:t>
      </w:r>
      <w:bookmarkEnd w:id="76"/>
    </w:p>
    <w:p w:rsidR="00F83F12" w:rsidRDefault="001C6219">
      <w:r>
        <w:rPr>
          <w:noProof/>
          <w:lang w:val="es-ES"/>
        </w:rPr>
        <w:drawing>
          <wp:inline distT="0" distB="0" distL="0" distR="0" wp14:anchorId="5F2A9125" wp14:editId="7F0F1280">
            <wp:extent cx="152435" cy="152435"/>
            <wp:effectExtent l="0" t="0" r="0" b="0"/>
            <wp:docPr id="100150" name="Imagen 10015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8 y artículo 9 del FTJ </w:t>
      </w:r>
    </w:p>
    <w:p w:rsidR="00F83F12" w:rsidRDefault="001C6219">
      <w:r>
        <w:rPr>
          <w:noProof/>
          <w:lang w:val="es-ES"/>
        </w:rPr>
        <w:drawing>
          <wp:inline distT="0" distB="0" distL="0" distR="0" wp14:anchorId="0045C572" wp14:editId="0FB44D28">
            <wp:extent cx="152435" cy="152435"/>
            <wp:effectExtent l="0" t="0" r="0" b="0"/>
            <wp:docPr id="100152" name="Imagen 10015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F83F12" w:rsidRDefault="00F83F12"/>
    <w:p w:rsidR="00F83F12" w:rsidRDefault="001C6219">
      <w:pPr>
        <w:pStyle w:val="P68B1DB1-Normal4"/>
      </w:pPr>
      <w:r>
        <w:br/>
        <w:t>Pregunta 1 (incluidos los hechos e información pertinentes): </w:t>
      </w:r>
    </w:p>
    <w:p w:rsidR="00F83F12" w:rsidRDefault="001C6219">
      <w:r>
        <w:rPr>
          <w:b/>
        </w:rPr>
        <w:t xml:space="preserve">(1.1) </w:t>
      </w:r>
      <w:r>
        <w:t>¿Debe considerarse que el despliegue de tecnologías CUC (captura y utilización de carbono) fomenta la transferencia de tecnologías avanzadas c), inversiones en el despliegue de tecnologías e infraestructuras para la reducción de las emisiones de gases de efecto invernadero (d) o inversiones en la mejora de la economía circular (g)?</w:t>
      </w:r>
    </w:p>
    <w:p w:rsidR="00F83F12" w:rsidRDefault="001C6219">
      <w:r>
        <w:t>¿Se considera una inversión productiva que, en empresas distintas de las pymes, debe ser aprobada como parte del plan territorial de transición justa?</w:t>
      </w:r>
    </w:p>
    <w:p w:rsidR="00F83F12" w:rsidRDefault="00F83F12"/>
    <w:p w:rsidR="00F83F12" w:rsidRDefault="001C6219">
      <w:r>
        <w:rPr>
          <w:b/>
        </w:rPr>
        <w:t xml:space="preserve">(1.2) Si </w:t>
      </w:r>
      <w:r w:rsidR="00DD7236">
        <w:rPr>
          <w:b/>
        </w:rPr>
        <w:t>la</w:t>
      </w:r>
      <w:r w:rsidR="00DD7236">
        <w:t xml:space="preserve"> captura</w:t>
      </w:r>
      <w:r>
        <w:t xml:space="preserve"> de carbono en una inversión de este tipo está relacionada con la producción de energía a partir de esquisto bituminoso (un 100 % de petróleo de esquisto o una mezcla con biomasa), ¿significa que la inversión está fuera del ámbito de aplicación del FTJ de conformidad con el artículo 9? ¿Pueden estas inversiones recibir apoyo del segundo pilar en el marco de InvestEU?</w:t>
      </w:r>
    </w:p>
    <w:p w:rsidR="00F83F12" w:rsidRDefault="001C6219">
      <w:pPr>
        <w:pStyle w:val="P68B1DB1-Normal4"/>
      </w:pPr>
      <w:r>
        <w:t>Respuesta.</w:t>
      </w:r>
    </w:p>
    <w:p w:rsidR="00F83F12" w:rsidRDefault="001C6219">
      <w:pPr>
        <w:pStyle w:val="P68B1DB1-Normal4"/>
      </w:pPr>
      <w:r>
        <w:t>Ad 1.1.</w:t>
      </w:r>
    </w:p>
    <w:p w:rsidR="00F83F12" w:rsidRDefault="001C6219">
      <w:r>
        <w:t xml:space="preserve">Cualquier inversión relacionada con la producción de energía a partir de esquisto bituminoso no es subvencionable de conformidad con el artículo 9, letra d), del </w:t>
      </w:r>
      <w:r>
        <w:lastRenderedPageBreak/>
        <w:t>Reglamento del FTJ, que prohíbe la producción, la transformación, el transporte, la distribución, el almacenamiento o la combustión de combustibles fósiles.</w:t>
      </w:r>
    </w:p>
    <w:p w:rsidR="00F83F12" w:rsidRDefault="001C6219">
      <w:r>
        <w:t> Además, la descarbonización rentable en el sector eléctrico se logra mediante el uso de energías renovables. Por lo tanto, desde un punto de vista político y económico, el FTJ no debe financiar inversiones para CUC en el sector eléctrico.  El objetivo del FTJ también debe perseguirse en consonancia con el objetivo de promover el desarrollo sostenible establecido en el artículo 6 bis del RDC, teniendo en cuenta el principio de «no causar un perjuicio significativo».</w:t>
      </w:r>
    </w:p>
    <w:p w:rsidR="00F83F12" w:rsidRDefault="001C6219">
      <w:r>
        <w:t> En principio, las inversiones relacionadas con la minería o con la extracción, la transformación, la distribución, el almacenamiento o la combustión de combustibles fósiles sólidos y petróleo, así como las inversiones relacionadas con la extracción de gas, tampoco reciben apoyo en el marco del régimen de transición justa en el marco de InvestEU, de conformidad con el anexo 5 (B) (12) del Reglamento InvestEU. Esta exclusión no es aplicable a:</w:t>
      </w:r>
    </w:p>
    <w:p w:rsidR="00F83F12" w:rsidRDefault="001C6219">
      <w:r>
        <w:t>a) proyectos en los que no exista una tecnología alternativa viable;</w:t>
      </w:r>
    </w:p>
    <w:p w:rsidR="00F83F12" w:rsidRDefault="001C6219">
      <w:r>
        <w:t>b) proyectos relacionados con la prevención y el control de la contaminación;</w:t>
      </w:r>
    </w:p>
    <w:p w:rsidR="00F83F12" w:rsidRDefault="001C6219">
      <w:r>
        <w:t>C) proyectos equipados con instalaciones de captura y almacenamiento o de captura y utilización de carbono; proyectos industriales o de investigación que den lugar a reducciones sustanciales de las emisiones de gases de efecto invernadero en comparación con los parámetros de referencia aplicables del régimen de comercio de derechos de emisión de la UE.</w:t>
      </w:r>
    </w:p>
    <w:p w:rsidR="00F83F12" w:rsidRDefault="001C6219">
      <w:r>
        <w:t>Cualquiera de las inversiones contempladas en las letras a) a c), que serían subvencionables en el marco de InvestEU, debe ser compatible con las políticas de préstamo de los socios ejecutantes.</w:t>
      </w:r>
    </w:p>
    <w:p w:rsidR="00F83F12" w:rsidRDefault="00F83F12"/>
    <w:p w:rsidR="00F83F12" w:rsidRDefault="001C6219">
      <w:pPr>
        <w:pStyle w:val="P68B1DB1-Normal4"/>
      </w:pPr>
      <w:r>
        <w:t>Ad 1.2.</w:t>
      </w:r>
    </w:p>
    <w:p w:rsidR="00F83F12" w:rsidRDefault="001C6219">
      <w:r>
        <w:t>De conformidad con el artículo 8, apartado 1, del Reglamento del FTJ, este solo debe apoyar actividades directamente relacionadas con su objetivo específico establecido en el artículo 2 del FTJ, que consiste en abordar los efectos de la transición hacia los objetivos de la Unión para 2030 en materia de energía y clima y una economía climáticamente neutra de aquí a 2050. El FTJ también debe apoyar actividades que no causen un perjuicio significativo a los objetivos medioambientales en consonancia con el artículo 9, apartado 4, del RDC y que garanticen la transición hacia una economía hipocarbónica en el camino hacia la neutralidad climática a más tardar en 2050.</w:t>
      </w:r>
    </w:p>
    <w:p w:rsidR="00F83F12" w:rsidRDefault="001C6219">
      <w:r>
        <w:t> Se necesitaría más información sobre el proyecto, su finalidad, su uso futuro y sus características técnicas para evaluar si una inversión en CUC cumple los requisitos mencionados. Dicha información también sería necesaria para examinar si la inversión en cuestión debe considerarse una inversión productiva en empresas distintas de las pymes y cómo clasificarla en la tipología de actividades subvencionables con arreglo al artículo 8, apartado 2, del FTJ. </w:t>
      </w:r>
    </w:p>
    <w:p w:rsidR="00F83F12" w:rsidRDefault="00F83F12"/>
    <w:p w:rsidR="00F83F12" w:rsidRDefault="001C6219">
      <w:pPr>
        <w:pStyle w:val="P68B1DB1-Normal4"/>
      </w:pPr>
      <w:r>
        <w:t> Pregunta 2 (incluidos los hechos e información pertinentes): </w:t>
      </w:r>
    </w:p>
    <w:p w:rsidR="00F83F12" w:rsidRDefault="001C6219">
      <w:r>
        <w:lastRenderedPageBreak/>
        <w:t>El esquisto bituminoso no solo se utiliza como combustible sólido para centrales térmicas, sino que también se produce a partir de él. El petróleo de esquisto se utiliza principalmente para la producción de gasóleo, pero también hay varios subproductos que constituyen un producto bruto valioso para la industria química.</w:t>
      </w:r>
    </w:p>
    <w:p w:rsidR="00F83F12" w:rsidRDefault="001C6219">
      <w:r>
        <w:t>¿Se permitirían las inversiones relacionadas con la extracción y el uso de estos subproductos o las inversiones relacionadas con el uso de cenizas de esquisto bituminoso del FTJ o se considerarían también inversiones relacionadas con la producción, la transformación, la distribución, el almacenamiento o la combustión de combustibles fósiles y, por tanto, quedarían excluidas del ámbito de aplicación? ¿Pueden estas inversiones recibir apoyo del segundo pilar en el marco de InvestEU?</w:t>
      </w:r>
    </w:p>
    <w:p w:rsidR="00F83F12" w:rsidRDefault="001C6219">
      <w:pPr>
        <w:pStyle w:val="P68B1DB1-Normal4"/>
      </w:pPr>
      <w:r>
        <w:t>Respuesta.</w:t>
      </w:r>
    </w:p>
    <w:p w:rsidR="00F83F12" w:rsidRDefault="001C6219">
      <w:r>
        <w:t> La producción de subproductos del petróleo de esquisto es técnicamente inseparable de la producción y extracción de esquisto bituminoso, que representan una fuente importante de emisiones de GEI. El artículo 9, letra d), del Reglamento del FTJ prohíbe las ayudas relacionadas con la producción, la transformación, el transporte, la distribución, el almacenamiento o la combustión de combustibles fósiles. Así pues, las inversiones relacionadas con la extracción y el uso de estos subproductos o las inversiones relacionadas con el uso de cenizas de esquisto bituminoso tampoco son subvencionables.</w:t>
      </w:r>
    </w:p>
    <w:p w:rsidR="00F83F12" w:rsidRDefault="001C6219">
      <w:r>
        <w:t> En principio, las inversiones relacionadas con la minería o con la extracción, el procesamiento, la distribución, el almacenamiento o la combustión de combustibles fósiles sólidos y petróleo, así como las inversiones relacionadas con la extracción de gas, tampoco reciben apoyo en el marco del pilar II de InvestEU (desplegado en el marco del programa InvestEU) de conformidad con el anexo 5 (B) (12) del Reglamento InvestEU. Esta exclusión no se aplicará a los siguientes casos:</w:t>
      </w:r>
    </w:p>
    <w:p w:rsidR="00F83F12" w:rsidRDefault="001C6219">
      <w:r>
        <w:t>a) proyectos en los que no exista una tecnología alternativa viable;</w:t>
      </w:r>
    </w:p>
    <w:p w:rsidR="00F83F12" w:rsidRDefault="001C6219">
      <w:r>
        <w:t>b) proyectos relacionados con la prevención y el control de la contaminación;</w:t>
      </w:r>
    </w:p>
    <w:p w:rsidR="00F83F12" w:rsidRDefault="001C6219">
      <w:r>
        <w:t>C) proyectos equipados con instalaciones de captura y almacenamiento o de captura y utilización de carbono; proyectos industriales o de investigación que den lugar a reducciones sustanciales de las emisiones de gases de efecto invernadero en comparación con los parámetros de referencia aplicables del régimen de comercio de derechos de emisión de la UE».</w:t>
      </w:r>
    </w:p>
    <w:p w:rsidR="00F83F12" w:rsidRDefault="001C6219">
      <w:r>
        <w:t> Cualquiera de las inversiones contempladas en las letras a) a c) que serían subvencionables en el marco de InvestEU debe ser compatible con las políticas de préstamo de los socios ejecutantes.</w:t>
      </w:r>
    </w:p>
    <w:p w:rsidR="00F83F12" w:rsidRDefault="00F83F12"/>
    <w:p w:rsidR="00F83F12" w:rsidRDefault="00F83F12"/>
    <w:p w:rsidR="00F83F12" w:rsidRDefault="001C6219">
      <w:pPr>
        <w:pStyle w:val="P68B1DB1-Normal4"/>
      </w:pPr>
      <w:r>
        <w:t>Pregunta 3 (incluidos los hechos y la información pertinentes):</w:t>
      </w:r>
    </w:p>
    <w:p w:rsidR="00F83F12" w:rsidRDefault="001C6219">
      <w:r>
        <w:t xml:space="preserve">Las inversiones en movilidad local inteligente y sostenible entran en el ámbito de aplicación del FTJ. En el caso de Estonia, ¿serían subvencionables las inversiones en conexiones ferroviarias de Narva a Tallin a lo largo de toda la ruta de Tallin a Narva o </w:t>
      </w:r>
      <w:r>
        <w:lastRenderedPageBreak/>
        <w:t>deberían limitarse a los territorios específicos más perjudicados por el proceso de transición?</w:t>
      </w:r>
    </w:p>
    <w:p w:rsidR="00F83F12" w:rsidRDefault="001C6219">
      <w:pPr>
        <w:pStyle w:val="P68B1DB1-Normal4"/>
      </w:pPr>
      <w:r>
        <w:t>Respuesta.</w:t>
      </w:r>
    </w:p>
    <w:p w:rsidR="00F83F12" w:rsidRDefault="001C6219">
      <w:r>
        <w:t>Sobre la base del artículo 2, el objetivo del FTJ es abordar los costes económicos, sociales y medioambientales de la transición hacia los objetivos de la Unión para 2030 en materia de energía y clima y neutralidad climática de aquí a 2050.</w:t>
      </w:r>
    </w:p>
    <w:p w:rsidR="00F83F12" w:rsidRDefault="001C6219">
      <w:r>
        <w:t>Las inversiones para mejorar el transporte local a fin de mejorar la accesibilidad pueden considerarse subvencionables en el marco del FTJ si se demuestra que contribuye a aliviar los costes sociales y económicos provocados por la transición (por ejemplo, en Ida-Virumaa).</w:t>
      </w:r>
    </w:p>
    <w:p w:rsidR="00F83F12" w:rsidRDefault="001C6219">
      <w:r>
        <w:t>Además, de conformidad con el artículo 8, apartado 2, el FTJ solo puede apoyar inversiones en movilidad local inteligente y sostenible. Debido a su escala y objetivos, este ferrocarril no puede considerarse una inversión en movilidad local.</w:t>
      </w:r>
    </w:p>
    <w:p w:rsidR="00F83F12" w:rsidRDefault="00F83F12"/>
    <w:p w:rsidR="00F83F12" w:rsidRDefault="001C6219">
      <w:pPr>
        <w:pStyle w:val="P68B1DB1-Normal4"/>
      </w:pPr>
      <w:r>
        <w:t>Pregunta 4 (incluidos los hechos y la información pertinentes):</w:t>
      </w:r>
    </w:p>
    <w:p w:rsidR="00F83F12" w:rsidRDefault="001C6219">
      <w:r>
        <w:t>¿Qué tipo de actividades pueden apoyarse como actividades de inclusión social [artículo 8, apartado 2, letra o), otras actividades en los ámbitos de la educación y la inclusión social (...) indicadas en los planes territoriales de transición justa de conformidad con el artículo 11 del FTJ]? En el caso de Estonia, Ida-Virumaa será una de las regiones más afectadas por los cambios de población (envejecimiento y disminución) y el condado de Ida-Viru tenía una esperanza de vida inferior en 10 años en comparación con el resto de Estonia. ¿Serían subvencionables las inversiones en infraestructuras de asistencia sanitaria e infraestructuras de servicios sociales como parte de las actividades de inclusión social del FTJ? En el caso de la educación, ¿serían subvencionables las inversiones en infraestructuras de educación primaria y general?</w:t>
      </w:r>
    </w:p>
    <w:p w:rsidR="00F83F12" w:rsidRDefault="001C6219">
      <w:r>
        <w:t> </w:t>
      </w:r>
      <w:r>
        <w:rPr>
          <w:b/>
        </w:rPr>
        <w:t>Respuesta.</w:t>
      </w:r>
    </w:p>
    <w:p w:rsidR="00F83F12" w:rsidRDefault="001C6219">
      <w:r>
        <w:t>De conformidad con el artículo 8, apartado 2, letra o), (Ámbito de aplicación de la ayuda) del FTJ, podrían apoyarse las actividades en los ámbitos de la educación y la inclusión social, incluidas, cuando esté debidamente justificado, las infraestructuras destinadas a los centros de atención infantil y de edad avanzada. Esta disposición no incluye las infraestructuras sanitarias.</w:t>
      </w:r>
    </w:p>
    <w:p w:rsidR="00F83F12" w:rsidRDefault="001C6219">
      <w:r>
        <w:t> Sin embargo, el apoyo a dichas instalaciones debe justificarse por su capacidad para aliviar los costes sociales y económicos derivados de la transición climática. Si las tendencias del envejecimiento y la despoblación son estructurales y no pueden ser directamente imputables a las fases de transición que afectan a Ida-Virumaa, estas instalaciones podrían recibir más bien apoyo en el marco del FEDER.</w:t>
      </w:r>
    </w:p>
    <w:p w:rsidR="00F83F12" w:rsidRDefault="00F83F12"/>
    <w:p w:rsidR="00F83F12" w:rsidRDefault="001C6219">
      <w:pPr>
        <w:pStyle w:val="P68B1DB1-Normal4"/>
      </w:pPr>
      <w:r>
        <w:t>Pregunta 5 (incluidos los hechos y la información pertinentes):</w:t>
      </w:r>
    </w:p>
    <w:p w:rsidR="00F83F12" w:rsidRDefault="001C6219">
      <w:r>
        <w:t xml:space="preserve">En InvestEU, se requiere una contribución financiera de un socio ejecutante en forma de capacidad propia de asunción de riesgos que se proporcione sobre una base pari passu con la garantía de la UE o de otra forma que permita una ejecución eficiente del Programa InvestEU, garantizando al mismo tiempo una adecuada armonización de los </w:t>
      </w:r>
      <w:r>
        <w:lastRenderedPageBreak/>
        <w:t>intereses. En el caso del régimen de transición justa en el marco de InvestEU, ¿está permitido utilizar la financiación del FTJ como contribución financiera de la entidad gestora asociada?</w:t>
      </w:r>
    </w:p>
    <w:p w:rsidR="00F83F12" w:rsidRDefault="001C6219">
      <w:pPr>
        <w:pStyle w:val="P68B1DB1-Normal4"/>
      </w:pPr>
      <w:r>
        <w:t>Respuesta.</w:t>
      </w:r>
    </w:p>
    <w:p w:rsidR="00F83F12" w:rsidRDefault="001C6219">
      <w:r>
        <w:t>En el marco de InvestEU, los socios ejecutantes deben proporcionar sus propios recursos y bajo su propio riesgo. La financiación de la UE en el marco de la garantía InvestEU no puede utilizarse para garantizar otra fuente de financiación de la UE (es decir, el FTJ).</w:t>
      </w:r>
    </w:p>
    <w:p w:rsidR="00F83F12" w:rsidRDefault="00F83F12"/>
    <w:p w:rsidR="00F83F12" w:rsidRDefault="00F83F12"/>
    <w:p w:rsidR="00F83F12" w:rsidRDefault="001C6219">
      <w:pPr>
        <w:pStyle w:val="Ttulo1"/>
      </w:pPr>
      <w:bookmarkStart w:id="77" w:name="scroll-bookmark-77"/>
      <w:bookmarkStart w:id="78" w:name="scroll-bookmark-78"/>
      <w:bookmarkEnd w:id="77"/>
      <w:r>
        <w:t>QA00040 — Presentación de programas</w:t>
      </w:r>
      <w:bookmarkEnd w:id="78"/>
    </w:p>
    <w:p w:rsidR="00F83F12" w:rsidRDefault="001C6219">
      <w:r>
        <w:rPr>
          <w:noProof/>
          <w:lang w:val="es-ES"/>
        </w:rPr>
        <w:drawing>
          <wp:inline distT="0" distB="0" distL="0" distR="0" wp14:anchorId="1300A77D" wp14:editId="1B2631D9">
            <wp:extent cx="152435" cy="152435"/>
            <wp:effectExtent l="0" t="0" r="0" b="0"/>
            <wp:docPr id="100154" name="Imagen 10015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21 del RDC</w:t>
      </w:r>
    </w:p>
    <w:p w:rsidR="00F83F12" w:rsidRDefault="001C6219">
      <w:r>
        <w:rPr>
          <w:noProof/>
          <w:lang w:val="es-ES"/>
        </w:rPr>
        <w:drawing>
          <wp:inline distT="0" distB="0" distL="0" distR="0" wp14:anchorId="235309C9" wp14:editId="43AB39AA">
            <wp:extent cx="152435" cy="152435"/>
            <wp:effectExtent l="0" t="0" r="0" b="0"/>
            <wp:docPr id="100156" name="Imagen 10015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t>Pregunta 1 (incluidos los hechos e información pertinentes):</w:t>
      </w:r>
    </w:p>
    <w:p w:rsidR="00F83F12" w:rsidRDefault="001C6219">
      <w:r>
        <w:t>El OP está casi listo para su presentación en otoño de 2021. Sin embargo, existe la posibilidad de que el programa FEMPA no esté listo para su presentación formal en un plazo de 3 meses a partir de la presentación de la AP, tal como se establece en el artículo 21, apartado 2, del RDC. La AG de PL se pregunta si la presentación de un programa del FEMPA informal a través del SFC2021 o el SFC2014 podría cumplir lo dispuesto en el artículo 21, apartado 2, del RDC.</w:t>
      </w:r>
    </w:p>
    <w:p w:rsidR="00F83F12" w:rsidRDefault="00F83F12"/>
    <w:p w:rsidR="00F83F12" w:rsidRDefault="001C6219">
      <w:pPr>
        <w:pStyle w:val="P68B1DB1-Normal4"/>
      </w:pPr>
      <w:r>
        <w:t>Respuesta.</w:t>
      </w:r>
    </w:p>
    <w:p w:rsidR="00F83F12" w:rsidRDefault="001C6219">
      <w:r>
        <w:t>Solo puede decirse que la presentación formal del programa FEMPA a través del SFC2021 cumple lo dispuesto en el artículo 21, apartado 2, del RDC.</w:t>
      </w:r>
    </w:p>
    <w:p w:rsidR="00F83F12" w:rsidRDefault="001C6219">
      <w:r>
        <w:t>La autoridad de gestión debe adoptar todas las medidas posibles para respetar el plazo establecido en el artículo 21, apartado 2, del RDC, presentando la versión más madura posible del programa en esa fase.  A continuación, la Comisión evaluará el programa presentado.  La naturaleza y el alcance de sus observaciones dependerán de la exhaustividad y la calidad del programa.</w:t>
      </w:r>
    </w:p>
    <w:p w:rsidR="00F83F12" w:rsidRDefault="00F83F12"/>
    <w:p w:rsidR="00F83F12" w:rsidRDefault="00F83F12"/>
    <w:p w:rsidR="00F83F12" w:rsidRDefault="00F83F12"/>
    <w:p w:rsidR="00F83F12" w:rsidRDefault="001C6219">
      <w:pPr>
        <w:pStyle w:val="Ttulo1"/>
      </w:pPr>
      <w:bookmarkStart w:id="79" w:name="scroll-bookmark-79"/>
      <w:bookmarkStart w:id="80" w:name="scroll-bookmark-80"/>
      <w:bookmarkEnd w:id="79"/>
      <w:r>
        <w:lastRenderedPageBreak/>
        <w:t>QA00041 — Disponibilidad de documentos y verificaciones de gestión y auditorías de instrumentos financieros</w:t>
      </w:r>
      <w:bookmarkEnd w:id="80"/>
    </w:p>
    <w:p w:rsidR="00F83F12" w:rsidRDefault="001C6219">
      <w:r>
        <w:rPr>
          <w:noProof/>
          <w:lang w:val="es-ES"/>
        </w:rPr>
        <w:drawing>
          <wp:inline distT="0" distB="0" distL="0" distR="0" wp14:anchorId="1ACFF9D7" wp14:editId="37B060BB">
            <wp:extent cx="152435" cy="152435"/>
            <wp:effectExtent l="0" t="0" r="0" b="0"/>
            <wp:docPr id="100158" name="Imagen 10015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81 y 82 del RDC </w:t>
      </w:r>
    </w:p>
    <w:p w:rsidR="00F83F12" w:rsidRDefault="001C6219">
      <w:r>
        <w:rPr>
          <w:noProof/>
          <w:lang w:val="es-ES"/>
        </w:rPr>
        <w:drawing>
          <wp:inline distT="0" distB="0" distL="0" distR="0" wp14:anchorId="047BC58C" wp14:editId="1B5636A5">
            <wp:extent cx="152435" cy="152435"/>
            <wp:effectExtent l="0" t="0" r="0" b="0"/>
            <wp:docPr id="100160" name="Imagen 10016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F83F12" w:rsidRDefault="00F83F12"/>
    <w:p w:rsidR="00F83F12" w:rsidRDefault="001C6219">
      <w:pPr>
        <w:pStyle w:val="P68B1DB1-Normal4"/>
      </w:pPr>
      <w:r>
        <w:br/>
        <w:t>Pregunta 1 (incluidos los hechos e información pertinentes):</w:t>
      </w:r>
    </w:p>
    <w:p w:rsidR="00F83F12" w:rsidRDefault="001C6219">
      <w:r>
        <w:t>Actualmente estamos preparando un acto nacional necesario para la aplicación del FEMPA. Entre otras cosas, debatimos las disposiciones del RDC relativas a la disponibilidad de documentos.</w:t>
      </w:r>
    </w:p>
    <w:p w:rsidR="00F83F12" w:rsidRDefault="001C6219">
      <w:r>
        <w:t>En mi opinión, el artículo 82, apartado 1, establece un requisito para las autorizaciones de comercialización no para los beneficiarios. Teniendo en cuenta que tenemos previsto digitalizar con el FEMPA, parece razonable que todos los documentos se conserven en formato digital en el sistema informático del OI. Me parece innecesario que todos los beneficiarios impriman sus solicitudes de ayuda y de pago, así como otros documentos presentados por vía electrónica a las autoridades.</w:t>
      </w:r>
    </w:p>
    <w:p w:rsidR="00F83F12" w:rsidRDefault="00F83F12"/>
    <w:p w:rsidR="00F83F12" w:rsidRDefault="001C6219">
      <w:r>
        <w:t>Si examino los elementos de la pista de auditoría del anexo XIII del RDC, también parece confirmar que estos datos ya están disponibles en el sistema informático ARIB.</w:t>
      </w:r>
    </w:p>
    <w:p w:rsidR="00F83F12" w:rsidRDefault="001C6219">
      <w:r>
        <w:t>En el artículo 81, apartado 4, del RDC existe una disposición específica de los ID, por lo que entiendo que las auditorías tampoco se llevarán a cabo a nivel de los beneficiarios finales.</w:t>
      </w:r>
    </w:p>
    <w:p w:rsidR="00F83F12" w:rsidRDefault="001C6219">
      <w:r>
        <w:t>¿Comparte esta interpretación de que si los documentos (tanto originales como copias firmadas digitalmente) relacionados con una operación están disponibles a nivel de AG/OI, no es necesario establecer el requisito de que los beneficiarios los conserven?</w:t>
      </w:r>
    </w:p>
    <w:p w:rsidR="00F83F12" w:rsidRDefault="00F83F12"/>
    <w:p w:rsidR="00F83F12" w:rsidRDefault="001C6219">
      <w:pPr>
        <w:pStyle w:val="P68B1DB1-Normal4"/>
      </w:pPr>
      <w:r>
        <w:t>Respuesta.</w:t>
      </w:r>
    </w:p>
    <w:p w:rsidR="00F83F12" w:rsidRDefault="00F83F12"/>
    <w:p w:rsidR="00F83F12" w:rsidRDefault="001C6219">
      <w:r>
        <w:rPr>
          <w:b/>
          <w:u w:val="single"/>
        </w:rPr>
        <w:t>Disponibilidad de documentos</w:t>
      </w:r>
      <w:r>
        <w:t>:  El artículo 82 del Reglamento RDC 2021-2027 impone a la autoridad de gestión la obligación de garantizar que todos los documentos justificativos relacionados con una operación apoyada por los Fondos se conserven al nivel adecuado durante un período de 5 años a partir del 31 de diciembre del año en que se efectúe el último pago de la autoridad de gestión al beneficiario. La aplicación de esta disposición es plenamente responsabilidad de la autoridad de gestión. En este contexto, la autoridad de gestión debe garantizar que los agentes pertinentes estén informados de la necesidad de conservar los documentos a su nivel o no.</w:t>
      </w:r>
    </w:p>
    <w:p w:rsidR="00F83F12" w:rsidRDefault="001C6219">
      <w:r>
        <w:t>A efectos de auditoría, la autoridad de gestión es responsable de garantizar la disponibilidad de todos los documentos necesarios (en papel o en formato digital) al nivel adecuado. En este sentido, los documentos pueden conservarse a nivel del beneficiario o del organismo intermedio o autoridad de gestión. </w:t>
      </w:r>
    </w:p>
    <w:p w:rsidR="00F83F12" w:rsidRDefault="001C6219">
      <w:r>
        <w:rPr>
          <w:b/>
          <w:u w:val="single"/>
        </w:rPr>
        <w:lastRenderedPageBreak/>
        <w:t>Instrumentos financieros</w:t>
      </w:r>
      <w:r>
        <w:t>: En cuanto a la segunda cuestión, el artículo 81 del RDC 2021-2027 establece que las auditorías llevadas a cabo por la autoridad de gestión, o por los organismos responsables de la auditoría de los programas, se realizan a nivel de los organismos que ejecutan los instrumentos financieros, de los organismos que entregan los nuevos préstamos subyacentes (en el contexto de los fondos de garantía) o de la autoridad de gestión. El Reglamento no prevé excepciones para circunstancias excepcionales para llevar a cabo la auditoría a nivel del destinatario final, como es el caso en el RDC 2014-2020.</w:t>
      </w:r>
    </w:p>
    <w:p w:rsidR="00F83F12" w:rsidRDefault="001C6219">
      <w:r>
        <w:t>El apartado 4 del artículo 81 restringe aún más las circunstancias en las que la auditoría puede llevarse a cabo al nivel del organismo que concede el préstamo subyacente, es decir, cuando los documentos no están disponibles a nivel de la autoridad de gestión o de los organismos que ejecutan el instrumento financiero, o existen pruebas de que los documentos a su nivel no representan un registro veraz y exacto de la ayuda prestada.</w:t>
      </w:r>
    </w:p>
    <w:p w:rsidR="00F83F12" w:rsidRDefault="00F83F12"/>
    <w:p w:rsidR="00F83F12" w:rsidRDefault="00F83F12"/>
    <w:p w:rsidR="00F83F12" w:rsidRDefault="001C6219">
      <w:pPr>
        <w:pStyle w:val="Ttulo1"/>
      </w:pPr>
      <w:bookmarkStart w:id="81" w:name="scroll-bookmark-81"/>
      <w:bookmarkStart w:id="82" w:name="scroll-bookmark-82"/>
      <w:bookmarkEnd w:id="81"/>
      <w:r>
        <w:t>QA00042 — Tipo a tanto alzado para los costes directos e indirectos</w:t>
      </w:r>
      <w:bookmarkEnd w:id="82"/>
    </w:p>
    <w:p w:rsidR="00F83F12" w:rsidRDefault="001C6219">
      <w:r>
        <w:rPr>
          <w:noProof/>
          <w:lang w:val="es-ES"/>
        </w:rPr>
        <w:drawing>
          <wp:inline distT="0" distB="0" distL="0" distR="0" wp14:anchorId="557B26EA" wp14:editId="7090CA14">
            <wp:extent cx="152435" cy="152435"/>
            <wp:effectExtent l="0" t="0" r="0" b="0"/>
            <wp:docPr id="100162" name="Imagen 10016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54 y 56 del RDC </w:t>
      </w:r>
    </w:p>
    <w:p w:rsidR="00F83F12" w:rsidRDefault="001C6219">
      <w:r>
        <w:rPr>
          <w:noProof/>
          <w:lang w:val="es-ES"/>
        </w:rPr>
        <w:drawing>
          <wp:inline distT="0" distB="0" distL="0" distR="0" wp14:anchorId="7DA550C1" wp14:editId="4A18071B">
            <wp:extent cx="152435" cy="152435"/>
            <wp:effectExtent l="0" t="0" r="0" b="0"/>
            <wp:docPr id="100164" name="Imagen 10016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EN</w:t>
      </w:r>
    </w:p>
    <w:p w:rsidR="00F83F12" w:rsidRDefault="00F83F12"/>
    <w:p w:rsidR="00F83F12" w:rsidRDefault="001C6219">
      <w:pPr>
        <w:pStyle w:val="P68B1DB1-Normal4"/>
      </w:pPr>
      <w:r>
        <w:t>Pregunta 1 (incluidos los hechos e información pertinentes):</w:t>
      </w:r>
    </w:p>
    <w:p w:rsidR="00F83F12" w:rsidRDefault="001C6219">
      <w:pPr>
        <w:numPr>
          <w:ilvl w:val="0"/>
          <w:numId w:val="20"/>
        </w:numPr>
      </w:pPr>
      <w:r>
        <w:t xml:space="preserve">Cómo debe entenderse la disposición del artículo 56, apartado 1, del RDC, según </w:t>
      </w:r>
      <w:r>
        <w:rPr>
          <w:i/>
        </w:rPr>
        <w:t>la cual «podrá utilizarse un tipo fijo de hasta el 40 % de los costes directos de personal subvencionables para cubrir el resto de los costes subvencionables de una</w:t>
      </w:r>
      <w:r>
        <w:t xml:space="preserve"> operación». ¿Son los costes restantes simplemente todos los costes restantes del proyecto, excepto los costes de personal o cómo debe entenderse?</w:t>
      </w:r>
    </w:p>
    <w:p w:rsidR="00F83F12" w:rsidRDefault="001C6219">
      <w:pPr>
        <w:numPr>
          <w:ilvl w:val="0"/>
          <w:numId w:val="20"/>
        </w:numPr>
      </w:pPr>
      <w:r>
        <w:t>Además, se plantea la cuestión de si las disposiciones del artículo 56 del RDC pueden combinarse con la disposición del artículo 54 del RDC «Tipos a tanto alzado para los costes indirectos relativos a las subvenciones», es decir, si un Estado miembro puede aplicar ambas disposiciones a un proyecto al mismo tiempo?</w:t>
      </w:r>
    </w:p>
    <w:p w:rsidR="00F83F12" w:rsidRDefault="001C6219">
      <w:pPr>
        <w:numPr>
          <w:ilvl w:val="0"/>
          <w:numId w:val="20"/>
        </w:numPr>
      </w:pPr>
      <w:r>
        <w:t>Si el artículo 56 del RDC puede combinarse con el artículo 54 del RDC, ¿significa esto que el tipo fijo para los costes indirectos forma parte del gasto cubierto por el máximo del 40 % de los costes directos de personal o puede tratarse de un gasto subvencionable que se añade a los costes directos de personal + el tipo fijo de un máximo del 40 % de los costes directos de personal subvencionables (el total de los costes subvencionables sería entonces: costes directos de personal + 40 % del personal directo + tipo fijo para los costes indirectos)?</w:t>
      </w:r>
    </w:p>
    <w:p w:rsidR="00F83F12" w:rsidRDefault="001C6219">
      <w:pPr>
        <w:pStyle w:val="P68B1DB1-Normal4"/>
      </w:pPr>
      <w:r>
        <w:t>Respuesta.</w:t>
      </w:r>
    </w:p>
    <w:p w:rsidR="00F83F12" w:rsidRDefault="001C6219">
      <w:r>
        <w:lastRenderedPageBreak/>
        <w:t>(1) Sí. El 40 % cubriría todos los costes restantes de una operación determinada.</w:t>
      </w:r>
    </w:p>
    <w:p w:rsidR="00F83F12" w:rsidRDefault="001C6219">
      <w:r>
        <w:t>La autoridad de gestión podrá aplicar este tipo fijo a los tipos de operaciones que requieran las tres categorías de costes siguientes: costes directos de personal, otros costes directos y costes indirectos. Comprobará ex ante si se cumple esta condición para el tipo o tipos de operación respectivos.</w:t>
      </w:r>
    </w:p>
    <w:p w:rsidR="00F83F12" w:rsidRDefault="001C6219">
      <w:r>
        <w:t>A continuación, las auditorías verificarán si la metodología se ha establecido correctamente; es decir, que las tres categorías de costes existen, cumplen los requisitos de subvencionabilidad (del programa y del RDC) y son pertinentes para el tipo o tipos de operación respectivos.</w:t>
      </w:r>
    </w:p>
    <w:p w:rsidR="00F83F12" w:rsidRDefault="001C6219">
      <w:r>
        <w:t>Las auditorías comprobarán los «costes de base» a los que se aplica el tipo fijo (es decir, los costes directos de personal de la operación) y el cálculo correcto del importe que se reembolsa sobre la base del tipo fijo. Sin embargo, no hay controles de los costes reales soportados por el beneficiario ni de los justificantes (financieros) conexos de los importes reembolsados sobre la base del tipo fijo.</w:t>
      </w:r>
    </w:p>
    <w:p w:rsidR="00F83F12" w:rsidRDefault="001C6219">
      <w:r>
        <w:t>En el caso de las operaciones que reciban ayuda del FEDER, el FSE +, el FTJ, el FAMI, el FSI y el IGFV, los salarios e indemnizaciones abonados a los participantes tendrán la consideración de coste subvencionable adicional no incluido en el tipo fijo. Esto no es aplicable al FEMPA.</w:t>
      </w:r>
    </w:p>
    <w:p w:rsidR="00F83F12" w:rsidRDefault="001C6219">
      <w:r>
        <w:t>(2) No. Cuando el beneficiario aplique el tipo fijo del 40 % a los costes de personal, deberá cubrir los «costes restantes» del proyecto. Esto también incluiría los gastos generales.</w:t>
      </w:r>
    </w:p>
    <w:p w:rsidR="00F83F12" w:rsidRDefault="001C6219">
      <w:r>
        <w:t xml:space="preserve">(3) Esta cuestión es obsoleta, </w:t>
      </w:r>
      <w:r w:rsidR="002F3719">
        <w:t xml:space="preserve">ya que, </w:t>
      </w:r>
      <w:r>
        <w:t>los dos tipos fijos no pueden combinarse.</w:t>
      </w:r>
    </w:p>
    <w:p w:rsidR="00F83F12" w:rsidRDefault="00F83F12"/>
    <w:p w:rsidR="00F83F12" w:rsidRDefault="00F83F12"/>
    <w:p w:rsidR="00F83F12" w:rsidRDefault="00F83F12"/>
    <w:p w:rsidR="00F83F12" w:rsidRDefault="001C6219">
      <w:pPr>
        <w:pStyle w:val="Ttulo1"/>
      </w:pPr>
      <w:bookmarkStart w:id="83" w:name="scroll-bookmark-83"/>
      <w:bookmarkStart w:id="84" w:name="scroll-bookmark-84"/>
      <w:bookmarkEnd w:id="83"/>
      <w:r>
        <w:t>QA00043 — Pagos y verificaciones de la gestión en proyectos de APP</w:t>
      </w:r>
      <w:bookmarkEnd w:id="84"/>
    </w:p>
    <w:p w:rsidR="00F83F12" w:rsidRDefault="001C6219">
      <w:r>
        <w:rPr>
          <w:noProof/>
          <w:lang w:val="es-ES"/>
        </w:rPr>
        <w:drawing>
          <wp:inline distT="0" distB="0" distL="0" distR="0" wp14:anchorId="16D56E8D" wp14:editId="14FEE59A">
            <wp:extent cx="152435" cy="152435"/>
            <wp:effectExtent l="0" t="0" r="0" b="0"/>
            <wp:docPr id="100166" name="Imagen 10016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(39); Artículo 53, apartado 1 bis; Art. 63 (2), art. 74 (1) del RDC</w:t>
      </w:r>
    </w:p>
    <w:p w:rsidR="00F83F12" w:rsidRDefault="001C6219">
      <w:r>
        <w:rPr>
          <w:noProof/>
          <w:lang w:val="es-ES"/>
        </w:rPr>
        <w:drawing>
          <wp:inline distT="0" distB="0" distL="0" distR="0" wp14:anchorId="11BAF846" wp14:editId="4CD3592A">
            <wp:extent cx="152435" cy="152435"/>
            <wp:effectExtent l="0" t="0" r="0" b="0"/>
            <wp:docPr id="100168" name="Imagen 10016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t>Pregunta 1 (incluidos los hechos y la información pertinentes) — Pregunta de seguimiento del enfoque descrito a continuación:</w:t>
      </w:r>
    </w:p>
    <w:p w:rsidR="00F83F12" w:rsidRDefault="001C6219">
      <w:r>
        <w:t> ¿Pueden considerarse subvencionables los gastos efectuados por el socio privado durante el período de subvencionabilidad si los pagos de la cuenta de garantía bloqueada al socio privado se efectúan después del 31 de diciembre de 2029?</w:t>
      </w:r>
    </w:p>
    <w:p w:rsidR="00F83F12" w:rsidRDefault="00F83F12"/>
    <w:p w:rsidR="00F83F12" w:rsidRDefault="001C6219">
      <w:pPr>
        <w:pStyle w:val="P68B1DB1-Normal4"/>
      </w:pPr>
      <w:r>
        <w:lastRenderedPageBreak/>
        <w:t>Respuesta.</w:t>
      </w:r>
    </w:p>
    <w:p w:rsidR="00F83F12" w:rsidRDefault="001C6219">
      <w:r>
        <w:t>Los gastos efectuados por un beneficiario o un socio privado en una operación de APP solo pueden optar a una contribución de los Fondos de Cohesión si también se pagan durante el período de subvencionabilidad (del 1 de enero de 2021 al 31 de diciembre de 2029), conforme a lo dispuesto en el artículo 63, apartado 2, del RDC.</w:t>
      </w:r>
    </w:p>
    <w:p w:rsidR="00F83F12" w:rsidRDefault="001C6219">
      <w:r>
        <w:t> El acuerdo de APP establece las modalidades de pago y la determinación de los costes subvencionables (véase el considerando 46). Esto significa que los pagos al contratista (socio privado) por parte del promotor público (beneficiario) a través de la cuenta bloqueada pueden disociarse en gran medida de los costes de inversión reales soportados por el contratista privado. Por otra parte, el pago de los distintos plazos debe estar condicionado por la ejecución efectiva de las obras por el contratista, de conformidad con el calendario y las especificaciones técnicas del acuerdo de APP.</w:t>
      </w:r>
    </w:p>
    <w:p w:rsidR="00F83F12" w:rsidRDefault="001C6219">
      <w:r>
        <w:t> Los pagos efectuados en la cuenta deben referirse a los gastos efectuados por el socio privado durante el período de subvencionabilidad. De conformidad con el artículo 74, apartado 1, letra b), del RDC, el beneficiario debe recibir el importe adeudado en su totalidad y en un plazo máximo de 80 días a partir de la fecha de presentación de la solicitud de pago por el beneficiario, y esta condición se cumple si el importe relativo a los gastos efectuados se abona en la cuenta de garantía bloqueada. Esto se entiende sin perjuicio del calendario de pagos de las cuentas de garantía bloqueada, que seguirían el calendario y las condiciones acordadas en el acuerdo de APP y podrían verse afectados después del período de subvencionabilidad.</w:t>
      </w:r>
    </w:p>
    <w:p w:rsidR="00F83F12" w:rsidRDefault="001C6219">
      <w:r>
        <w:t> En cualquier caso, la definición de cuenta bloqueada que figura en el artículo 2, apartado 39, tiene simplemente por objeto describir el verdadero funcionamiento de dichas cuentas, liberando pagos a socios privados a lo largo de la duración de los proyectos de APP, independientemente del período de subvencionabilidad. Esta definición no puede impedir la aplicación de las disposiciones legales del artículo 63, apartado 2, que regulan la subvencionabilidad de los gastos.</w:t>
      </w:r>
    </w:p>
    <w:p w:rsidR="00F83F12" w:rsidRDefault="001C6219">
      <w:pPr>
        <w:pStyle w:val="P68B1DB1-Normal9"/>
      </w:pPr>
      <w:r>
        <w:t>Información INFORMATIVA (la pregunta original):</w:t>
      </w:r>
    </w:p>
    <w:p w:rsidR="00F83F12" w:rsidRDefault="00F83F12"/>
    <w:p w:rsidR="00F83F12" w:rsidRDefault="001C6219">
      <w:pPr>
        <w:pStyle w:val="P68B1DB1-Normal4"/>
      </w:pPr>
      <w:r>
        <w:t>Pregunta (incluidos los hechos y la información pertinentes):</w:t>
      </w:r>
    </w:p>
    <w:p w:rsidR="00F83F12" w:rsidRDefault="001C6219">
      <w:r>
        <w:t>Nos gustaría solicitar su confirmación de que nuestro enfoque descrito a continuación se ajusta al RDC.</w:t>
      </w:r>
    </w:p>
    <w:p w:rsidR="00F83F12" w:rsidRDefault="001C6219">
      <w:r>
        <w:t> Disposiciones de que se trata:</w:t>
      </w:r>
    </w:p>
    <w:p w:rsidR="00F83F12" w:rsidRDefault="001C6219">
      <w:r>
        <w:t> Artículo 2, punto 39:</w:t>
      </w:r>
    </w:p>
    <w:p w:rsidR="00F83F12" w:rsidRDefault="001C6219">
      <w:r>
        <w:t>«cuenta de garantía bloqueada»: en el caso de una operación de APP, una cuenta bancaria cubierta por un acuerdo escrito entre un organismo público beneficiario y un socio privado aprobado por la autoridad de gestión o un organismo intermedio utilizada para pagos durante o después del período de subvencionabilidad;</w:t>
      </w:r>
    </w:p>
    <w:p w:rsidR="00F83F12" w:rsidRDefault="001C6219">
      <w:pPr>
        <w:numPr>
          <w:ilvl w:val="0"/>
          <w:numId w:val="21"/>
        </w:numPr>
      </w:pPr>
      <w:r>
        <w:t>considerando 46 [añadido en referencia al artículo 53, apartado 1, letra a),]:</w:t>
      </w:r>
    </w:p>
    <w:p w:rsidR="00F83F12" w:rsidRDefault="001C6219">
      <w:r>
        <w:t xml:space="preserve">A fin de ofrecer la flexibilidad necesaria para la ejecución de las APP, el acuerdo de APP debe especificar cuándo se considera subvencionable el gasto, en particular en qué </w:t>
      </w:r>
      <w:r>
        <w:lastRenderedPageBreak/>
        <w:t>condiciones incurre el beneficiario o el socio privado de la APP, independientemente de quién lleve a cabo los pagos al ejecutar la operación de APP.</w:t>
      </w:r>
    </w:p>
    <w:p w:rsidR="00F83F12" w:rsidRDefault="001C6219">
      <w:pPr>
        <w:numPr>
          <w:ilvl w:val="0"/>
          <w:numId w:val="22"/>
        </w:numPr>
      </w:pPr>
      <w:r>
        <w:t>Artículo 51, letra b),</w:t>
      </w:r>
    </w:p>
    <w:p w:rsidR="00F83F12" w:rsidRDefault="001C6219">
      <w:r>
        <w:t>La contribución de la Unión podrá adoptar cualquiera de las modalidades siguientes:</w:t>
      </w:r>
    </w:p>
    <w:p w:rsidR="00F83F12" w:rsidRDefault="001C6219">
      <w:r>
        <w:t>b) reembolso de la ayuda prestada a los beneficiarios de conformidad con los capítulos II y III del presente título.</w:t>
      </w:r>
    </w:p>
    <w:p w:rsidR="00F83F12" w:rsidRDefault="001C6219">
      <w:pPr>
        <w:numPr>
          <w:ilvl w:val="0"/>
          <w:numId w:val="23"/>
        </w:numPr>
      </w:pPr>
      <w:r>
        <w:t>Artículo 53, apartado 1, letra a</w:t>
      </w:r>
      <w:r w:rsidR="00AE5EA0">
        <w:t>),</w:t>
      </w:r>
    </w:p>
    <w:p w:rsidR="00F83F12" w:rsidRDefault="001C6219">
      <w:r>
        <w:t>Las subvenciones concedidas por los Estados miembros a los beneficiarios podrán adoptar cualquiera de las modalidades siguientes:</w:t>
      </w:r>
    </w:p>
    <w:p w:rsidR="00F83F12" w:rsidRDefault="001C6219">
      <w:r>
        <w:t>a) reembolso de los costes subvencionables en los que haya incurrido realmente un beneficiario o el socio privado de las operaciones de APP y pagados en la ejecución de operaciones, contribuciones en especie y depreciación;</w:t>
      </w:r>
    </w:p>
    <w:p w:rsidR="00F83F12" w:rsidRDefault="001C6219">
      <w:pPr>
        <w:numPr>
          <w:ilvl w:val="0"/>
          <w:numId w:val="24"/>
        </w:numPr>
      </w:pPr>
      <w:r>
        <w:t>Artículo 63, apartado 2,</w:t>
      </w:r>
    </w:p>
    <w:p w:rsidR="00F83F12" w:rsidRDefault="001C6219">
      <w:r>
        <w:t>El gasto será elegible para una contribución de los Fondos si, en la ejecución de operaciones, el beneficiario o el socio privado de una operación de APP ha incurrido en él y lo ha abonado entre la fecha de presentación del programa a la Comisión, o a partir del 1 de enero de 2021 si esta fecha es anterior, y el 31 de diciembre de 2029.</w:t>
      </w:r>
    </w:p>
    <w:p w:rsidR="00F83F12" w:rsidRDefault="001C6219">
      <w:pPr>
        <w:numPr>
          <w:ilvl w:val="0"/>
          <w:numId w:val="25"/>
        </w:numPr>
      </w:pPr>
      <w:r>
        <w:t>Artículo 74</w:t>
      </w:r>
    </w:p>
    <w:p w:rsidR="00F83F12" w:rsidRDefault="001C6219">
      <w:r>
        <w:t>En caso de operaciones en el marco de asociaciones público-privadas, la autoridad de gestión hará los pagos en una cuenta de garantía bloqueada abierta a tal fin a nombre del beneficiario para su utilización de conformidad con el acuerdo de asociación público-privada.</w:t>
      </w:r>
    </w:p>
    <w:p w:rsidR="00F83F12" w:rsidRDefault="00F83F12"/>
    <w:p w:rsidR="00F83F12" w:rsidRDefault="001C6219">
      <w:pPr>
        <w:pStyle w:val="P68B1DB1-Normal4"/>
      </w:pPr>
      <w:r>
        <w:t>Descripción del enfoque propuesto:</w:t>
      </w:r>
    </w:p>
    <w:p w:rsidR="00F83F12" w:rsidRDefault="001C6219">
      <w:r>
        <w:t>De conformidad con las disposiciones antes mencionadas y con el fin de maximizar las ventajas del régimen de APP, tenemos previsto introducir un régimen de reembolso de los costes en las operaciones de APP del siguiente modo:</w:t>
      </w:r>
    </w:p>
    <w:p w:rsidR="00F83F12" w:rsidRDefault="001C6219">
      <w:r>
        <w:t>Etapa 1.</w:t>
      </w:r>
    </w:p>
    <w:p w:rsidR="00F83F12" w:rsidRDefault="001C6219">
      <w:r>
        <w:t>El beneficiario (un organismo de Derecho público) solicita a la autoridad de gestión (AG) un anticipo que cubra todos los costes del socio privado (de facto: el contratista) indicado en el acuerdo de asociación público-privada. El acuerdo de asociación público-privada será uno de los anexos del acuerdo de cofinanciación.</w:t>
      </w:r>
    </w:p>
    <w:p w:rsidR="00F83F12" w:rsidRDefault="00F83F12"/>
    <w:p w:rsidR="00F83F12" w:rsidRDefault="001C6219">
      <w:r>
        <w:t>Etapa 2.</w:t>
      </w:r>
    </w:p>
    <w:p w:rsidR="00F83F12" w:rsidRDefault="001C6219">
      <w:r>
        <w:t>La AG transfiere el anticipo a la cuenta de garantía bloqueada. El anticipo refleja todos los costes de inversión del proyecto, tal como se definen en el acuerdo de APP.</w:t>
      </w:r>
    </w:p>
    <w:p w:rsidR="00F83F12" w:rsidRDefault="00F83F12"/>
    <w:p w:rsidR="00F83F12" w:rsidRDefault="001C6219">
      <w:r>
        <w:t>Etapa 3.</w:t>
      </w:r>
    </w:p>
    <w:p w:rsidR="00F83F12" w:rsidRDefault="001C6219">
      <w:r>
        <w:lastRenderedPageBreak/>
        <w:t>El beneficiario transfiere los fondos de la cuenta bloqueada de conformidad con las disposiciones del acuerdo de APP. Atención: las transferencias de los fondos al socio privado podrán llevarse a cabo durante o después del período de subvencionabilidad, en función de las disposiciones previas establecidas en el acuerdo de asociación público-privada entre las partes contratantes (es decir, el beneficiario y el socio privado, tal como está regulado en el actual período de programación, concretamente en el artículo 64, apartados 1 a 3, del Reglamento (UE) n.º 1303/2013).</w:t>
      </w:r>
    </w:p>
    <w:p w:rsidR="00F83F12" w:rsidRDefault="00F83F12"/>
    <w:p w:rsidR="00F83F12" w:rsidRDefault="001C6219">
      <w:r>
        <w:t>Etapa 4.</w:t>
      </w:r>
    </w:p>
    <w:p w:rsidR="00F83F12" w:rsidRDefault="001C6219">
      <w:r>
        <w:t>Antes de que finalice el período de subvencionabilidad, la AG verifica si todas las obras que constituyeron la base del pago anticipado:</w:t>
      </w:r>
    </w:p>
    <w:p w:rsidR="00F83F12" w:rsidRDefault="001C6219">
      <w:r>
        <w:t>— se hayan completado efectivamente,</w:t>
      </w:r>
    </w:p>
    <w:p w:rsidR="00F83F12" w:rsidRDefault="001C6219">
      <w:r>
        <w:t>— se reflejan en la documentación técnica y 3</w:t>
      </w:r>
    </w:p>
    <w:p w:rsidR="00F83F12" w:rsidRDefault="001C6219">
      <w:r>
        <w:t>— se llevaron a cabo de conformidad con el acuerdo de CPP y la legislación aplicable.</w:t>
      </w:r>
    </w:p>
    <w:p w:rsidR="00F83F12" w:rsidRDefault="00F83F12"/>
    <w:p w:rsidR="00F83F12" w:rsidRDefault="001C6219">
      <w:r>
        <w:t>El proceso de verificación es análogo al conocido proceso de aprobación de las inversiones en construcción con arreglo a la legislación de construcción aplicable en los países de la UE.</w:t>
      </w:r>
    </w:p>
    <w:p w:rsidR="00F83F12" w:rsidRDefault="001C6219">
      <w:r>
        <w:t>La AG verificará la finalización de las obras principalmente sobre la base de la documentación técnica de la inversión, pero también realizará controles sobre el terreno. (Antes de que la AG realice la verificación, la documentación va a ser aprobada y firmada por las entidades obligadas por la ley de construcción, por ejemplo, inspector de construcción, director de construcción o jefe de ingeniería).</w:t>
      </w:r>
    </w:p>
    <w:p w:rsidR="00F83F12" w:rsidRDefault="001C6219">
      <w:r>
        <w:t>Una verificación satisfactoria de las obras significa que se ha liquidado el pago anticipado a la entidad pública.</w:t>
      </w:r>
    </w:p>
    <w:p w:rsidR="00F83F12" w:rsidRDefault="00F83F12"/>
    <w:p w:rsidR="00F83F12" w:rsidRDefault="001C6219">
      <w:r>
        <w:t>En resumen, nuestras principales preocupaciones son las siguientes:</w:t>
      </w:r>
    </w:p>
    <w:p w:rsidR="00F83F12" w:rsidRDefault="00F83F12"/>
    <w:p w:rsidR="00F83F12" w:rsidRDefault="001C6219">
      <w:r>
        <w:t>1) ¿puede la AG pagar el anticipo al beneficiario (un organismo de Derecho público) que cubriría todos los costes de inversión definidos en el acuerdo de APP?</w:t>
      </w:r>
    </w:p>
    <w:p w:rsidR="00F83F12" w:rsidRDefault="001C6219">
      <w:r>
        <w:t>2) ¿puede reconocerse el pago anticipado como liquidado si la autoridad de gestión verifica positivamente las obras de inversión?</w:t>
      </w:r>
    </w:p>
    <w:p w:rsidR="00F83F12" w:rsidRDefault="001C6219">
      <w:r>
        <w:t>3) ¿puede certificarse el anticipo a la Comisión tan pronto como se deposite en la cuenta de garantía bloqueada (es decir, antes de que se hayan iniciado las obras de inversión y el socio privado haya incurrido en costes)?</w:t>
      </w:r>
    </w:p>
    <w:p w:rsidR="00F83F12" w:rsidRDefault="00F83F12"/>
    <w:p w:rsidR="00F83F12" w:rsidRDefault="001C6219">
      <w:pPr>
        <w:pStyle w:val="P68B1DB1-Normal4"/>
      </w:pPr>
      <w:r>
        <w:t>Respuesta.</w:t>
      </w:r>
    </w:p>
    <w:p w:rsidR="00F83F12" w:rsidRDefault="001C6219">
      <w:r>
        <w:t>La ejecución de las operaciones de APP se rige por varias disposiciones y principios:</w:t>
      </w:r>
    </w:p>
    <w:p w:rsidR="00F83F12" w:rsidRDefault="001C6219">
      <w:pPr>
        <w:numPr>
          <w:ilvl w:val="0"/>
          <w:numId w:val="26"/>
        </w:numPr>
      </w:pPr>
      <w:r>
        <w:t>La autoridad de gestión efectuará los pagos en una cuenta bloqueada;</w:t>
      </w:r>
    </w:p>
    <w:p w:rsidR="00F83F12" w:rsidRDefault="001C6219">
      <w:pPr>
        <w:numPr>
          <w:ilvl w:val="0"/>
          <w:numId w:val="26"/>
        </w:numPr>
      </w:pPr>
      <w:r>
        <w:lastRenderedPageBreak/>
        <w:t>El beneficiario es el organismo público que inicia una operación de APP o el socio privado seleccionado para su ejecución;</w:t>
      </w:r>
    </w:p>
    <w:p w:rsidR="00F83F12" w:rsidRDefault="001C6219">
      <w:pPr>
        <w:numPr>
          <w:ilvl w:val="0"/>
          <w:numId w:val="26"/>
        </w:numPr>
      </w:pPr>
      <w:r>
        <w:t>Los gastos correrán a cargo de un beneficiario o del socio privado de las operaciones de APP y se pagarán en la ejecución de las operaciones;</w:t>
      </w:r>
    </w:p>
    <w:p w:rsidR="00F83F12" w:rsidRDefault="001C6219">
      <w:pPr>
        <w:numPr>
          <w:ilvl w:val="0"/>
          <w:numId w:val="26"/>
        </w:numPr>
      </w:pPr>
      <w:r>
        <w:t>El acuerdo de APP debe especificar cuándo se considera subvencionable el gasto, en particular en qué condiciones corre a cargo del beneficiario o del socio privado de la APP, independientemente de quién lleve a cabo los pagos al ejecutar la operación de APP. Este principio se hace eco de las prácticas en la ejecución de las operaciones de APP, en virtud de las cuales el organismo público remunera al socio privado sobre la base de las disposiciones detalladas en el acuerdo de APP, incluso cuando estos pagos están disociados de los costes de inversión reales soportados por el socio privado, de conformidad con el riesgo de construcción asumido por este último. El acuerdo de asociación público-privada debe detallar, en particular, las condiciones vinculadas a los pagos efectuados por el organismo público al socio privado (sobre la calidad de las obras de construcción y el calendario de ejecución, en particular).</w:t>
      </w:r>
    </w:p>
    <w:p w:rsidR="00F83F12" w:rsidRDefault="001C6219">
      <w:r>
        <w:t>De lo anterior se desprende que deben seguirse los siguientes mecanismos, respondiendo a las cuestiones planteadas:</w:t>
      </w:r>
    </w:p>
    <w:p w:rsidR="00F83F12" w:rsidRDefault="001C6219">
      <w:r>
        <w:t>— No existe ninguna norma que limite la capacidad de la autoridad de gestión para proporcionar anticipos a los beneficiarios a efectos del flujo de tesorería. A este respecto, el importe total de la subvención puede abonarse al organismo público, como beneficiario, en la cuenta bloqueada;</w:t>
      </w:r>
    </w:p>
    <w:p w:rsidR="00F83F12" w:rsidRDefault="001C6219">
      <w:r>
        <w:t>— Este anticipo solo puede declararse a la Comisión para su reembolso si cumple las condiciones establecidas en el artículo 91, apartado 5, del RDC.</w:t>
      </w:r>
    </w:p>
    <w:p w:rsidR="00F83F12" w:rsidRDefault="001C6219">
      <w:r>
        <w:t>— En cualquier caso, los gastos efectuados por el beneficiario y los pagos efectuados por el beneficiario al socio privado para la ejecución de la operación, de conformidad con las disposiciones detalladas en el acuerdo de asociación público-privada y en el período comprendido entre el 1 de enero de 2021 y el 31 de diciembre de 2029, podrán considerarse gastos subvencionables y podrán ser declarados a la Comisión por la autoridad de gestión tras haber llevado a cabo las verificaciones necesarias previstas en el artículo 74 1, letra a), incisos i) y (2)), del RDC.</w:t>
      </w:r>
    </w:p>
    <w:p w:rsidR="00F83F12" w:rsidRDefault="001C6219">
      <w:r>
        <w:t>Como cualquier otra operación, la operación de APP debe ser seleccionada por la autoridad de gestión de conformidad con los requisitos del artículo 73 del RDC.</w:t>
      </w:r>
    </w:p>
    <w:p w:rsidR="00F83F12" w:rsidRDefault="00F83F12"/>
    <w:p w:rsidR="00F83F12" w:rsidRDefault="00F83F12"/>
    <w:p w:rsidR="00F83F12" w:rsidRDefault="001C6219">
      <w:pPr>
        <w:pStyle w:val="Ttulo1"/>
      </w:pPr>
      <w:bookmarkStart w:id="85" w:name="scroll-bookmark-85"/>
      <w:bookmarkStart w:id="86" w:name="scroll-bookmark-86"/>
      <w:bookmarkEnd w:id="85"/>
      <w:r>
        <w:t>QA00045 — Fecha de subvencionabilidad de las operaciones y de las acciones colaborativas</w:t>
      </w:r>
      <w:bookmarkEnd w:id="86"/>
    </w:p>
    <w:p w:rsidR="00F83F12" w:rsidRDefault="001C6219">
      <w:r>
        <w:rPr>
          <w:noProof/>
          <w:lang w:val="es-ES"/>
        </w:rPr>
        <w:drawing>
          <wp:inline distT="0" distB="0" distL="0" distR="0" wp14:anchorId="631081E3" wp14:editId="0B53D54F">
            <wp:extent cx="152435" cy="152435"/>
            <wp:effectExtent l="0" t="0" r="0" b="0"/>
            <wp:docPr id="100170" name="Imagen 10017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63, apartado 2, del Reglamento sobre disposiciones comunes. </w:t>
      </w:r>
    </w:p>
    <w:p w:rsidR="00F83F12" w:rsidRDefault="001C6219">
      <w:r>
        <w:rPr>
          <w:noProof/>
          <w:lang w:val="es-ES"/>
        </w:rPr>
        <w:lastRenderedPageBreak/>
        <w:drawing>
          <wp:inline distT="0" distB="0" distL="0" distR="0" wp14:anchorId="2A2AE422" wp14:editId="4A7EBB2D">
            <wp:extent cx="152435" cy="152435"/>
            <wp:effectExtent l="0" t="0" r="0" b="0"/>
            <wp:docPr id="100172" name="Imagen 10017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t>Pregunta 1 (incluidos los hechos e información pertinentes):</w:t>
      </w:r>
    </w:p>
    <w:p w:rsidR="00F83F12" w:rsidRDefault="001C6219">
      <w:r>
        <w:t xml:space="preserve">(1) Las autoridades nacionales francesas solicitan la confirmación de la Comisión de que el término «... en la ejecución de las operaciones» que figura en el artículo 63, apartado 2, del RDC se </w:t>
      </w:r>
      <w:r>
        <w:rPr>
          <w:b/>
          <w:u w:val="single"/>
        </w:rPr>
        <w:t>refiere</w:t>
      </w:r>
      <w:r>
        <w:t xml:space="preserve"> al pago de la operación y no a la fecha en que el beneficiario ha incurrido en </w:t>
      </w:r>
      <w:r w:rsidR="00AE5EA0">
        <w:t>la</w:t>
      </w:r>
      <w:r w:rsidR="00AE5EA0">
        <w:rPr>
          <w:b/>
          <w:u w:val="single"/>
        </w:rPr>
        <w:t xml:space="preserve"> operación</w:t>
      </w:r>
      <w:r>
        <w:t>(compromiso).</w:t>
      </w:r>
    </w:p>
    <w:p w:rsidR="00F83F12" w:rsidRDefault="001C6219">
      <w:r>
        <w:t>(2) Las autoridades</w:t>
      </w:r>
      <w:r>
        <w:rPr>
          <w:b/>
        </w:rPr>
        <w:t xml:space="preserve"> </w:t>
      </w:r>
      <w:r>
        <w:t>nacionales francesas solicitan a la Comisión que confirme que las disposiciones nacionales relativas a las «acciones de colaboración» se ajustan a la legislación de la UE.</w:t>
      </w:r>
    </w:p>
    <w:p w:rsidR="00F83F12" w:rsidRDefault="001C6219">
      <w:pPr>
        <w:pStyle w:val="P68B1DB1-Normal4"/>
      </w:pPr>
      <w:r>
        <w:t>Respuesta.</w:t>
      </w:r>
    </w:p>
    <w:p w:rsidR="00F83F12" w:rsidRDefault="001C6219">
      <w:pPr>
        <w:numPr>
          <w:ilvl w:val="0"/>
          <w:numId w:val="27"/>
        </w:numPr>
      </w:pPr>
      <w:r>
        <w:t>Como se indica en el artículo 63, apartado 2, del RDC, el calendario especificado para la subvencionabilidad de los gastos se refiere tanto a la realización de los gastos como a la fecha del pago. Así pues, para ser subvencionables, los gastos deben ser contraídos por los beneficiarios y pagados en la ejecución de las operaciones después de la presentación del programa o después del 1 de enero de 2021, si esta fecha es anterior.</w:t>
      </w:r>
    </w:p>
    <w:p w:rsidR="00F83F12" w:rsidRDefault="001C6219">
      <w:pPr>
        <w:numPr>
          <w:ilvl w:val="0"/>
          <w:numId w:val="27"/>
        </w:numPr>
      </w:pPr>
      <w:r>
        <w:t>Es responsabilidad de las autoridades nacionales comprobar que los reglamentos y normas nacionales adoptados adicionalmente o al aplicar el Derecho de la UE son conformes con el Derecho de la UE, incluidas las normas sobre ayudas estatales.     </w:t>
      </w:r>
    </w:p>
    <w:p w:rsidR="00F83F12" w:rsidRDefault="00F83F12"/>
    <w:p w:rsidR="00F83F12" w:rsidRDefault="00F83F12"/>
    <w:p w:rsidR="00F83F12" w:rsidRDefault="00F83F12"/>
    <w:p w:rsidR="00F83F12" w:rsidRDefault="001C6219">
      <w:pPr>
        <w:pStyle w:val="Ttulo1"/>
      </w:pPr>
      <w:bookmarkStart w:id="87" w:name="scroll-bookmark-87"/>
      <w:bookmarkStart w:id="88" w:name="scroll-bookmark-88"/>
      <w:bookmarkEnd w:id="87"/>
      <w:r>
        <w:t>QA00046 — Importes irrecuperables</w:t>
      </w:r>
      <w:bookmarkEnd w:id="88"/>
    </w:p>
    <w:p w:rsidR="00F83F12" w:rsidRDefault="001C6219">
      <w:r>
        <w:rPr>
          <w:noProof/>
          <w:lang w:val="es-ES"/>
        </w:rPr>
        <w:drawing>
          <wp:inline distT="0" distB="0" distL="0" distR="0" wp14:anchorId="7ADF8A7B" wp14:editId="6CD0886B">
            <wp:extent cx="152435" cy="152435"/>
            <wp:effectExtent l="0" t="0" r="0" b="0"/>
            <wp:docPr id="100174" name="Imagen 10017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98, apartado 3, del Reglamento sobre disposiciones comunes.</w:t>
      </w:r>
    </w:p>
    <w:p w:rsidR="00F83F12" w:rsidRDefault="001C6219">
      <w:r>
        <w:rPr>
          <w:noProof/>
          <w:lang w:val="es-ES"/>
        </w:rPr>
        <w:drawing>
          <wp:inline distT="0" distB="0" distL="0" distR="0" wp14:anchorId="170E54E7" wp14:editId="1BDBE847">
            <wp:extent cx="152435" cy="152435"/>
            <wp:effectExtent l="0" t="0" r="0" b="0"/>
            <wp:docPr id="100176" name="Imagen 10017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t>Pregunta 1 (incluidos los hechos e información pertinentes):</w:t>
      </w:r>
    </w:p>
    <w:p w:rsidR="00F83F12" w:rsidRDefault="001C6219">
      <w:r>
        <w:t>Los apéndices sobre recuperaciones, importes pendientes, importes irrecuperables y anticipos abonados en el contexto de las ayudas estatales en las cuentas desaparecerán para el período de programación 2021-2027. Así pues, las recuperaciones solo se contabilizarán utilizando el método de «retirada inmediata».</w:t>
      </w:r>
    </w:p>
    <w:p w:rsidR="00F83F12" w:rsidRDefault="001C6219">
      <w:r>
        <w:t>Entendemos que la obligación de recuperación solo está prevista en el RDC en dos casos específicos:</w:t>
      </w:r>
    </w:p>
    <w:p w:rsidR="00F83F12" w:rsidRDefault="001C6219">
      <w:pPr>
        <w:numPr>
          <w:ilvl w:val="0"/>
          <w:numId w:val="28"/>
        </w:numPr>
      </w:pPr>
      <w:r>
        <w:lastRenderedPageBreak/>
        <w:t>Operaciones sujetas al principio de durabilidad</w:t>
      </w:r>
    </w:p>
    <w:p w:rsidR="00F83F12" w:rsidRDefault="001C6219">
      <w:pPr>
        <w:numPr>
          <w:ilvl w:val="0"/>
          <w:numId w:val="28"/>
        </w:numPr>
      </w:pPr>
      <w:r>
        <w:t>Operaciones de ayuda estatal</w:t>
      </w:r>
    </w:p>
    <w:p w:rsidR="00F83F12" w:rsidRDefault="001C6219">
      <w:r>
        <w:t>Ambos contemplados en el artículo 65 del RDC.</w:t>
      </w:r>
    </w:p>
    <w:p w:rsidR="00F83F12" w:rsidRDefault="001C6219">
      <w:r>
        <w:t>¿Confirma la Comisión que se trata de los dos únicos casos? </w:t>
      </w:r>
    </w:p>
    <w:p w:rsidR="00F83F12" w:rsidRDefault="001C6219">
      <w:r>
        <w:t>En la parte de ejecución del SFC2021 (véanse los campos de importes irrecuperables en SFC2014), ¿serán declaradas por las autoridades de gestión a la Comisión las constataciones de irregularidades irrecuperables para el período de programación 2021-2027 [véase el Reglamento Delegado (UE) 2016/568]?</w:t>
      </w:r>
    </w:p>
    <w:p w:rsidR="00F83F12" w:rsidRDefault="00F83F12"/>
    <w:p w:rsidR="00F83F12" w:rsidRDefault="001C6219">
      <w:pPr>
        <w:pStyle w:val="P68B1DB1-Normal4"/>
      </w:pPr>
      <w:r>
        <w:t>Respuesta.</w:t>
      </w:r>
    </w:p>
    <w:p w:rsidR="00F83F12" w:rsidRDefault="001C6219">
      <w:r>
        <w:t>Téngase en cuenta que existe un apéndice para los anticipos pagados en el contexto de las ayudas estatales — Apéndice 7 del anexo XXIV.  La recuperación de fondos es responsabilidad de los Estados miembros en todos los casos.  Ya no existe un modelo de información sobre este asunto.</w:t>
      </w:r>
    </w:p>
    <w:p w:rsidR="00F83F12" w:rsidRDefault="001C6219">
      <w:r>
        <w:t>La Comisión solo está preocupada por las retiradas de importes, de conformidad con los artículos 98 (3) (b), 98 (6) y 98 (7) del RDC, incluidas las relacionadas con los gastos irregulares relacionados con el artículo 65, apartado 1, y el artículo 65 (2) del RDC o con el reembolso de dichos importes de conformidad con el artículo 88 del RDC.</w:t>
      </w:r>
    </w:p>
    <w:p w:rsidR="00F83F12" w:rsidRDefault="00F83F12"/>
    <w:p w:rsidR="00F83F12" w:rsidRDefault="001C6219">
      <w:r>
        <w:t xml:space="preserve">En cuanto a la segunda pregunta, la respuesta es negativa, los importes irrecuperables no pueden consignarse en SFC2021, ni siquiera en las cuentas, </w:t>
      </w:r>
      <w:r w:rsidR="002F3719">
        <w:t xml:space="preserve">ya que, </w:t>
      </w:r>
      <w:r>
        <w:t>no existe un campo específico para ello.</w:t>
      </w:r>
    </w:p>
    <w:p w:rsidR="00F83F12" w:rsidRDefault="00F83F12"/>
    <w:p w:rsidR="00F83F12" w:rsidRDefault="00F83F12"/>
    <w:p w:rsidR="00F83F12" w:rsidRDefault="00F83F12"/>
    <w:p w:rsidR="00F83F12" w:rsidRDefault="00F83F12"/>
    <w:p w:rsidR="00F83F12" w:rsidRDefault="001C6219">
      <w:pPr>
        <w:pStyle w:val="Ttulo1"/>
      </w:pPr>
      <w:bookmarkStart w:id="89" w:name="scroll-bookmark-89"/>
      <w:bookmarkStart w:id="90" w:name="scroll-bookmark-90"/>
      <w:bookmarkEnd w:id="89"/>
      <w:r>
        <w:t>QA00047 — Admisibilidad de la ayuda de funcionamiento a las agrupaciones empresariales innovadoras</w:t>
      </w:r>
      <w:bookmarkEnd w:id="90"/>
    </w:p>
    <w:p w:rsidR="00F83F12" w:rsidRDefault="001C6219">
      <w:r>
        <w:rPr>
          <w:noProof/>
          <w:lang w:val="es-ES"/>
        </w:rPr>
        <w:drawing>
          <wp:inline distT="0" distB="0" distL="0" distR="0" wp14:anchorId="5E6AB4C6" wp14:editId="3EA5E69F">
            <wp:extent cx="152435" cy="152435"/>
            <wp:effectExtent l="0" t="0" r="0" b="0"/>
            <wp:docPr id="100178" name="Imagen 10017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apartado 1, del Reglamento del FEDER </w:t>
      </w:r>
    </w:p>
    <w:p w:rsidR="00F83F12" w:rsidRDefault="001C6219">
      <w:r>
        <w:rPr>
          <w:noProof/>
          <w:lang w:val="es-ES"/>
        </w:rPr>
        <w:drawing>
          <wp:inline distT="0" distB="0" distL="0" distR="0" wp14:anchorId="7D8D41AB" wp14:editId="2F1D2A25">
            <wp:extent cx="152435" cy="152435"/>
            <wp:effectExtent l="0" t="0" r="0" b="0"/>
            <wp:docPr id="100180" name="Imagen 10018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DK</w:t>
      </w:r>
    </w:p>
    <w:p w:rsidR="00F83F12" w:rsidRDefault="00F83F12"/>
    <w:p w:rsidR="00F83F12" w:rsidRDefault="001C6219">
      <w:pPr>
        <w:pStyle w:val="P68B1DB1-Normal4"/>
      </w:pPr>
      <w:r>
        <w:br/>
        <w:t>Pregunta 1 (incluidos los hechos e información pertinentes):</w:t>
      </w:r>
    </w:p>
    <w:p w:rsidR="00F83F12" w:rsidRDefault="001C6219">
      <w:r>
        <w:t xml:space="preserve">¿Puede DK apoyar los costes de funcionamiento de las agrupaciones de innovación dentro del OE 1.1 del PO del FEDER? Los costes previstos para la ayuda serían los de </w:t>
      </w:r>
      <w:r>
        <w:lastRenderedPageBreak/>
        <w:t>conformidad con el artículo 27 del RGEC. Estos clústeres sectoriales específicos son la piedra angular de su estrategia de especialización inteligente.</w:t>
      </w:r>
    </w:p>
    <w:p w:rsidR="00F83F12" w:rsidRDefault="00F83F12"/>
    <w:p w:rsidR="00F83F12" w:rsidRDefault="001C6219">
      <w:pPr>
        <w:pStyle w:val="P68B1DB1-Normal4"/>
      </w:pPr>
      <w:r>
        <w:t>Respuesta.</w:t>
      </w:r>
    </w:p>
    <w:p w:rsidR="00F83F12" w:rsidRDefault="001C6219">
      <w:r>
        <w:t>Como norma general, los costes de funcionamiento no están incluidos en el ámbito de aplicación de la ayuda del FEDER (véase el artículo 5 del Reglamento del FEDER) (solo se prevé una excepción en el contexto de la asignación adicional específica para las regiones ultraperiféricas, véase el artículo 14 (2) (b) del Reglamento del FEDER. El concepto de «coste de funcionamiento» no se define en las normas de la política de cohesión.</w:t>
      </w:r>
    </w:p>
    <w:p w:rsidR="00F83F12" w:rsidRDefault="001C6219">
      <w:r>
        <w:t>El Reglamento General de Exención por Categorías (RGEC)</w:t>
      </w:r>
      <w:hyperlink r:id="rId444" w:anchor="_ftn1" w:history="1">
        <w:r>
          <w:rPr>
            <w:rStyle w:val="Hipervnculo"/>
          </w:rPr>
          <w:t>[1]</w:t>
        </w:r>
      </w:hyperlink>
      <w:r>
        <w:t xml:space="preserve"> detalla, con arreglo al artículo 27, apartado 8, las categorías de costes de explotación (costes personales y administrativos) subvencionables para las ayudas a las agrupaciones innovadoras, como sigue:</w:t>
      </w:r>
    </w:p>
    <w:p w:rsidR="00F83F12" w:rsidRDefault="001C6219">
      <w:pPr>
        <w:numPr>
          <w:ilvl w:val="0"/>
          <w:numId w:val="29"/>
        </w:numPr>
      </w:pPr>
      <w:r>
        <w:t> La actividad de la agrupación para facilitar la colaboración, el intercambio de información y la prestación o canalización de servicios especializados y personalizados de apoyo a las empresas;</w:t>
      </w:r>
    </w:p>
    <w:p w:rsidR="00F83F12" w:rsidRDefault="001C6219">
      <w:pPr>
        <w:numPr>
          <w:ilvl w:val="0"/>
          <w:numId w:val="29"/>
        </w:numPr>
      </w:pPr>
      <w:r>
        <w:t>La comercialización de la agrupación para aumentar la participación de nuevas empresas u organizaciones y reforzar la visibilidad;</w:t>
      </w:r>
    </w:p>
    <w:p w:rsidR="00F83F12" w:rsidRDefault="001C6219">
      <w:pPr>
        <w:numPr>
          <w:ilvl w:val="0"/>
          <w:numId w:val="29"/>
        </w:numPr>
      </w:pPr>
      <w:r>
        <w:t>La gestión de las instalaciones de la agrupación; la organización de programas de formación, talleres y conferencias para fomentar el intercambio de conocimientos y el trabajo en redes, así como la cooperación transnacional.</w:t>
      </w:r>
    </w:p>
    <w:p w:rsidR="00F83F12" w:rsidRDefault="001C6219">
      <w:r>
        <w:t>Algunos de estos costes pueden ser subvencionables con cargo al FEDER cuando contribuyan al objetivo específico «</w:t>
      </w:r>
      <w:r>
        <w:rPr>
          <w:i/>
        </w:rPr>
        <w:t>Desarrollo y mejora de las capacidades de investigación e innovación y a la adopción de tecnologías avanzadas</w:t>
      </w:r>
      <w:r>
        <w:t>» y puedan considerarse incluidos en el ámbito de aplicación del FEDER, tales como:</w:t>
      </w:r>
    </w:p>
    <w:p w:rsidR="00F83F12" w:rsidRDefault="001C6219">
      <w:pPr>
        <w:numPr>
          <w:ilvl w:val="0"/>
          <w:numId w:val="30"/>
        </w:numPr>
      </w:pPr>
      <w:r>
        <w:t>redes, cooperación, intercambio de experiencias y actividades que impliquen agrupaciones de innovación, en particular entre empresas, organizaciones de investigación y administraciones públicas;</w:t>
      </w:r>
    </w:p>
    <w:p w:rsidR="00F83F12" w:rsidRDefault="001C6219">
      <w:pPr>
        <w:numPr>
          <w:ilvl w:val="0"/>
          <w:numId w:val="30"/>
        </w:numPr>
      </w:pPr>
      <w:r>
        <w:t>información, comunicación y estudios.</w:t>
      </w:r>
    </w:p>
    <w:p w:rsidR="00F83F12" w:rsidRDefault="001C6219">
      <w:r>
        <w:t>Esto requiere una evaluación caso por caso.</w:t>
      </w:r>
    </w:p>
    <w:p w:rsidR="00F83F12" w:rsidRDefault="001C6219">
      <w:r>
        <w:rPr>
          <w:noProof/>
          <w:lang w:val="es-E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382895" cy="0"/>
                <wp:effectExtent l="13335" t="8255" r="13970" b="1079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90FC" id="Conector rec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" strokecolor="gray"/>
            </w:pict>
          </mc:Fallback>
        </mc:AlternateContent>
      </w:r>
      <w:hyperlink r:id="rId445" w:anchor="_ftnref1" w:history="1">
        <w:r>
          <w:rPr>
            <w:rStyle w:val="Hipervnculo"/>
          </w:rPr>
          <w:t>[1]</w:t>
        </w:r>
      </w:hyperlink>
      <w:r>
        <w:t xml:space="preserve"> Reglamento (UE) n.º 651/2014 de la Comisión</w:t>
      </w:r>
    </w:p>
    <w:p w:rsidR="00F83F12" w:rsidRDefault="00F83F12"/>
    <w:p w:rsidR="00F83F12" w:rsidRDefault="00F83F12"/>
    <w:p w:rsidR="00F83F12" w:rsidRDefault="00F83F12"/>
    <w:p w:rsidR="00F83F12" w:rsidRDefault="001C6219">
      <w:pPr>
        <w:pStyle w:val="Ttulo1"/>
      </w:pPr>
      <w:bookmarkStart w:id="91" w:name="scroll-bookmark-91"/>
      <w:bookmarkStart w:id="92" w:name="scroll-bookmark-92"/>
      <w:bookmarkEnd w:id="91"/>
      <w:r>
        <w:lastRenderedPageBreak/>
        <w:t>QA00048 — Importe de flexibilidad y futuras transferencias de asignaciones del FEDER entre programas</w:t>
      </w:r>
      <w:bookmarkEnd w:id="92"/>
    </w:p>
    <w:p w:rsidR="00F83F12" w:rsidRDefault="001C6219">
      <w:r>
        <w:rPr>
          <w:noProof/>
          <w:lang w:val="es-ES"/>
        </w:rPr>
        <w:drawing>
          <wp:inline distT="0" distB="0" distL="0" distR="0" wp14:anchorId="0CE68C03" wp14:editId="0395F5E8">
            <wp:extent cx="152435" cy="152435"/>
            <wp:effectExtent l="0" t="0" r="0" b="0"/>
            <wp:docPr id="100183" name="Imagen 1001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18, 22 y 86 del RDC </w:t>
      </w:r>
    </w:p>
    <w:p w:rsidR="00F83F12" w:rsidRDefault="001C6219">
      <w:r>
        <w:rPr>
          <w:noProof/>
          <w:lang w:val="es-ES"/>
        </w:rPr>
        <w:drawing>
          <wp:inline distT="0" distB="0" distL="0" distR="0" wp14:anchorId="2B077C35" wp14:editId="5934B633">
            <wp:extent cx="152435" cy="152435"/>
            <wp:effectExtent l="0" t="0" r="0" b="0"/>
            <wp:docPr id="100185" name="Imagen 1001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Antecedentes: CZ prevé desplazar parte de las asignaciones entre programas (dentro de un mismo fondo — FEDER) para optimizar el gasto de los recursos en función de la capacidad de los programas para gastar rápidamente en los primeros años del período. La suma de la asignación de fondos sigue siendo la misma en cada año, de modo que el desglose anual estaría en consonancia con la propuesta de la CE. El resultado es un perfil de asignación/gasto no lineal en particular en los cuadros financieros de los programas afectados por este cambio (véase la propuesta en el cuadro adjunto).</w:t>
      </w:r>
    </w:p>
    <w:p w:rsidR="00F83F12" w:rsidRDefault="001C6219">
      <w:r>
        <w:t>En el caso de CZ, esto se aplicaría a partes de las asignaciones del FEDER de los PO JAK y Transporte. Ambos programas se componen de dos fondos, pero cabe destacar que el cambio afectaría únicamente a la parte FEDER, los demás fondos permanecerán totalmente intactos en ambos programas, y que se les aplicarán todas las disposiciones y procedimientos estándar independientemente de los procesos relativos al FEDER.</w:t>
      </w:r>
    </w:p>
    <w:p w:rsidR="00F83F12" w:rsidRDefault="001C6219">
      <w:r>
        <w:t>De conformidad con el artículo 86 del RDC, debería indicarse un «importe de flexibilidad» en un cuadro o cuadros financieros concretos de un programa. En el modelo descrito anteriormente, los recursos del FEDER de uno de los programas se concentran en los tres primeros años del período. Esto implica que no quedan asignaciones del FEDER para los dos últimos años del período en uno de los programas y que, al mismo tiempo, las asignaciones para los dos últimos años del período en el otro programa aumentan en consecuencia.</w:t>
      </w:r>
    </w:p>
    <w:p w:rsidR="00F83F12" w:rsidRDefault="0054633B">
      <w:r>
        <w:t>QA</w:t>
      </w:r>
      <w:r w:rsidR="001C6219">
        <w:t>1: ¿Es aplicable esta solución o debería haber asignaciones diferentes de cero en determinados cuadros financieros de un programa en el caso de ambos fondos?</w:t>
      </w:r>
    </w:p>
    <w:p w:rsidR="00F83F12" w:rsidRDefault="0054633B">
      <w:r>
        <w:t>QA</w:t>
      </w:r>
      <w:r w:rsidR="001C6219">
        <w:t>2: En el escenario B, los cambios para 2026 y 2027 solo afectarían al 50 % de la asignación para estos dos últimos años (es decir, no afectarían al importe de flexibilidad). En tal caso, solo el 50 % de la asignación de los dos últimos años sería suficiente para cumplimentar el cuadro o cuadros financieros concretos de un programa?</w:t>
      </w:r>
    </w:p>
    <w:p w:rsidR="00F83F12" w:rsidRDefault="00F83F12"/>
    <w:p w:rsidR="00F83F12" w:rsidRDefault="001C6219">
      <w:pPr>
        <w:pStyle w:val="P68B1DB1-Normal4"/>
      </w:pPr>
      <w:r>
        <w:t>Respuesta.</w:t>
      </w:r>
    </w:p>
    <w:p w:rsidR="00F83F12" w:rsidRDefault="001C6219">
      <w:r>
        <w:t>De conformidad con el artículo 22, apartado 6, del RDC, la financiación incluirá importes para el período 2021-2027, incluido el importe de flexibilidad, con vistas a aumentar la adaptabilidad de los programas a circunstancias imprevistas de las prioridades políticas.</w:t>
      </w:r>
    </w:p>
    <w:p w:rsidR="00F83F12" w:rsidRDefault="001C6219">
      <w:r>
        <w:lastRenderedPageBreak/>
        <w:t>De conformidad con el artículo 86, apartado 1, del RDC, el importe de flexibilidad, correspondiente al 50 % de las asignaciones para 2026 y 2027, se mantendrá y se asignará definitivamente a los programas tras la revisión intermedia.</w:t>
      </w:r>
    </w:p>
    <w:p w:rsidR="00F83F12" w:rsidRDefault="001C6219">
      <w:r>
        <w:t>De conformidad con el artículo 86, apartado 2, del RDC, los compromisos para cada programa se contraerán en tramos anuales para cada Fondo durante el período 2021-2027.</w:t>
      </w:r>
    </w:p>
    <w:p w:rsidR="00F83F12" w:rsidRDefault="001C6219">
      <w:r>
        <w:t xml:space="preserve">Si bien está claro que la lógica subyacente del Reglamento y de los anexos de programación es que la financiación del programa consiste en asignaciones financieras anuales para los años 2021 a 2027, no se excluye explícitamente que la consignación anticipada de los compromisos anuales en un programa pueda tener lugar (con la correspondiente concentración al final del período en otros programas) con el fin de mantener los recursos globales globales para el FEDER por parte del Estado miembro en el marco del objetivo de inversión en empleo y crecimiento, es decir: Perfil del MFP), pero deben tenerse en cuenta las siguientes </w:t>
      </w:r>
      <w:r>
        <w:rPr>
          <w:b/>
        </w:rPr>
        <w:t>consideraciones políticas</w:t>
      </w:r>
      <w:r>
        <w:t>:</w:t>
      </w:r>
    </w:p>
    <w:p w:rsidR="00F83F12" w:rsidRDefault="001C6219">
      <w:r>
        <w:t xml:space="preserve">La política de cohesión es una política plurianual, diseñada para ser aplicada a lo largo de una década y adaptable y modificable para hacer frente a circunstancias cambiantes. La perspectiva de programación plurianual también proporciona visibilidad a las partes interesadas, junto con una garantía de la ayuda financiera disponible. La distribución anticipada de los recursos de los programas en determinados programas sería, en general, contraria a estos principios, </w:t>
      </w:r>
      <w:r w:rsidR="002F3719">
        <w:t xml:space="preserve">ya que, </w:t>
      </w:r>
      <w:r>
        <w:t xml:space="preserve">haría que los programas fueran innecesariamente limitados en el tiempo e inflexibles, </w:t>
      </w:r>
      <w:r w:rsidR="002F3719">
        <w:t xml:space="preserve">ya que, </w:t>
      </w:r>
      <w:r>
        <w:t>la financiación se utilizaría antes de que finalice el período de programación.</w:t>
      </w:r>
    </w:p>
    <w:p w:rsidR="00F83F12" w:rsidRDefault="001C6219">
      <w:r>
        <w:t>Además, el objetivo del importe de flexibilidad y la intención del colegislador a la hora de acordar esta disposición era proporcionar una mayor adaptabilidad en la aplicación de la política de cohesión, permitiendo reorientar los recursos, en caso necesario, teniendo en cuenta retos socioeconómicos imprevistos o prioridades políticas emergentes. Por lo tanto, es importante que estos importes sean suficientes y estén disponibles en cada programa para garantizar eficazmente la adaptabilidad deseada.</w:t>
      </w:r>
    </w:p>
    <w:p w:rsidR="00F83F12" w:rsidRDefault="001C6219">
      <w:r>
        <w:t>A este respecto, no debe preverse la programación de importes nulos para los últimos años del período. No obstante, con el fin de dar a los Estados miembros flexibilidad en su programación, si está debidamente justificado, a nivel de programa, los importes anuales pueden desviarse hasta un ± 50 % de la asignación de fondos del Estado miembro para el año, reducida en proporción a la asignación de fondos del programa dentro de la dotación del Estado miembro, tal como se define en el acto de ejecución.</w:t>
      </w:r>
    </w:p>
    <w:p w:rsidR="00F83F12" w:rsidRDefault="001C6219">
      <w:r>
        <w:t>Por lo que se refiere al «escenario B» antes mencionado, no es posible aplicar tal construcción.  El importe de flexibilidad es siempre la mitad de los importes incluidos en un programa para 2026 y 2027.</w:t>
      </w:r>
    </w:p>
    <w:p w:rsidR="00F83F12" w:rsidRDefault="00F83F12"/>
    <w:p w:rsidR="00F83F12" w:rsidRDefault="00F83F12"/>
    <w:p w:rsidR="00F83F12" w:rsidRDefault="001C6219">
      <w:pPr>
        <w:pStyle w:val="Ttulo1"/>
      </w:pPr>
      <w:bookmarkStart w:id="93" w:name="scroll-bookmark-93"/>
      <w:bookmarkStart w:id="94" w:name="scroll-bookmark-94"/>
      <w:bookmarkEnd w:id="93"/>
      <w:r>
        <w:t>QA00050 — Campo de datos 137, anexo XVII</w:t>
      </w:r>
      <w:bookmarkEnd w:id="94"/>
    </w:p>
    <w:p w:rsidR="00F83F12" w:rsidRDefault="001C6219">
      <w:r>
        <w:rPr>
          <w:noProof/>
          <w:lang w:val="es-ES"/>
        </w:rPr>
        <w:drawing>
          <wp:inline distT="0" distB="0" distL="0" distR="0" wp14:anchorId="563E9E2A" wp14:editId="3B4690B8">
            <wp:extent cx="152435" cy="152435"/>
            <wp:effectExtent l="0" t="0" r="0" b="0"/>
            <wp:docPr id="100187" name="Imagen 1001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lastRenderedPageBreak/>
        <w:t>Artículo 64 y 67 del RDC</w:t>
      </w:r>
    </w:p>
    <w:p w:rsidR="00F83F12" w:rsidRDefault="001C6219">
      <w:r>
        <w:t> Anexo XVII del RDC  </w:t>
      </w:r>
    </w:p>
    <w:p w:rsidR="00F83F12" w:rsidRDefault="001C6219">
      <w:r>
        <w:rPr>
          <w:noProof/>
          <w:lang w:val="es-ES"/>
        </w:rPr>
        <w:drawing>
          <wp:inline distT="0" distB="0" distL="0" distR="0" wp14:anchorId="1D2AA60F" wp14:editId="08313E4E">
            <wp:extent cx="152435" cy="152435"/>
            <wp:effectExtent l="0" t="0" r="0" b="0"/>
            <wp:docPr id="100189" name="Imagen 1001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Datos previstos:</w:t>
      </w:r>
    </w:p>
    <w:p w:rsidR="00F83F12" w:rsidRDefault="001C6219">
      <w:r>
        <w:t>1. gastos de adquisición de terrenos</w:t>
      </w:r>
    </w:p>
    <w:p w:rsidR="00F83F12" w:rsidRDefault="001C6219">
      <w:r>
        <w:t>2. gastos relacionados con la adquisición de terrenos</w:t>
      </w:r>
    </w:p>
    <w:p w:rsidR="00F83F12" w:rsidRDefault="001C6219">
      <w:r>
        <w:t>(3) Motivo de la superación de los límites máximos</w:t>
      </w:r>
    </w:p>
    <w:p w:rsidR="00F83F12" w:rsidRDefault="00F83F12"/>
    <w:p w:rsidR="00F83F12" w:rsidRDefault="001C6219">
      <w:r>
        <w:t>Este artículo limita la subvencionabilidad de la adquisición de tierras al 10 % y al 15 % del gasto total subvencionable de la operación. El último párrafo del artículo 64, apartado 1, del Reglamento (UE) 2021/1060 establece que esta limitación no se aplica a las medidas de protección del medio ambiente. </w:t>
      </w:r>
    </w:p>
    <w:p w:rsidR="00F83F12" w:rsidRDefault="001C6219">
      <w:r>
        <w:t>Sin embargo, dado que el apartado 1 también establece normas de subvencionabilidad, como el IVA, no está claro, según el texto del recuadro, qué razones deben justificarse para superar el límite máximo.</w:t>
      </w:r>
    </w:p>
    <w:p w:rsidR="00F83F12" w:rsidRDefault="001C6219">
      <w:pPr>
        <w:numPr>
          <w:ilvl w:val="0"/>
          <w:numId w:val="31"/>
        </w:numPr>
      </w:pPr>
      <w:r>
        <w:t>¿Qué gastos deben asignarse a los datos 1 y 2?</w:t>
      </w:r>
    </w:p>
    <w:p w:rsidR="00F83F12" w:rsidRDefault="001C6219">
      <w:r>
        <w:t>Dato 1: Solo precio de compra</w:t>
      </w:r>
    </w:p>
    <w:p w:rsidR="00F83F12" w:rsidRDefault="001C6219">
      <w:r>
        <w:t>Dato 2: Todos los derechos (impuestos, notarios, registros de la propiedad, etc.)</w:t>
      </w:r>
    </w:p>
    <w:p w:rsidR="00F83F12" w:rsidRDefault="001C6219">
      <w:pPr>
        <w:numPr>
          <w:ilvl w:val="0"/>
          <w:numId w:val="32"/>
        </w:numPr>
      </w:pPr>
      <w:r>
        <w:t> ¿Se espera una razón para cada rebasamiento de los límites máximos, es decir, incluso si el límite máximo se supera en un 10 %?</w:t>
      </w:r>
    </w:p>
    <w:p w:rsidR="00F83F12" w:rsidRDefault="001C6219">
      <w:pPr>
        <w:numPr>
          <w:ilvl w:val="0"/>
          <w:numId w:val="32"/>
        </w:numPr>
      </w:pPr>
      <w:r>
        <w:t> ¿Cuáles son los motivos por los que se rebasan los límites para la adquisición de terrenos? ¿Basta con referirse a los motivos admisibles de la superación?</w:t>
      </w:r>
    </w:p>
    <w:p w:rsidR="00F83F12" w:rsidRDefault="001C6219">
      <w:pPr>
        <w:numPr>
          <w:ilvl w:val="0"/>
          <w:numId w:val="32"/>
        </w:numPr>
      </w:pPr>
      <w:r>
        <w:t> ¿Es suficiente la expresión «financiación de medidas de protección del medio ambiente» para justificar las superaciones debidas a medidas de protección del medio ambiente o, por ejemplo, debe establecerse un ámbito de intervención adecuado? En caso afirmativo, ¿qué ámbito de intervención se acepta a tal efecto?</w:t>
      </w:r>
    </w:p>
    <w:p w:rsidR="00F83F12" w:rsidRDefault="00F83F12"/>
    <w:p w:rsidR="00F83F12" w:rsidRDefault="001C6219">
      <w:pPr>
        <w:pStyle w:val="P68B1DB1-Normal4"/>
      </w:pPr>
      <w:r>
        <w:t>Respuesta.</w:t>
      </w:r>
    </w:p>
    <w:p w:rsidR="00F83F12" w:rsidRDefault="001C6219">
      <w:r>
        <w:t xml:space="preserve">1) la finalidad del campo 137 del anexo XVII del RDC es supervisar los límites establecidos en el artículo 64, apartado 1, del RDC, en particular en su letra b), en relación con la adquisición de terrenos. El campo debe contener el importe de los gastos subvencionables efectuados y pagados para la compra de terrenos. Dicho importe podrá incluir tasas, impuestos o tasas de acompañamiento cuando constituyan un coste para el beneficiario, en función de las normas de subvencionabilidad detalladas establecidas </w:t>
      </w:r>
      <w:r>
        <w:lastRenderedPageBreak/>
        <w:t>a nivel nacional. En relación con las normas de subvencionabilidad del impuesto sobre el valor añadido establecidas en el artículo 64, apartado 1, letra c).</w:t>
      </w:r>
    </w:p>
    <w:p w:rsidR="00F83F12" w:rsidRDefault="001C6219">
      <w:r>
        <w:t>En relación con las contribuciones en especie en forma de provisión de terrenos, el artículo 67, apartado 1, del RDC establece que el valor del suelo certificado por un experto cualificado independiente o un organismo oficial debidamente autorizado no debe superar el límite establecido en el artículo 64, apartado 1, letra b), letra b), del RDC. Por lo general, las tasaciones de terrenos no tienen en cuenta las tasas o impuestos conexos. Así pues, en el caso de las contribuciones en especie, el campo 137 debe contener el valor de los terrenos sin tasas ni impuestos, a menos que exista una práctica establecida en el Estado miembro para incluirlos en las valoraciones. </w:t>
      </w:r>
    </w:p>
    <w:p w:rsidR="00F83F12" w:rsidRDefault="00F83F12"/>
    <w:p w:rsidR="00F83F12" w:rsidRDefault="001C6219">
      <w:r>
        <w:t>2) la adquisición de terrenos no superará el 10 % del gasto total subvencionable de la operación de que se trate. En el caso de los terrenos abandonados y de los antiguos de uso industrial que comprenden edificios, el límite se ha elevado al 15 %. La cantidad introducida en el campo 137 del anexo XVII del RDC no puede superar los límites establecidos en el Reglamento. Además, el artículo 64, apartado 1, párrafo segundo, del RDC establece que los límites establecidos en el artículo 64, apartado 1, letra b), no se aplicarán a las operaciones relativas a la conservación del medio ambiente. </w:t>
      </w:r>
    </w:p>
    <w:p w:rsidR="00F83F12" w:rsidRDefault="001C6219">
      <w:r>
        <w:t>  a) Una operación solo podrá superar los límites máximos si se refiere a la conservación del medio ambiente.</w:t>
      </w:r>
    </w:p>
    <w:p w:rsidR="00F83F12" w:rsidRDefault="001C6219">
      <w:r>
        <w:t>La presentación 137 en el anexo XVII del RDC requiere este motivo.</w:t>
      </w:r>
    </w:p>
    <w:p w:rsidR="00F83F12" w:rsidRDefault="00F83F12"/>
    <w:p w:rsidR="00F83F12" w:rsidRDefault="001C6219">
      <w:r>
        <w:t>3) la razón principal podría ir acompañada de una breve referencia al ámbito de aplicación de la medida (por ejemplo, restauración de un lugar Natura 2000, restauración de un humedal).</w:t>
      </w:r>
    </w:p>
    <w:p w:rsidR="00F83F12" w:rsidRDefault="00F83F12"/>
    <w:p w:rsidR="00F83F12" w:rsidRDefault="00F83F12"/>
    <w:p w:rsidR="00F83F12" w:rsidRDefault="001C6219">
      <w:pPr>
        <w:pStyle w:val="Ttulo1"/>
      </w:pPr>
      <w:bookmarkStart w:id="95" w:name="scroll-bookmark-95"/>
      <w:bookmarkStart w:id="96" w:name="scroll-bookmark-96"/>
      <w:bookmarkEnd w:id="95"/>
      <w:r>
        <w:t>QA00051 — Control de segundo nivel en el caso del DLP financiado por el FEDER, con el Feader como fondo principal</w:t>
      </w:r>
      <w:bookmarkEnd w:id="96"/>
    </w:p>
    <w:p w:rsidR="00F83F12" w:rsidRDefault="001C6219">
      <w:r>
        <w:rPr>
          <w:noProof/>
          <w:lang w:val="es-ES"/>
        </w:rPr>
        <w:drawing>
          <wp:inline distT="0" distB="0" distL="0" distR="0" wp14:anchorId="642FFA4B" wp14:editId="1FA205C9">
            <wp:extent cx="152435" cy="152435"/>
            <wp:effectExtent l="0" t="0" r="0" b="0"/>
            <wp:docPr id="100191" name="Imagen 1001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 (1) (e) (ii) del Reglamento del FEDER; Artículos 31 (4) a (6) del RDC </w:t>
      </w:r>
    </w:p>
    <w:p w:rsidR="00F83F12" w:rsidRDefault="001C6219">
      <w:r>
        <w:rPr>
          <w:noProof/>
          <w:lang w:val="es-ES"/>
        </w:rPr>
        <w:drawing>
          <wp:inline distT="0" distB="0" distL="0" distR="0" wp14:anchorId="25C4B122" wp14:editId="05CC3946">
            <wp:extent cx="152435" cy="152435"/>
            <wp:effectExtent l="0" t="0" r="0" b="0"/>
            <wp:docPr id="100193" name="Imagen 1001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EN</w:t>
      </w:r>
    </w:p>
    <w:p w:rsidR="00F83F12" w:rsidRDefault="00F83F12"/>
    <w:p w:rsidR="00F83F12" w:rsidRDefault="001C6219">
      <w:pPr>
        <w:pStyle w:val="P68B1DB1-Normal4"/>
      </w:pPr>
      <w:r>
        <w:br/>
        <w:t>Pregunta 1 (incluidos los hechos e información pertinentes):</w:t>
      </w:r>
    </w:p>
    <w:p w:rsidR="00F83F12" w:rsidRDefault="001C6219">
      <w:r>
        <w:t xml:space="preserve">En el programa general del FEDER de Austria 2021-27, está previsto apoyar el DLP (desarrollo local participativo) en el marco del objetivo específico 5.2 [artículo 3 (1) (e) (ii) del Reglamento n.º 2021/1058 del FEDER para el período 2021-27], con el Feader </w:t>
      </w:r>
      <w:r>
        <w:lastRenderedPageBreak/>
        <w:t>como fondo principal (véase el artículo 31 (4) del RDC para 2021-27, Reglamento n.º 2021/1060). El artículo 31, apartado 5, sobre el DLP, en el RDC reza como sigue: «Respetando el ámbito de aplicación y las normas de subvencionabilidad de cada fondo que participe en el apoyo a la estrategia, se aplicarán a dicha estrategia las normas del Fondo principal. Las autoridades de otros fondos se basarán en las decisiones y verificaciones de gestión realizadas por la autoridad competente del Fondo principal.».</w:t>
      </w:r>
    </w:p>
    <w:p w:rsidR="00F83F12" w:rsidRDefault="001C6219">
      <w:r>
        <w:t> El proyecto de programa general del FEDER de Austria para el período 2021-27 contiene la siguiente declaración:</w:t>
      </w:r>
    </w:p>
    <w:p w:rsidR="00F83F12" w:rsidRDefault="001C6219">
      <w:r>
        <w:t xml:space="preserve"> ’ Die Abwicklung von CLLD erfolgt ausschließlich auf Basis der Vorgaben des ELER als federfühmaking Fonds («Lead-Fonds») gemäß VO (UE) Nr. XX/20XX unter Berücksichtung allfälliger zusätzlicher EU-Vorgaben des EFRE. </w:t>
      </w:r>
      <w:r w:rsidR="00AE5EA0">
        <w:rPr>
          <w:b/>
        </w:rPr>
        <w:t>Dies</w:t>
      </w:r>
      <w:r>
        <w:rPr>
          <w:b/>
        </w:rPr>
        <w:t xml:space="preserve"> betrifft auch die Kontrolle 2. Ebene</w:t>
      </w:r>
      <w:r>
        <w:t>. Die Zahlstelle im EFRE zahlt auf Basis der Prüfergebnisse des «Lead-Fonds» aus und führt keine zusätzlichen Kontrollschritte durch.»</w:t>
      </w:r>
    </w:p>
    <w:p w:rsidR="00F83F12" w:rsidRDefault="001C6219">
      <w:r>
        <w:t xml:space="preserve"> «El DLP se ejecuta únicamente sobre la base de los requisitos del FEADER como fondo principal de conformidad con el Reglamento (UE) no XX/20XX, teniendo en cuenta cualquier requisito adicional de la UE procedente del FEDER. </w:t>
      </w:r>
      <w:r>
        <w:rPr>
          <w:b/>
        </w:rPr>
        <w:t>Esto afecta también al control de segundo nivel</w:t>
      </w:r>
      <w:r>
        <w:t>. El «organismo encargado de la función de contabilidad» del FEDER paga sobre la base de los resultados de auditoría del «fondo principal» y no lleva a cabo ninguna etapa de control adicional.»</w:t>
      </w:r>
    </w:p>
    <w:p w:rsidR="00F83F12" w:rsidRDefault="001C6219">
      <w:r>
        <w:t> La cuestión es si el control de segundo nivel de la ayuda del DLP con el FEDER solo puede llevarse a cabo sobre la base de los requisitos del Feader como fondo principal de conformidad con el Reglamento? La frase en negrita anterior («Esto afecta también al control de segundo nivel») podría entenderse de manera que la autoridad de auditoría del fondo principal (Feader) lleve a cabo el control de segundo nivel para el DLP, y no la autoridad de auditoría del FEDER. ¿Es posible?</w:t>
      </w:r>
    </w:p>
    <w:p w:rsidR="00F83F12" w:rsidRDefault="00F83F12"/>
    <w:p w:rsidR="00F83F12" w:rsidRDefault="001C6219">
      <w:pPr>
        <w:pStyle w:val="P68B1DB1-Normal4"/>
      </w:pPr>
      <w:r>
        <w:t>Respuesta.</w:t>
      </w:r>
    </w:p>
    <w:p w:rsidR="00F83F12" w:rsidRDefault="001C6219">
      <w:r>
        <w:t>Las normas del Fondo principal aplicables a todas las operaciones en el marco de la estrategia de DLP se refieren a todas las decisiones y verificaciones de la gestión, incluidas las comprobaciones, las decisiones de subvención y pago, los controles, así como las posibles correcciones o sanciones. Como se establece en el artículo 31, apartado 5, del RDC, deben respetarse el ámbito de aplicación y las normas de subvencionabilidad de cada fondo que participe en el apoyo a la estrategia. En la práctica, el enfoque del Fondo principal significa que las autoridades del Fondo principal tramitan todas las cuestiones con los beneficiarios, excepto para efectuar pagos, para los que proporcionan a las autoridades de otros Fondos la información necesaria para supervisar y efectuar los pagos de conformidad con las normas específicas de los Fondos.</w:t>
      </w:r>
    </w:p>
    <w:p w:rsidR="00F83F12" w:rsidRDefault="001C6219">
      <w:r>
        <w:t xml:space="preserve">El trabajo de auditoría llevado a cabo por la autoridad competente del Fondo principal también debe aplicarse a todos los fondos contribuyentes. De conformidad con el principio de auditoría única, tal como se establece específicamente en el artículo 80, apartado 1, del RDC, la autoridad de auditoría de dichos Fondos puede basarse en el dictamen de la autoridad competente del Fondo Principal a la hora de emitir garantías </w:t>
      </w:r>
      <w:r>
        <w:lastRenderedPageBreak/>
        <w:t>sobre el funcionamiento del sistema de gestión y la legalidad y regularidad del gasto de las operaciones de DLP.</w:t>
      </w:r>
    </w:p>
    <w:p w:rsidR="00F83F12" w:rsidRDefault="00F83F12"/>
    <w:p w:rsidR="00F83F12" w:rsidRDefault="00F83F12"/>
    <w:p w:rsidR="00F83F12" w:rsidRDefault="001C6219">
      <w:pPr>
        <w:pStyle w:val="Ttulo1"/>
      </w:pPr>
      <w:bookmarkStart w:id="97" w:name="scroll-bookmark-97"/>
      <w:bookmarkStart w:id="98" w:name="scroll-bookmark-98"/>
      <w:bookmarkEnd w:id="97"/>
      <w:r>
        <w:t>QA00052 — Apoyo a todas las actividades preparatorias, de gestión y animación del FEDER para los grupos de acción local en el contexto de una estrategia de DLP con financiación múltiple</w:t>
      </w:r>
      <w:bookmarkEnd w:id="98"/>
    </w:p>
    <w:p w:rsidR="00F83F12" w:rsidRDefault="001C6219">
      <w:r>
        <w:rPr>
          <w:noProof/>
          <w:lang w:val="es-ES"/>
        </w:rPr>
        <w:drawing>
          <wp:inline distT="0" distB="0" distL="0" distR="0" wp14:anchorId="06BDF6B1" wp14:editId="40ADA9FC">
            <wp:extent cx="152435" cy="152435"/>
            <wp:effectExtent l="0" t="0" r="0" b="0"/>
            <wp:docPr id="100195" name="Imagen 1001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31 del RDC</w:t>
      </w:r>
    </w:p>
    <w:p w:rsidR="00F83F12" w:rsidRDefault="001C6219">
      <w:r>
        <w:rPr>
          <w:noProof/>
          <w:lang w:val="es-ES"/>
        </w:rPr>
        <w:drawing>
          <wp:inline distT="0" distB="0" distL="0" distR="0" wp14:anchorId="615EFF89" wp14:editId="147E268E">
            <wp:extent cx="152435" cy="152435"/>
            <wp:effectExtent l="0" t="0" r="0" b="0"/>
            <wp:docPr id="100197" name="Imagen 1001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F83F12"/>
    <w:p w:rsidR="00F83F12" w:rsidRDefault="001C6219">
      <w:pPr>
        <w:pStyle w:val="P68B1DB1-Normal4"/>
      </w:pPr>
      <w:r>
        <w:br/>
        <w:t>Pregunta 1 (incluidos los hechos e información pertinentes):</w:t>
      </w:r>
    </w:p>
    <w:p w:rsidR="00F83F12" w:rsidRDefault="001C6219">
      <w:r>
        <w:t>De conformidad con el artículo 31, apartado 3, del RDC, entendemos que, cuando se disponga de ayuda a las estrategias de desarrollo local participativo con cargo a más de un Fondo, las autoridades de gestión pertinentes podrán elegir uno de los Fondos en cuestión para sufragar todos los costes de preparación, gestión y animación. En caso de que el FSE + sea el fondo principal, ¿puede la AG pertinente elegir el FEDER para apoyar los costes mencionados?</w:t>
      </w:r>
    </w:p>
    <w:p w:rsidR="00F83F12" w:rsidRDefault="001C6219">
      <w:pPr>
        <w:pStyle w:val="P68B1DB1-Normal4"/>
      </w:pPr>
      <w:r>
        <w:t>Respuesta.</w:t>
      </w:r>
    </w:p>
    <w:p w:rsidR="00F83F12" w:rsidRDefault="001C6219">
      <w:r>
        <w:t>Las estrategias de DLP pueden recibir el apoyo de uno o varios de los Fondos cubiertos por el artículo 31 del RDC directamente (es decir, el FEDER, el FSE +, el FTJ y el FEMPA) y del Feader, que está vinculado al RDC a través del artículo 2, apartado 2, del Reglamento de la PAC (propuesta de la Comisión de 1.6.2018).</w:t>
      </w:r>
    </w:p>
    <w:p w:rsidR="00F83F12" w:rsidRDefault="001C6219">
      <w:r>
        <w:t>En caso de que se disponga de apoyo a una estrategia de DLP con cargo a más de un fondo, las autoridades de gestión pertinentes podrán:</w:t>
      </w:r>
    </w:p>
    <w:p w:rsidR="00F83F12" w:rsidRDefault="001C6219">
      <w:pPr>
        <w:numPr>
          <w:ilvl w:val="0"/>
          <w:numId w:val="33"/>
        </w:numPr>
      </w:pPr>
      <w:r>
        <w:t>de conformidad con el artículo 31, apartado (3), del RDC, decidir utilizar solo uno de esos fondos para cubrir todos los costes de preparación, gestión y animación relacionados con las estrategias con respecto a las condiciones establecidas en el artículo 34, apartado 2, del RDC;</w:t>
      </w:r>
    </w:p>
    <w:p w:rsidR="00F83F12" w:rsidRDefault="001C6219">
      <w:pPr>
        <w:numPr>
          <w:ilvl w:val="0"/>
          <w:numId w:val="33"/>
        </w:numPr>
      </w:pPr>
      <w:r>
        <w:t>de conformidad con el artículo 31, apartado (4), del RDC, elegir uno de los Fondos que prestan ayuda como «Fondo principal», lo que significaría que solo se aplicarían a la estrategia ejecutada las normas del Fondo principal, respetando al mismo tiempo las condiciones establecidas en los apartados (5) — (6) del artículo 31 del RDC.</w:t>
      </w:r>
    </w:p>
    <w:p w:rsidR="00F83F12" w:rsidRDefault="001C6219">
      <w:r>
        <w:t xml:space="preserve">Se trata de dos opciones previstas en el Reglamento que no se excluyen mutuamente. Por lo tanto, es posible utilizar los recursos del FEDER para cubrir todos los costes de </w:t>
      </w:r>
      <w:r>
        <w:lastRenderedPageBreak/>
        <w:t>preparación, gestión y animación a que se refiere el artículo 34, apartado 1, letras a) y c), del RDC relacionados con las estrategias de DLP, teniendo al mismo tiempo el FSE + como Fondo principal.</w:t>
      </w:r>
    </w:p>
    <w:p w:rsidR="00F83F12" w:rsidRDefault="00F83F12"/>
    <w:p w:rsidR="00F83F12" w:rsidRDefault="00F83F12"/>
    <w:p w:rsidR="00F83F12" w:rsidRDefault="001C6219">
      <w:pPr>
        <w:pStyle w:val="Ttulo1"/>
      </w:pPr>
      <w:bookmarkStart w:id="99" w:name="scroll-bookmark-99"/>
      <w:bookmarkStart w:id="100" w:name="scroll-bookmark-100"/>
      <w:bookmarkEnd w:id="99"/>
      <w:r>
        <w:t>QA00053 — Dietas pagadas en efectivo</w:t>
      </w:r>
      <w:bookmarkEnd w:id="100"/>
    </w:p>
    <w:p w:rsidR="00F83F12" w:rsidRDefault="001C6219">
      <w:r>
        <w:rPr>
          <w:noProof/>
          <w:lang w:val="es-ES"/>
        </w:rPr>
        <w:drawing>
          <wp:inline distT="0" distB="0" distL="0" distR="0" wp14:anchorId="4699CBC2" wp14:editId="152AB7D5">
            <wp:extent cx="152435" cy="152435"/>
            <wp:effectExtent l="0" t="0" r="0" b="0"/>
            <wp:docPr id="100199" name="Imagen 1001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56, apartado 2, del Reglamento sobre disposiciones comunes.</w:t>
      </w:r>
    </w:p>
    <w:p w:rsidR="00F83F12" w:rsidRDefault="001C6219">
      <w:r>
        <w:rPr>
          <w:noProof/>
          <w:lang w:val="es-ES"/>
        </w:rPr>
        <w:drawing>
          <wp:inline distT="0" distB="0" distL="0" distR="0" wp14:anchorId="22DB1E81" wp14:editId="4B2DF036">
            <wp:extent cx="152435" cy="152435"/>
            <wp:effectExtent l="0" t="0" r="0" b="0"/>
            <wp:docPr id="100201" name="Imagen 1002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F83F12" w:rsidRDefault="00F83F12"/>
    <w:p w:rsidR="00F83F12" w:rsidRDefault="001C6219">
      <w:pPr>
        <w:pStyle w:val="P68B1DB1-Normal4"/>
      </w:pPr>
      <w:r>
        <w:br/>
        <w:t>Pregunta 1 (incluidos los hechos e información pertinentes):</w:t>
      </w:r>
    </w:p>
    <w:p w:rsidR="00F83F12" w:rsidRDefault="001C6219">
      <w:r>
        <w:t>¿Se considerarán costes subvencionables adicionales no incluidos en el tipo fijo las asignaciones abonadas a los participantes que regresen voluntariamente a su país de origen para reintegrarse, abonadas tanto en efectivo como en especie? </w:t>
      </w:r>
    </w:p>
    <w:p w:rsidR="00F83F12" w:rsidRDefault="00F83F12"/>
    <w:p w:rsidR="00F83F12" w:rsidRDefault="001C6219">
      <w:pPr>
        <w:pStyle w:val="P68B1DB1-Normal4"/>
      </w:pPr>
      <w:r>
        <w:t>Respuesta.</w:t>
      </w:r>
    </w:p>
    <w:p w:rsidR="00F83F12" w:rsidRDefault="001C6219">
      <w:r>
        <w:t>En primer lugar, cabe señalar que es responsabilidad de la autoridad de gestión definir los costes subvencionables para cada tipo de operación y determinar también si se trata de costes directos o indirectos. Dado que el RDC no contiene una definición, el significado de indemnización se entiende en el contexto de la disposición pertinente, en relación con los costes de personal, como una suma de dinero pagada a los participantes por posibles gastos relacionados con el objetivo de un proyecto determinado. Así pues, en el caso descrito en el contexto, solo el importe de «máximo 300 EUR pagado en efectivo por incidentes» puede considerarse un coste subvencionable adicional no incluido en el tipo fijo.</w:t>
      </w:r>
    </w:p>
    <w:p w:rsidR="00F83F12" w:rsidRDefault="001C6219">
      <w:r>
        <w:t>Otros importes mencionados en los antecedentes podrían considerarse, en principio, costes directos basados en costes reales y se abonan sobre la base de pruebas de pago.</w:t>
      </w:r>
    </w:p>
    <w:p w:rsidR="00F83F12" w:rsidRDefault="00F83F12"/>
    <w:p w:rsidR="00F83F12" w:rsidRDefault="001C6219">
      <w:pPr>
        <w:pStyle w:val="P68B1DB1-Normal4"/>
      </w:pPr>
      <w:r>
        <w:t>Antecedentes facilitados por los Países Bajos</w:t>
      </w:r>
    </w:p>
    <w:p w:rsidR="00F83F12" w:rsidRDefault="001C6219">
      <w:r>
        <w:t>Información de referencia facilitada por NL:</w:t>
      </w:r>
    </w:p>
    <w:p w:rsidR="00F83F12" w:rsidRDefault="001C6219">
      <w:r>
        <w:t xml:space="preserve">El Servicio de Repatriación y Salida puede prestar asistencia en materia de retorno a los extranjeros que deseen abandonar los Países Bajos. Parte de este servicio es el programa «Ayuda al retorno y la migración desde los Países Bajos» (REAN). Este programa apoya a los extranjeros con su salida de los Países Bajos mediante, entre otras cosas, la compra de billetes de avión, la asistencia al aeropuerto y en el aeropuerto, el asesoramiento y, posiblemente, una asignación de retorno (= terug KEER vergoeding) de un máximo de 300 EUR pagados en efectivo por los incidentes. El importe real por beneficiario </w:t>
      </w:r>
      <w:r>
        <w:lastRenderedPageBreak/>
        <w:t>depende del país de origen y se basa en los gastos y las necesidades de subsistencia. El programa es ejecutado por la OIM.</w:t>
      </w:r>
    </w:p>
    <w:p w:rsidR="00F83F12" w:rsidRDefault="001C6219">
      <w:r>
        <w:t>Una vez devueltos a su país de origen, los extranjeros que hayan optado por el retorno voluntario pueden recibir asistencia en su país de origen a través del retorno voluntario asistido y la reintegración (AVRR) aplicados por las oficinas del país de la OIM. Al presentar un plan de reinserción, pueden obtener asistencia hasta un máximo de 1 800 EUR por adulto y 2 800 EUR por niño. Se trata del subsidio de reinserción. Esto solo puede obtenerse presentando un plan de reintegración detallado y puede gastarse en vivienda temporal, inventario y alquiler para una empresa emergente, etc. Estos costes se basan en costes reales y pueden pagarse al beneficiario sobre la base de un justificante de pago o pueden ser pagados directamente al vendedor por la OIM. Hasta un máximo de 300 EUR pueden pagarse en efectivo al participante.</w:t>
      </w:r>
    </w:p>
    <w:p w:rsidR="00F83F12" w:rsidRDefault="001C6219">
      <w:r>
        <w:t>(Estos importes están sujetos a cambios y se revisan y registran en el REAN y el AVRR)</w:t>
      </w:r>
    </w:p>
    <w:p w:rsidR="00F83F12" w:rsidRDefault="00F83F12"/>
    <w:p w:rsidR="00F83F12" w:rsidRDefault="00F83F12"/>
    <w:p w:rsidR="00F83F12" w:rsidRDefault="001C6219">
      <w:pPr>
        <w:pStyle w:val="Ttulo1"/>
      </w:pPr>
      <w:bookmarkStart w:id="101" w:name="scroll-bookmark-101"/>
      <w:bookmarkStart w:id="102" w:name="scroll-bookmark-102"/>
      <w:bookmarkEnd w:id="101"/>
      <w:r>
        <w:t>QA00054 — Preguntas sobre la función contable y la solicitud de pago</w:t>
      </w:r>
      <w:bookmarkEnd w:id="102"/>
    </w:p>
    <w:p w:rsidR="00F83F12" w:rsidRDefault="001C6219">
      <w:r>
        <w:rPr>
          <w:noProof/>
          <w:lang w:val="es-ES"/>
        </w:rPr>
        <w:drawing>
          <wp:inline distT="0" distB="0" distL="0" distR="0" wp14:anchorId="3C652E0B" wp14:editId="10A44174">
            <wp:extent cx="152435" cy="152435"/>
            <wp:effectExtent l="0" t="0" r="0" b="0"/>
            <wp:docPr id="100203" name="Imagen 1002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76, 91 y 93 del RDC</w:t>
      </w:r>
    </w:p>
    <w:p w:rsidR="00F83F12" w:rsidRDefault="001C6219">
      <w:r>
        <w:rPr>
          <w:noProof/>
          <w:lang w:val="es-ES"/>
        </w:rPr>
        <w:drawing>
          <wp:inline distT="0" distB="0" distL="0" distR="0" wp14:anchorId="086FB05F" wp14:editId="3FCDECF3">
            <wp:extent cx="152435" cy="152435"/>
            <wp:effectExtent l="0" t="0" r="0" b="0"/>
            <wp:docPr id="100205" name="Imagen 1002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t>Pregunta 1 (incluidos los hechos e información pertinentes):</w:t>
      </w:r>
    </w:p>
    <w:p w:rsidR="00F83F12" w:rsidRDefault="001C6219">
      <w:pPr>
        <w:pStyle w:val="P68B1DB1-Normal5"/>
      </w:pPr>
      <w:r>
        <w:t>En el marco de los cambios en el sistema de información de gestión para el nuevo período de planificación de fondos de la UE 2021-2027, el Tribunal (responsable de la función de contabilidad (AF)) tiene varias preguntas sobre las funciones de AF y la preparación de las solicitudes de pago y las cuentas:</w:t>
      </w:r>
    </w:p>
    <w:p w:rsidR="00F83F12" w:rsidRDefault="001C6219">
      <w:pPr>
        <w:pStyle w:val="P68B1DB1-Normal5"/>
      </w:pPr>
      <w:r>
        <w:t>Funciones</w:t>
      </w:r>
    </w:p>
    <w:p w:rsidR="00F83F12" w:rsidRDefault="001C6219">
      <w:pPr>
        <w:pStyle w:val="P68B1DB1-Normal5"/>
      </w:pPr>
      <w:r>
        <w:t>(1)         El artículo 76 del RDC no establece directamente la obligación de las AF de contabilizar los gastos que podrían declararse y las retiradas en un sistema contable separado. La responsabilidad de la contabilidad de los gastos solo se menciona indirectamente en las letras a), c) y d) del artículo 91, apartado 3, (... según figure en el sistema del organismo que ejerce la función de contabilidad) y en el artículo 98, apartado 3, letra a) (... consignado en los sistemas contables del organismo que ejerce la función de contabilidad); sin embargo, no se menciona en absoluto la contabilidad de las retiradas.</w:t>
      </w:r>
    </w:p>
    <w:p w:rsidR="00F83F12" w:rsidRDefault="001C6219">
      <w:pPr>
        <w:pStyle w:val="P68B1DB1-Normal5"/>
      </w:pPr>
      <w:r>
        <w:t> </w:t>
      </w:r>
    </w:p>
    <w:p w:rsidR="00F83F12" w:rsidRDefault="001C6219">
      <w:pPr>
        <w:pStyle w:val="P68B1DB1-Normal5"/>
      </w:pPr>
      <w:r>
        <w:t xml:space="preserve">A este respecto, ¿podría considerarse como el sistema mencionado en el artículo 91, punto 3, letras a), c) y d), el sistema de gestión de la información, en el que todos los datos sobre operaciones están garantizados por un organismo intermedio y que </w:t>
      </w:r>
      <w:r>
        <w:lastRenderedPageBreak/>
        <w:t>garantiza la generación automática de solicitudes y cuentas de pago, incluidos registros de todas las deducciones y retiradas efectuadas por AF?</w:t>
      </w:r>
    </w:p>
    <w:p w:rsidR="00F83F12" w:rsidRDefault="001C6219">
      <w:pPr>
        <w:pStyle w:val="P68B1DB1-Normal5"/>
      </w:pPr>
      <w:r>
        <w:t> </w:t>
      </w:r>
    </w:p>
    <w:p w:rsidR="00F83F12" w:rsidRDefault="001C6219">
      <w:pPr>
        <w:pStyle w:val="P68B1DB1-Normal5"/>
      </w:pPr>
      <w:r>
        <w:t xml:space="preserve">(2)         El artículo 76, apartado 2, prevé que las AF no comprenderán verificaciones a nivel de los beneficiarios. Confirme que nuestra comprensión es correcta y que la AF no realizará ningún tipo de verificación no solo a nivel del beneficiario, sino también a nivel de organismo intermedio y autoridad de gestión, </w:t>
      </w:r>
      <w:r w:rsidR="002F3719">
        <w:t xml:space="preserve">ya que, </w:t>
      </w:r>
      <w:r>
        <w:t>al firmar la solicitud de pago y las cuentas, el AF no certifica la subvencionabilidad de los gastos, sino que solo confirma la exactitud técnica y la exhaustividad de los datos.</w:t>
      </w:r>
    </w:p>
    <w:p w:rsidR="00F83F12" w:rsidRDefault="001C6219">
      <w:pPr>
        <w:pStyle w:val="P68B1DB1-Normal5"/>
      </w:pPr>
      <w:r>
        <w:t> </w:t>
      </w:r>
    </w:p>
    <w:p w:rsidR="00F83F12" w:rsidRDefault="001C6219">
      <w:pPr>
        <w:pStyle w:val="P68B1DB1-Normal5"/>
      </w:pPr>
      <w:r>
        <w:t>(3)         En caso de que en el Programa se acuerde que la Comisión pagará la contribución de la Unión sobre la base del artículo 51, letras a), c), d) y e), aclaren o faciliten algunas referencias a documentos/orientaciones que expliquen:</w:t>
      </w:r>
    </w:p>
    <w:p w:rsidR="00F83F12" w:rsidRDefault="001C6219">
      <w:pPr>
        <w:pStyle w:val="P68B1DB1-Normal5"/>
      </w:pPr>
      <w:r>
        <w:t>(3.1)      la forma en que el AF puede obtener dicha información sobre los gastos que deben declararse;</w:t>
      </w:r>
    </w:p>
    <w:p w:rsidR="00F83F12" w:rsidRDefault="001C6219">
      <w:pPr>
        <w:pStyle w:val="P68B1DB1-Normal5"/>
      </w:pPr>
      <w:r>
        <w:t>(3.2)      si, además de los controles de la autoridad de gestión o del organismo intermedio, el AF debe verificar que se cumplen las condiciones para el reembolso por parte de la Comisión;</w:t>
      </w:r>
    </w:p>
    <w:p w:rsidR="00F83F12" w:rsidRDefault="001C6219">
      <w:pPr>
        <w:pStyle w:val="P68B1DB1-Normal5"/>
      </w:pPr>
      <w:r>
        <w:t>¿Deberían estos datos proceder de las operaciones? Si la forma de subvención al beneficiario difiere de la forma de contribución de la Comisión, ¿debe el organismo intermedio garantizar la información sobre ambos flujos de gastos aprobados, uno que debe abonarse al beneficiario y otro que debe declararse en la solicitud de pago?</w:t>
      </w:r>
    </w:p>
    <w:p w:rsidR="00F83F12" w:rsidRDefault="001C6219">
      <w:pPr>
        <w:pStyle w:val="P68B1DB1-Normal5"/>
      </w:pPr>
      <w:r>
        <w:t> </w:t>
      </w:r>
    </w:p>
    <w:p w:rsidR="00F83F12" w:rsidRDefault="001C6219">
      <w:pPr>
        <w:pStyle w:val="P68B1DB1-Normal5"/>
      </w:pPr>
      <w:r>
        <w:t>(4)         En comparación con el RDC (2014-2020), el nuevo RDC no implica la obligación de que AF tenga en cuenta los resultados de la verificación de la gestión y los controles realizados por la autoridad de auditoría. ¿Significa que AF puede declarar gastos en la solicitud de pago sin ninguna corrección y evaluación adicional del impacto de los resultados mencionados en los gastos incluidos en el OP?</w:t>
      </w:r>
    </w:p>
    <w:p w:rsidR="00F83F12" w:rsidRDefault="001C6219">
      <w:pPr>
        <w:pStyle w:val="P68B1DB1-Normal5"/>
      </w:pPr>
      <w:r>
        <w:t> </w:t>
      </w:r>
    </w:p>
    <w:p w:rsidR="00F83F12" w:rsidRDefault="001C6219">
      <w:pPr>
        <w:pStyle w:val="P68B1DB1-Normal5"/>
      </w:pPr>
      <w:r>
        <w:t>(5) ¿Tiene la Comisión la intención de publicar algunas orientaciones sobre la preparación de la AP y las cuentas, ya que, en nuestra opinión, los requisitos son más complicados que los del período de planificación anterior?</w:t>
      </w:r>
    </w:p>
    <w:p w:rsidR="00F83F12" w:rsidRDefault="00F83F12"/>
    <w:p w:rsidR="00F83F12" w:rsidRDefault="001C6219">
      <w:pPr>
        <w:pStyle w:val="P68B1DB1-Normal4"/>
      </w:pPr>
      <w:r>
        <w:t>Respuesta.</w:t>
      </w:r>
    </w:p>
    <w:p w:rsidR="00F83F12" w:rsidRDefault="001C6219">
      <w:pPr>
        <w:numPr>
          <w:ilvl w:val="0"/>
          <w:numId w:val="34"/>
        </w:numPr>
      </w:pPr>
      <w:r>
        <w:t xml:space="preserve">En general, la recuperación de fondos es responsabilidad de los Estados miembros en todos los casos.  Ya no existe un modelo de información sobre este asunto. La Comisión solo está preocupada por las retiradas de importes, de conformidad con los artículos 98 (3) (b), 98 (6) y 98 (7) del RDC, incluidas las relacionadas con los gastos irregulares relacionados con el artículo 65, apartado 1, y el artículo 65 (2) del RDC o con el reembolso de dichos importes de conformidad con el artículo 88 del RDC. El artículo 76, apartado 1, letra b), del RDC establece que el organismo que desempeñe funciones contables debe llevar </w:t>
      </w:r>
      <w:r>
        <w:lastRenderedPageBreak/>
        <w:t xml:space="preserve">registros electrónicos de todos los elementos de las cuentas, incluidas las solicitudes de pago. El artículo 91 del RDC establece que la solicitud de pago debe basarse en importes «consignados en el sistema del organismo que desempeña la función de contabilidad». En esta fase, los servicios de la Comisión no están en condiciones de confirmar si el sistema cumple estos requisitos basándose únicamente en la breve descripción facilitada. En todos los casos, el sistema debe estar bajo la responsabilidad de las autoridades del programa, es decir: autoridad de gestión </w:t>
      </w:r>
      <w:r w:rsidR="002F3719">
        <w:t>u</w:t>
      </w:r>
      <w:r>
        <w:t xml:space="preserve"> organismo que desempeña la función de contabilidad (AF).  Además, llamamos su atención sobre el hecho de que la estrategia de auditoría de la autoridad de auditoría incluirá también, sobre la base de una evaluación de riesgos, auditorías de sistemas de las autoridades encargadas de la función de contabilidad.</w:t>
      </w:r>
      <w:r>
        <w:br/>
      </w:r>
    </w:p>
    <w:p w:rsidR="00F83F12" w:rsidRDefault="001C6219">
      <w:pPr>
        <w:numPr>
          <w:ilvl w:val="0"/>
          <w:numId w:val="34"/>
        </w:numPr>
      </w:pPr>
      <w:r>
        <w:t>La interpretación de la pregunta es correcta.</w:t>
      </w:r>
      <w:r>
        <w:br/>
      </w:r>
    </w:p>
    <w:p w:rsidR="00F83F12" w:rsidRDefault="001C6219">
      <w:pPr>
        <w:numPr>
          <w:ilvl w:val="0"/>
          <w:numId w:val="34"/>
        </w:numPr>
      </w:pPr>
      <w:r>
        <w:t xml:space="preserve">Las disposiciones prácticas para el intercambio de información entre los organismos a nivel nacional deben ser acordadas por los propios organismos pertinentes, incluidas las opciones de costes simplificados y la financiación no vinculada a los costes, </w:t>
      </w:r>
      <w:r w:rsidR="002F3719">
        <w:t xml:space="preserve">ya que, </w:t>
      </w:r>
      <w:r>
        <w:t>la aplicación de la función de contabilidad y la dependencia subyacente de la información facilitada por la AG o la AA no deben diferir si la Comisión reembolsa los gastos efectuados o los importes cubiertos por un régimen de OCS/FNLTC. En caso de que el gasto declarado por el beneficiario sea el mismo que el declarado por el Estado miembro a la Comisión, la declaración de gastos seguirá procedimientos normalizados que para las operaciones de declaración de costes reales. En caso de diferencias entre los importes declarados y reembolsados a los beneficiarios y los importes de las OCS declarados a la Comisión, las autoridades nacionales siguen estando obligadas a conservar, entre otras cosas, pruebas del pago de la contribución pública al beneficiario y de la fecha en que se efectuó el pago (véase la sección 3 del anexo XIII del RDC, que presenta los elementos obligatorios de la pista de auditoría para el reembolso de la contribución de la Unión por parte de la Comisión en virtud del artículo 94 del RDC, que deben conservarse a nivel de la autoridad de gestión/organismo intermedio).  </w:t>
      </w:r>
      <w:r>
        <w:br/>
        <w:t xml:space="preserve">De conformidad con el artículo 94, apartado 3, del RDC, los costes unitarios, los importes a tanto alzado y los tipos fijos estarán sujetos a verificaciones de gestión y a auditorías de la Comisión y de los Estados miembros destinadas únicamente a verificar que se han cumplido las condiciones para el reembolso por parte de la Comisión. La función de contabilidad debe limitarse a las funciones previstas en el artículo 76 del RDC y no duplicar las verificaciones de gestión de la autoridad de gestión. </w:t>
      </w:r>
      <w:r>
        <w:br/>
      </w:r>
    </w:p>
    <w:p w:rsidR="00F83F12" w:rsidRDefault="001C6219">
      <w:pPr>
        <w:numPr>
          <w:ilvl w:val="0"/>
          <w:numId w:val="34"/>
        </w:numPr>
      </w:pPr>
      <w:r>
        <w:t xml:space="preserve">El artículo 98, apartado 6, del RDC establece que los gastos irregulares y los gastos sujetos a una evaluación en curso deben deducirse de las cuentas (anuales) y que las cuentas incluyen los importes retirados durante el ejercicio contable de conformidad con el artículo 98, apartado 3, letra b), y el artículo 98 (7) del RDC. El artículo también establece que los importes sujetos a evaluación </w:t>
      </w:r>
      <w:r>
        <w:lastRenderedPageBreak/>
        <w:t>en curso pueden introducirse en las solicitudes de pago para ejercicios contables posteriores una vez que se haya confirmado su legalidad y regularidad. De conformidad con el artículo 74, apartado 1, letra d), del RDC, la autoridad de gestión evitará, detectará y corregirá las irregularidades y la Comisión podrá suspender la totalidad o parte de los pagos si el gasto de las solicitudes de pago está relacionado con una irregularidad que no se ha corregido, de conformidad con lo dispuesto en el artículo 97, apartado 1, letra c), del RDC. El organismo que desempeñe la función de contabilidad tendrá en cuenta estos requisitos y establecerá acuerdos con la autoridad de gestión y la autoridad de auditoría sobre estos aspectos.</w:t>
      </w:r>
      <w:r>
        <w:br/>
      </w:r>
    </w:p>
    <w:p w:rsidR="00F83F12" w:rsidRDefault="001C6219">
      <w:pPr>
        <w:numPr>
          <w:ilvl w:val="0"/>
          <w:numId w:val="34"/>
        </w:numPr>
      </w:pPr>
      <w:r>
        <w:t>La Comisión no prevé la adopción de ninguna orientación al respecto.</w:t>
      </w:r>
    </w:p>
    <w:p w:rsidR="00F83F12" w:rsidRDefault="00F83F12"/>
    <w:p w:rsidR="00F83F12" w:rsidRDefault="00F83F12"/>
    <w:p w:rsidR="00F83F12" w:rsidRDefault="001C6219">
      <w:pPr>
        <w:pStyle w:val="Ttulo1"/>
      </w:pPr>
      <w:bookmarkStart w:id="103" w:name="scroll-bookmark-103"/>
      <w:bookmarkStart w:id="104" w:name="scroll-bookmark-104"/>
      <w:bookmarkEnd w:id="103"/>
      <w:r>
        <w:t>QA000</w:t>
      </w:r>
      <w:r w:rsidR="0028628B">
        <w:t>56 — ¿Puede un</w:t>
      </w:r>
      <w:r>
        <w:t xml:space="preserve"> O</w:t>
      </w:r>
      <w:r w:rsidR="0028628B">
        <w:t xml:space="preserve">P1, en particular </w:t>
      </w:r>
      <w:r>
        <w:t>O</w:t>
      </w:r>
      <w:r w:rsidR="0028628B">
        <w:t>E</w:t>
      </w:r>
      <w:r>
        <w:t>1.ii, prestar apoyo a las inversiones en videovigilancia y otros tipos de vigilancia?</w:t>
      </w:r>
      <w:bookmarkEnd w:id="104"/>
    </w:p>
    <w:p w:rsidR="00F83F12" w:rsidRDefault="001C6219">
      <w:r>
        <w:rPr>
          <w:noProof/>
          <w:lang w:val="es-ES"/>
        </w:rPr>
        <w:drawing>
          <wp:inline distT="0" distB="0" distL="0" distR="0" wp14:anchorId="5A080835" wp14:editId="012FC29B">
            <wp:extent cx="152435" cy="152435"/>
            <wp:effectExtent l="0" t="0" r="0" b="0"/>
            <wp:docPr id="100207" name="Imagen 1002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 3, apartado 1, letra a), y letra e), del Reglamento del FEDER</w:t>
      </w:r>
    </w:p>
    <w:p w:rsidR="00F83F12" w:rsidRDefault="001C6219">
      <w:r>
        <w:t>Artículo 29, apartado 1, del RDC</w:t>
      </w:r>
    </w:p>
    <w:p w:rsidR="00F83F12" w:rsidRDefault="001C6219">
      <w:r>
        <w:rPr>
          <w:noProof/>
          <w:lang w:val="es-ES"/>
        </w:rPr>
        <w:drawing>
          <wp:inline distT="0" distB="0" distL="0" distR="0" wp14:anchorId="2049769F" wp14:editId="3D588216">
            <wp:extent cx="152435" cy="152435"/>
            <wp:effectExtent l="0" t="0" r="0" b="0"/>
            <wp:docPr id="100209" name="Imagen 1002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F83F12"/>
    <w:p w:rsidR="00F83F12" w:rsidRDefault="001C6219">
      <w:pPr>
        <w:pStyle w:val="P68B1DB1-Normal4"/>
      </w:pPr>
      <w:r>
        <w:br/>
        <w:t>Pregunta 1 (incluidos los hechos e información pertinentes):</w:t>
      </w:r>
    </w:p>
    <w:p w:rsidR="00F83F12" w:rsidRDefault="001C6219">
      <w:r>
        <w:t xml:space="preserve">Un primer proyecto de programa para Italia denominado «Seguridad y legalidad» contiene propuestas de inversiones para luchar contra la delincuencia y la corrupción y aumentar la seguridad. Se propone que todo el programa sea cofinanciado por </w:t>
      </w:r>
      <w:r w:rsidR="0028628B">
        <w:t>el</w:t>
      </w:r>
      <w:r>
        <w:t xml:space="preserve"> OP 1 — OE1.ii. Las intervenciones propuestas incluyen la vigilancia por videoconferencia y, potencialmente, otros tipos de vigilancia en parques/zonas empresariales, zonas turísticas y zonas urbanas.</w:t>
      </w:r>
    </w:p>
    <w:p w:rsidR="00F83F12" w:rsidRDefault="001C6219">
      <w:r>
        <w:t xml:space="preserve">Las autoridades italianas tienen la intención de abordar esta cuestión con una estrategia sectorial para un territorio, es decir, las comisarías de policía locales deben elaborar una estrategia. ¿En qué medida, en su caso, </w:t>
      </w:r>
      <w:r w:rsidR="0013261E">
        <w:t>es</w:t>
      </w:r>
      <w:r>
        <w:t xml:space="preserve"> subvencionable este tipo de acciones en el marco del OP 1 — OE1.ii, también teniendo en cuenta que la «seguridad» se menciona explícitamente en el OP 5 — </w:t>
      </w:r>
      <w:r w:rsidR="0028628B">
        <w:t>OE</w:t>
      </w:r>
      <w:r>
        <w:t xml:space="preserve"> 5.i y 5.ii?</w:t>
      </w:r>
    </w:p>
    <w:p w:rsidR="00F83F12" w:rsidRDefault="001C6219">
      <w:r>
        <w:t>¿Dependería la respuesta a la pregunta anterior de si se refiere a parques o zonas empresariales, zonas turísticas o zonas urbanas?</w:t>
      </w:r>
    </w:p>
    <w:p w:rsidR="00F83F12" w:rsidRDefault="00F83F12"/>
    <w:p w:rsidR="00F83F12" w:rsidRDefault="001C6219">
      <w:pPr>
        <w:pStyle w:val="P68B1DB1-Normal4"/>
      </w:pPr>
      <w:r>
        <w:lastRenderedPageBreak/>
        <w:t>Respuesta.</w:t>
      </w:r>
    </w:p>
    <w:p w:rsidR="00F83F12" w:rsidRDefault="001C6219">
      <w:pPr>
        <w:numPr>
          <w:ilvl w:val="0"/>
          <w:numId w:val="35"/>
        </w:numPr>
      </w:pPr>
      <w:r>
        <w:t>Los equipos para videovigilancia u otros tipos de vigilancia no encajan en la digitalización de la administración pública, tal como se prevé en el SO1.ii (aprovechar los beneficios de la digitalización para los ciudadanos, las empresas, los organismos de investigación y las autoridades públicas). Por el contrario, las solicitudes para el tratamiento digital de la vigilancia u otros datos podrían considerarse admisibles en el marco de este pliego de cargos en caso de que se trate de servicios nuevos o significativamente mejorados para la administración electrónica.</w:t>
      </w:r>
    </w:p>
    <w:p w:rsidR="00F83F12" w:rsidRDefault="001C6219">
      <w:pPr>
        <w:numPr>
          <w:ilvl w:val="0"/>
          <w:numId w:val="35"/>
        </w:numPr>
      </w:pPr>
      <w:r>
        <w:t>El fomento de la seguridad es un objetivo mencionado en el OP 5 y, por lo tanto, el equipo de vigilancia sería subvencionable en el marco de esta OP; pero esto significa que debe formar parte de las estrategias de desarrollo territorial o local para la zona o zonas afectadas previstas por esta organización de productores.</w:t>
      </w:r>
    </w:p>
    <w:p w:rsidR="00F83F12" w:rsidRDefault="001C6219">
      <w:pPr>
        <w:numPr>
          <w:ilvl w:val="0"/>
          <w:numId w:val="35"/>
        </w:numPr>
      </w:pPr>
      <w:r>
        <w:t>El hecho de que se trate de una zona de negocio, una zona turística o una zona urbana no es pertinente: en todos estos casos, la necesidad de equipos de vigilancia por videoconferencia o de otro tipo debe determinarse a través de una estrategia de desarrollo territorial o local en el marco del OP 5.</w:t>
      </w:r>
    </w:p>
    <w:p w:rsidR="00F83F12" w:rsidRDefault="001C6219">
      <w:pPr>
        <w:numPr>
          <w:ilvl w:val="0"/>
          <w:numId w:val="35"/>
        </w:numPr>
      </w:pPr>
      <w:r>
        <w:t>La estrategia territorial debe cumplir las condiciones establecidas en el artículo 29 del RDC para garantizar, entre otras cosas, que la estrategia sea multisectorial y se rija por las autoridades u organismos territoriales pertinentes (porque las necesidades generales de desarrollo y el potencial de la zona deben abordarse en un enfoque territorial integrado).</w:t>
      </w:r>
    </w:p>
    <w:p w:rsidR="00F83F12" w:rsidRDefault="00F83F12"/>
    <w:p w:rsidR="00F83F12" w:rsidRDefault="00F83F12"/>
    <w:p w:rsidR="00F83F12" w:rsidRDefault="00F83F12"/>
    <w:p w:rsidR="00F83F12" w:rsidRDefault="001C6219">
      <w:pPr>
        <w:pStyle w:val="Ttulo1"/>
      </w:pPr>
      <w:bookmarkStart w:id="105" w:name="scroll-bookmark-105"/>
      <w:bookmarkStart w:id="106" w:name="scroll-bookmark-106"/>
      <w:bookmarkEnd w:id="105"/>
      <w:r>
        <w:t>QA00057 — Fecha de inicio de la subvencionabilidad para el FTJ</w:t>
      </w:r>
      <w:bookmarkEnd w:id="106"/>
    </w:p>
    <w:p w:rsidR="00F83F12" w:rsidRDefault="001C6219">
      <w:r>
        <w:rPr>
          <w:noProof/>
          <w:lang w:val="es-ES"/>
        </w:rPr>
        <w:drawing>
          <wp:inline distT="0" distB="0" distL="0" distR="0" wp14:anchorId="0783608C" wp14:editId="561B8EDC">
            <wp:extent cx="152435" cy="152435"/>
            <wp:effectExtent l="0" t="0" r="0" b="0"/>
            <wp:docPr id="100211" name="Imagen 1002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Artículos 22 y 63 del RDC</w:t>
      </w:r>
    </w:p>
    <w:p w:rsidR="00F83F12" w:rsidRDefault="001C6219">
      <w:r>
        <w:t>Artículo 10 del FTJ</w:t>
      </w:r>
    </w:p>
    <w:p w:rsidR="00F83F12" w:rsidRDefault="001C6219">
      <w:r>
        <w:rPr>
          <w:noProof/>
          <w:lang w:val="es-ES"/>
        </w:rPr>
        <w:drawing>
          <wp:inline distT="0" distB="0" distL="0" distR="0" wp14:anchorId="7A446A01" wp14:editId="2DA3B1A2">
            <wp:extent cx="152435" cy="152435"/>
            <wp:effectExtent l="0" t="0" r="0" b="0"/>
            <wp:docPr id="100213" name="Imagen 1002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El FTJ puede integrarse como eje a través de una modificación en otro programa de la política de cohesión que se convierte en un programa multifondo a través de la modificación.</w:t>
      </w:r>
    </w:p>
    <w:p w:rsidR="00F83F12" w:rsidRDefault="001C6219">
      <w:r>
        <w:lastRenderedPageBreak/>
        <w:t>¿Es correcto que todos los tipos de intervención utilizados en el programa del FEDER (por ejemplo, 047 o 089) y posteriormente en el transcurso de una modificación también en el eje del FTJ integrado en dicho programa del FEDER serían subvencionables a partir del 1 de enero de 2021, mientras que los no cubiertos por el FEDER sino, por ejemplo, por el programa del FSE +, pero incluidos en el FTJ (por ejemplo, 134 o 136), solo serían subvencionables a partir de la presentación de la modificación?</w:t>
      </w:r>
    </w:p>
    <w:p w:rsidR="00F83F12" w:rsidRDefault="001C6219">
      <w:r>
        <w:t xml:space="preserve">Además, las medidas incluidas en un programa independiente del FTJ serían subvencionables a partir del 1 de enero de 2021, </w:t>
      </w:r>
      <w:r w:rsidR="002F3719">
        <w:t xml:space="preserve">ya que, </w:t>
      </w:r>
      <w:r>
        <w:t>serían un programa separado y no formarían parte de una modificación de un programa existente, lo que podría contener tipos de intervención diferentes de los necesarios en el marco del FTJ.</w:t>
      </w:r>
    </w:p>
    <w:p w:rsidR="00F83F12" w:rsidRDefault="001C6219">
      <w:r>
        <w:t>Parece extraño que la integración de un programa en otro programa a través de una modificación (en este caso, el FTJ en el FEDER) se trate como una modificación «regular» del programa, en la que se añaden nuevos tipos de intervención y, por tanto, solo son subvencionables a partir de la integración, mientras que la introducción de un programa separado del FTJ el mismo día significaría que todos los tipos de intervención serían subvencionables a partir de 1.1.2021.</w:t>
      </w:r>
    </w:p>
    <w:p w:rsidR="00F83F12" w:rsidRDefault="001C6219">
      <w:r>
        <w:t>Esto también parece disuadir a los Estados miembros, la mayoría de los cuales tienen la intención de incluir el FTJ como una modificación de sus programas del FEDER para incluir intervenciones similares al FSE + en su eje del FTJ. Además, les disuade de elegir intervenciones diferentes de sus intervenciones del FEDER.</w:t>
      </w:r>
    </w:p>
    <w:p w:rsidR="00F83F12" w:rsidRDefault="00F83F12"/>
    <w:p w:rsidR="00F83F12" w:rsidRDefault="001C6219">
      <w:pPr>
        <w:pStyle w:val="P68B1DB1-Normal4"/>
      </w:pPr>
      <w:r>
        <w:t>Respuesta.</w:t>
      </w:r>
    </w:p>
    <w:p w:rsidR="00F83F12" w:rsidRDefault="001C6219">
      <w:r>
        <w:t>De conformidad con el artículo 63 del RDC, las normas de subvencionabilidad para las nuevas inversiones difieren en función de la situación del programa:</w:t>
      </w:r>
    </w:p>
    <w:p w:rsidR="00F83F12" w:rsidRDefault="001C6219">
      <w:pPr>
        <w:pStyle w:val="P68B1DB1-Normal4"/>
        <w:numPr>
          <w:ilvl w:val="0"/>
          <w:numId w:val="36"/>
        </w:numPr>
      </w:pPr>
      <w:r>
        <w:t>En el caso de los gastos introducidos en un programa presentado a la Comisión por primera vez para su adopción, se aplicarán las normas del artículo 63, apartado 2, del RDC.</w:t>
      </w:r>
    </w:p>
    <w:p w:rsidR="00F83F12" w:rsidRDefault="001C6219">
      <w:pPr>
        <w:ind w:left="720" w:hanging="360"/>
      </w:pPr>
      <w:r>
        <w:t>En este caso, los gastos podrían optar a una contribución de los Fondos si han sido efectuados por un beneficiario y pagados por un organismo pertinente entre la fecha de presentación del programa a la Comisión o a partir del 1 de enero de 2021 (si esta fecha es anterior) y el 31 de diciembre de 2029. Dado que la Comisión no ha recibido ningún programa antes de 2021, esto significa en la práctica que la fecha de inicio de la subvencionabilidad para todos los programas será el 1 de enero de 2021.</w:t>
      </w:r>
    </w:p>
    <w:p w:rsidR="00F83F12" w:rsidRDefault="00F83F12">
      <w:pPr>
        <w:ind w:left="720" w:hanging="360"/>
      </w:pPr>
    </w:p>
    <w:p w:rsidR="00F83F12" w:rsidRDefault="00E22099">
      <w:pPr>
        <w:numPr>
          <w:ilvl w:val="0"/>
          <w:numId w:val="36"/>
        </w:numPr>
      </w:pPr>
      <w:r>
        <w:t>En</w:t>
      </w:r>
      <w:r w:rsidR="001C6219">
        <w:rPr>
          <w:b/>
        </w:rPr>
        <w:t xml:space="preserve"> caso de los gastos introducidos en un programa a través de una solicitud de modificación, se aplicarán las normas del artículo 63, apartado 7, del RDC. </w:t>
      </w:r>
      <w:r w:rsidR="001C6219">
        <w:br/>
        <w:t xml:space="preserve">En este caso, los gastos podrían optar a una contribución de los Fondos a partir de la fecha de presentación de la solicitud correspondiente a la Comisión, a menos que el programa ya contenga el mismo código de intervención de los enumerados en el cuadro 1 del anexo I del RDC. Este último se aplica únicamente a los programas apoyados por el FEDER, el FC o el FTJ (no a los recursos del FSE +). En cualquier caso, los nuevos gastos deben cumplir todas las demás </w:t>
      </w:r>
      <w:r w:rsidR="001C6219">
        <w:lastRenderedPageBreak/>
        <w:t>condiciones de apoyo, tal como se establece en el RDC o en los reglamentos específicos de los Fondos.</w:t>
      </w:r>
    </w:p>
    <w:p w:rsidR="00F83F12" w:rsidRDefault="001C6219">
      <w:pPr>
        <w:pStyle w:val="P68B1DB1-Normal4"/>
      </w:pPr>
      <w:r>
        <w:t>Estas normas tienen carácter horizontal y, de hecho, no hay excepciones a la fecha de inicio de la subvencionabilidad de los gastos en los reglamentos específicos de los Fondos: ni en el Reglamento FEDER/FC ni en el FTJ.</w:t>
      </w:r>
    </w:p>
    <w:p w:rsidR="00F83F12" w:rsidRDefault="001C6219">
      <w:r>
        <w:t>De conformidad con el artículo 10, apartado 1, del Reglamento del FTJ y el artículo 22, apartado</w:t>
      </w:r>
      <w:r>
        <w:rPr>
          <w:b/>
        </w:rPr>
        <w:t xml:space="preserve"> </w:t>
      </w:r>
      <w:r>
        <w:t>8, del RDC, el Estado miembro podrá decidir libremente el método de programación para el FTJ: aprobación como programa independiente o como parte de un programa o como parte de una solicitud de modificación del programa. No obstante, esta decisión determinará la fecha de inicio de la elegibilidad para el FTJ de conformidad con el artículo 63 del RDC. El hecho de que</w:t>
      </w:r>
      <w:r>
        <w:rPr>
          <w:b/>
        </w:rPr>
        <w:t xml:space="preserve"> </w:t>
      </w:r>
      <w:r>
        <w:t>el artículo 10, apartado 1, del Reglamento del FTJ y el artículo 22, apartado 8, del RDC permitan a los Estados miembros aprobar los recursos del FTJ como parte de un programa presentado para su adopción o de una solicitud de modificación no altera las normas sobre la fecha de inicio de la subvencionabilidad, por lo que no prevé una excepción a lo dispuesto en el artículo 63. Por lo tanto, la fecha de inicio de la subvencionabilidad puede diferir de la siguiente manera:</w:t>
      </w:r>
    </w:p>
    <w:p w:rsidR="00F83F12" w:rsidRDefault="001C6219">
      <w:pPr>
        <w:numPr>
          <w:ilvl w:val="0"/>
          <w:numId w:val="37"/>
        </w:numPr>
      </w:pPr>
      <w:r>
        <w:rPr>
          <w:b/>
        </w:rPr>
        <w:t>En el caso de los gastos del FTJ introducidos en un programa autónomo o como parte de un programa presentado a la Comisión por primera vez para su adopción, se aplicarán las normas previstas en el artículo 63, apartado 2, del RDC.</w:t>
      </w:r>
      <w:r>
        <w:br/>
        <w:t>En este caso, los gastos del FTJ serían subvencionables si han sido efectuados por un beneficiario y pagados entre la fecha de presentación del programa a la Comisión o a partir del 1 de enero de 2021 (si esta fecha es anterior) y el 31 de diciembre de 2029.</w:t>
      </w:r>
    </w:p>
    <w:p w:rsidR="00F83F12" w:rsidRDefault="001C6219">
      <w:pPr>
        <w:pStyle w:val="P68B1DB1-Normal4"/>
        <w:numPr>
          <w:ilvl w:val="0"/>
          <w:numId w:val="37"/>
        </w:numPr>
      </w:pPr>
      <w:r>
        <w:t>En el caso de los gastos del FTJ introducidos en un programa ya adoptado mediante una solicitud formal de modificación, se aplicarán las normas del artículo 63, apartado 7, del RDC.</w:t>
      </w:r>
    </w:p>
    <w:p w:rsidR="00F83F12" w:rsidRDefault="001C6219">
      <w:pPr>
        <w:ind w:left="720" w:hanging="360"/>
      </w:pPr>
      <w:r>
        <w:t>En este caso, los gastos podrían optar a una contribución del FTJ a partir de la fecha de presentación de la solicitud correspondiente a la Comisión, a menos que el programa ya contenga el mismo código de intervención de los enumerados en el cuadro 1 del anexo I del RDC. A continuación, la fecha de subvencionabilidad se fijará en el 1 de enero de 2021</w:t>
      </w:r>
      <w:hyperlink r:id="rId446" w:anchor="_ftn1" w:history="1">
        <w:r>
          <w:rPr>
            <w:rStyle w:val="Hipervnculo"/>
          </w:rPr>
          <w:t>[1]</w:t>
        </w:r>
      </w:hyperlink>
      <w:r>
        <w:t>. Esto es independiente de si el código está asociado en el programa al objetivo específico del FEDER, el FSE +, el FC o el FTJ. Este podría ser el caso de un programa multifondo con una amplia cobertura temática y, por tanto, con numerosas categorías de intervenciones.</w:t>
      </w:r>
    </w:p>
    <w:p w:rsidR="00F83F12" w:rsidRDefault="001C6219">
      <w:pPr>
        <w:ind w:left="720" w:hanging="360"/>
      </w:pPr>
      <w:r>
        <w:t>En cualquier caso, los nuevos gastos en el marco del FTJ seguirán teniendo que cumplir todas las condiciones de ayuda aplicables en virtud del RDC y los Reglamentos del FTJ, por ejemplo, los gastos relacionados con las operaciones deben contribuir a la ejecución del plan territorial de transición justa pertinente, etc.</w:t>
      </w:r>
    </w:p>
    <w:p w:rsidR="00F83F12" w:rsidRDefault="001C6219">
      <w:r>
        <w:t>Por último, debe aclararse que la opción esbozada por el Estado miembro en cuestión («</w:t>
      </w:r>
      <w:r>
        <w:rPr>
          <w:i/>
        </w:rPr>
        <w:t>la integración de un programa en otro programa mediante una modificación (en este caso, el FTJ en el FEDER)»</w:t>
      </w:r>
      <w:r>
        <w:t xml:space="preserve">) no se considera técnicamente una fusión de programas. Se </w:t>
      </w:r>
      <w:r>
        <w:lastRenderedPageBreak/>
        <w:t>entiende como la introducción de recursos del FTJ en un programa adoptado con recursos del FEDER a través de una modificación del programa.   </w:t>
      </w:r>
    </w:p>
    <w:p w:rsidR="00F83F12" w:rsidRDefault="00F83F12"/>
    <w:p w:rsidR="00F83F12" w:rsidRDefault="001C6219">
      <w:r>
        <w:rPr>
          <w:noProof/>
          <w:lang w:val="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382895" cy="0"/>
                <wp:effectExtent l="13335" t="11430" r="13970" b="762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4EE1" id="Conector recto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" strokecolor="gray"/>
            </w:pict>
          </mc:Fallback>
        </mc:AlternateContent>
      </w:r>
      <w:hyperlink r:id="rId447" w:anchor="_ftnref1" w:history="1">
        <w:r>
          <w:rPr>
            <w:rStyle w:val="Hipervnculo"/>
          </w:rPr>
          <w:t>[1]</w:t>
        </w:r>
      </w:hyperlink>
      <w:r>
        <w:t xml:space="preserve"> O más tarde dependiendo de cuándo se introdujeron los códigos de intervención pertinentes en el programa a través de su modificación.</w:t>
      </w:r>
    </w:p>
    <w:p w:rsidR="00F83F12" w:rsidRDefault="00F83F12"/>
    <w:p w:rsidR="00F83F12" w:rsidRDefault="00F83F12"/>
    <w:p w:rsidR="00F83F12" w:rsidRDefault="00F83F12"/>
    <w:p w:rsidR="00F83F12" w:rsidRDefault="001C6219">
      <w:pPr>
        <w:pStyle w:val="Ttulo1"/>
      </w:pPr>
      <w:bookmarkStart w:id="107" w:name="scroll-bookmark-107"/>
      <w:bookmarkStart w:id="108" w:name="scroll-bookmark-108"/>
      <w:bookmarkEnd w:id="107"/>
      <w:r>
        <w:t>QA00058: límite del 25 % vinculado a la estrategia territorial/DLP</w:t>
      </w:r>
      <w:bookmarkEnd w:id="108"/>
    </w:p>
    <w:p w:rsidR="00F83F12" w:rsidRDefault="001C6219">
      <w:r>
        <w:rPr>
          <w:noProof/>
          <w:lang w:val="es-ES"/>
        </w:rPr>
        <w:drawing>
          <wp:inline distT="0" distB="0" distL="0" distR="0" wp14:anchorId="7BE264B2" wp14:editId="373E007E">
            <wp:extent cx="152435" cy="152435"/>
            <wp:effectExtent l="0" t="0" r="0" b="0"/>
            <wp:docPr id="100216" name="Imagen 10021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34 del RDC</w:t>
      </w:r>
    </w:p>
    <w:p w:rsidR="00F83F12" w:rsidRDefault="001C6219">
      <w:r>
        <w:rPr>
          <w:noProof/>
          <w:lang w:val="es-ES"/>
        </w:rPr>
        <w:drawing>
          <wp:inline distT="0" distB="0" distL="0" distR="0" wp14:anchorId="60A5B71D" wp14:editId="506ECF77">
            <wp:extent cx="152435" cy="152435"/>
            <wp:effectExtent l="0" t="0" r="0" b="0"/>
            <wp:docPr id="100218" name="Imagen 10021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t>Pregunta 1 (incluidos los hechos e información pertinentes):</w:t>
      </w:r>
    </w:p>
    <w:p w:rsidR="00F83F12" w:rsidRDefault="001C6219">
      <w:r>
        <w:t>La cuestión se refiere a la aclaración de las disposiciones del artículo 34 del Reglamento (UE) 2021/1060: «</w:t>
      </w:r>
      <w:r>
        <w:rPr>
          <w:i/>
        </w:rPr>
        <w:t>1. El Estado miembro velará por que la ayuda de los Fondos al desarrollo local participativo incluya los siguientes elementos: a) el desarrollo de capacidades y las acciones preparatorias de apoyo al diseño y la futura aplicación de la estrategia, [...] c) la gestión, el seguimiento y la evaluación de la estrategia y su animación, incluida la facilitación de los intercambios entre las partes interesadas.</w:t>
      </w:r>
      <w:r>
        <w:t xml:space="preserve"> </w:t>
      </w:r>
      <w:r>
        <w:rPr>
          <w:i/>
        </w:rPr>
        <w:t>(2)</w:t>
      </w:r>
      <w:r>
        <w:t xml:space="preserve"> </w:t>
      </w:r>
      <w:r>
        <w:rPr>
          <w:i/>
        </w:rPr>
        <w:t xml:space="preserve">[...] La ayuda a que se refiere el apartado 1, letra c), </w:t>
      </w:r>
      <w:r>
        <w:rPr>
          <w:i/>
          <w:u w:val="single"/>
        </w:rPr>
        <w:t>no superará el 25 % de la contribución pública total a la estrategia</w:t>
      </w:r>
      <w:r>
        <w:t>».</w:t>
      </w:r>
    </w:p>
    <w:p w:rsidR="00F83F12" w:rsidRDefault="001C6219">
      <w:r>
        <w:t>¿Debe calcularse el límite del 25 % sobre la base del gasto público total de todos los Fondos que apoyan la estrategia de DLP (con financiación múltiple) (en este caso, el FEDER y el Feader) o el límite máximo debe calcularse sobre la base del gasto público total de todos los Fondos que apoyan la estrategia de DLP (con financiación múltiple) + cualquier contribución pública adicional relacionada con la estrategia de desarrollo local?</w:t>
      </w:r>
    </w:p>
    <w:p w:rsidR="00F83F12" w:rsidRDefault="00F83F12"/>
    <w:p w:rsidR="00F83F12" w:rsidRDefault="001C6219">
      <w:pPr>
        <w:pStyle w:val="P68B1DB1-Normal4"/>
      </w:pPr>
      <w:r>
        <w:t>Respuesta.</w:t>
      </w:r>
    </w:p>
    <w:p w:rsidR="00F83F12" w:rsidRDefault="001C6219">
      <w:r>
        <w:t>De conformidad con el artículo 34, apartado 2, párrafo segundo, del RDC, el apoyo de los Fondos del RDC enumerados en el artículo 31, apartado 1, del RDC a una estrategia de DLP para la gestión, el seguimiento y la evaluación de la estrategia y su animación, incluida la facilitación de los intercambios entre las partes interesadas [a que se refiere el artículo 34, apartado 1, letra c), del RDC] no superará el 25 % de la contribución pública total a la estrategia.</w:t>
      </w:r>
    </w:p>
    <w:p w:rsidR="00F83F12" w:rsidRDefault="001C6219">
      <w:r>
        <w:lastRenderedPageBreak/>
        <w:t>La contribución pública total a la estrategia debe incluir cualquier contribución pública a la estrategia, tal como se define en el artículo 2, punto 28, del RDC, es decir, cuya fuente sea el presupuesto de las autoridades públicas nacionales, regionales o locales, el presupuesto de la Unión puesto a disposición de los Fondos, el presupuesto de los organismos de Derecho público o el presupuesto de asociaciones de autoridades públicas o de organismos de Derecho público.</w:t>
      </w:r>
    </w:p>
    <w:p w:rsidR="00F83F12" w:rsidRDefault="001C6219">
      <w:r>
        <w:t> Por consiguiente, en el ejemplo presentado en la pregunta, el importe máximo de la ayuda del FEDER debe calcularse sobre la base de la contribución pública total del FEDER y del Feader a la estrategia (contribución de la UE y nacional), junto con cualquier contribución pública adicional a la estrategia. </w:t>
      </w:r>
    </w:p>
    <w:p w:rsidR="00F83F12" w:rsidRDefault="00F83F12"/>
    <w:p w:rsidR="00F83F12" w:rsidRDefault="00F83F12"/>
    <w:p w:rsidR="00F83F12" w:rsidRDefault="00F83F12"/>
    <w:p w:rsidR="00F83F12" w:rsidRDefault="001C6219">
      <w:pPr>
        <w:pStyle w:val="Ttulo1"/>
      </w:pPr>
      <w:bookmarkStart w:id="109" w:name="scroll-bookmark-109"/>
      <w:bookmarkStart w:id="110" w:name="scroll-bookmark-110"/>
      <w:bookmarkEnd w:id="109"/>
      <w:r>
        <w:t>QA00059 — Aplicación del artículo 6 del Reglamento del FTJ a los territorios insulares que no constituyen una isla entera</w:t>
      </w:r>
      <w:bookmarkEnd w:id="110"/>
    </w:p>
    <w:p w:rsidR="00F83F12" w:rsidRDefault="001C6219">
      <w:r>
        <w:rPr>
          <w:noProof/>
          <w:lang w:val="es-ES"/>
        </w:rPr>
        <w:drawing>
          <wp:inline distT="0" distB="0" distL="0" distR="0" wp14:anchorId="4619F2B4" wp14:editId="6C80C180">
            <wp:extent cx="152435" cy="152435"/>
            <wp:effectExtent l="0" t="0" r="0" b="0"/>
            <wp:docPr id="100220" name="Imagen 10022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t>Artículo 6 y artículo 11 del FTJ</w:t>
      </w:r>
    </w:p>
    <w:p w:rsidR="00F83F12" w:rsidRDefault="001C6219">
      <w:r>
        <w:t>Artículo 22 del RDC</w:t>
      </w:r>
    </w:p>
    <w:p w:rsidR="00F83F12" w:rsidRDefault="001C6219">
      <w:r>
        <w:rPr>
          <w:noProof/>
          <w:lang w:val="es-ES"/>
        </w:rPr>
        <w:drawing>
          <wp:inline distT="0" distB="0" distL="0" distR="0" wp14:anchorId="228C2ABC" wp14:editId="7650430A">
            <wp:extent cx="152435" cy="152435"/>
            <wp:effectExtent l="0" t="0" r="0" b="0"/>
            <wp:docPr id="100222" name="Imagen 10022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F83F12"/>
    <w:p w:rsidR="00F83F12" w:rsidRDefault="001C6219">
      <w:pPr>
        <w:pStyle w:val="P68B1DB1-Normal4"/>
      </w:pPr>
      <w:r>
        <w:t>Pregunta 1 (incluidos los hechos e información pertinentes):</w:t>
      </w:r>
    </w:p>
    <w:p w:rsidR="00F83F12" w:rsidRDefault="001C6219">
      <w:r>
        <w:t>¿Se aplica el artículo 6 del Reglamento del FTJ sobre «Asignaciones específicas para las regiones ultraperiféricas y las islas» cuando un territorio (NUTS 3) incluido en un plan territorial de transición justa forma parte de una isla pero no es la isla en su totalidad? El caso específico en cuestión es la zona de Sulcis-Iglesiente en el sudoeste de Cerdeña: Sulcis-Iglesiente es una zona NUTS3 que forma parte de la región insular de Cerdeña, que es una zona NUTS 2.</w:t>
      </w:r>
    </w:p>
    <w:p w:rsidR="00F83F12" w:rsidRDefault="001C6219">
      <w:r>
        <w:t>En segundo lugar, ¿sería posible modificar la asignación específica a la (parte de) isla durante la ejecución del programa y, en caso afirmativo, ¿debería hacerlo mediante una modificación del programa?</w:t>
      </w:r>
    </w:p>
    <w:p w:rsidR="00F83F12" w:rsidRDefault="001C6219">
      <w:r>
        <w:t>Obsérvese que la ayuda del FTJ para Sulcis-Iglesiente y para la otra zona designada por el FTJ NUTS3 en Italia (Tarento en la región de Apulia) estará cubierta por un único programa específico del FTJ.</w:t>
      </w:r>
    </w:p>
    <w:p w:rsidR="00F83F12" w:rsidRDefault="00F83F12"/>
    <w:p w:rsidR="00F83F12" w:rsidRDefault="001C6219">
      <w:pPr>
        <w:pStyle w:val="P68B1DB1-Normal4"/>
      </w:pPr>
      <w:r>
        <w:t>Respuesta.</w:t>
      </w:r>
    </w:p>
    <w:p w:rsidR="00F83F12" w:rsidRDefault="001C6219">
      <w:r>
        <w:t>Pregunta 1:</w:t>
      </w:r>
    </w:p>
    <w:p w:rsidR="00F83F12" w:rsidRDefault="001C6219">
      <w:r>
        <w:lastRenderedPageBreak/>
        <w:t xml:space="preserve"> Sí, el artículo 6 del FTJ se aplica incluso si el territorio seleccionado del FTJ solo forma parte de una isla, </w:t>
      </w:r>
      <w:r w:rsidR="002F3719">
        <w:t xml:space="preserve">ya que, </w:t>
      </w:r>
      <w:r>
        <w:t>en el caso actual la zona de Sulcis-Iglesiente forma parte de una zona NUTS 3, como exige el artículo 11, apartado 1, del Reglamento del FTJ sobre el Plan Territorial de Transición Justa.</w:t>
      </w:r>
    </w:p>
    <w:p w:rsidR="00F83F12" w:rsidRDefault="001C6219">
      <w:r>
        <w:t>Pregunta 2:</w:t>
      </w:r>
    </w:p>
    <w:p w:rsidR="00F83F12" w:rsidRDefault="001C6219">
      <w:r>
        <w:t>Al incluir dichos territorios en su plan territorial de transición justa, los Estados miembros deben establecer el importe específico asignado a dichos territorios en virtud de la sección 1.3 del plan territorial de transición justa, junto con la correspondiente justificación, reflejando sus retos específicos y su capacidad para financiar las inversiones necesarias.</w:t>
      </w:r>
    </w:p>
    <w:p w:rsidR="00F83F12" w:rsidRDefault="001C6219">
      <w:r>
        <w:t>De conformidad con el artículo 22, apartado 8, del Reglamento sobre Disposiciones Comunes, los planes territoriales de transición justa forman parte integrante del programa. Así pues, cualquier modificación de la asignación con arreglo a la sección 1.3 debe considerarse una modificación del programa o programas pertinentes que dé lugar a la necesidad de notificar la modificación y de obtener su aprobación mediante decisión de la Comisión, sobre la base del artículo 24 del Reglamento sobre disposiciones comunes.</w:t>
      </w:r>
    </w:p>
    <w:p w:rsidR="00F83F12" w:rsidRDefault="00F83F12"/>
    <w:p w:rsidR="00F83F12" w:rsidRDefault="00F83F12"/>
    <w:p w:rsidR="00F83F12" w:rsidRDefault="001C6219">
      <w:pPr>
        <w:pStyle w:val="Ttulo1"/>
      </w:pPr>
      <w:bookmarkStart w:id="111" w:name="scroll-bookmark-111"/>
      <w:bookmarkStart w:id="112" w:name="scroll-bookmark-112"/>
      <w:bookmarkEnd w:id="111"/>
      <w:r>
        <w:t>QA00060 — Posibilidad de adquirir proyectos</w:t>
      </w:r>
      <w:bookmarkEnd w:id="112"/>
    </w:p>
    <w:p w:rsidR="00F83F12" w:rsidRDefault="001C6219">
      <w:r>
        <w:rPr>
          <w:noProof/>
          <w:lang w:val="es-ES"/>
        </w:rPr>
        <w:drawing>
          <wp:inline distT="0" distB="0" distL="0" distR="0" wp14:anchorId="0028C12F" wp14:editId="3687E6F1">
            <wp:extent cx="152435" cy="152435"/>
            <wp:effectExtent l="0" t="0" r="0" b="0"/>
            <wp:docPr id="100224" name="Imagen 10022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52 del RDC </w:t>
      </w:r>
    </w:p>
    <w:p w:rsidR="00F83F12" w:rsidRDefault="001C6219">
      <w:r>
        <w:rPr>
          <w:noProof/>
          <w:lang w:val="es-ES"/>
        </w:rPr>
        <w:drawing>
          <wp:inline distT="0" distB="0" distL="0" distR="0" wp14:anchorId="16B36E3E" wp14:editId="7C98F558">
            <wp:extent cx="152435" cy="152435"/>
            <wp:effectExtent l="0" t="0" r="0" b="0"/>
            <wp:docPr id="100226" name="Imagen 10022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F83F12" w:rsidRDefault="00F83F12"/>
    <w:p w:rsidR="00F83F12" w:rsidRDefault="001C6219">
      <w:pPr>
        <w:pStyle w:val="P68B1DB1-Normal4"/>
      </w:pPr>
      <w:r>
        <w:br/>
        <w:t>Pregunta 1 (incluidos los hechos e información pertinentes):</w:t>
      </w:r>
    </w:p>
    <w:p w:rsidR="00F83F12" w:rsidRDefault="001C6219">
      <w:r>
        <w:t>El artículo 52 (formas de ayuda) del RIC establece que «los Estados miembros utilizarán la contribución de los Fondos para prestar apoyo a los beneficiarios en forma de subvenciones, instrumentos financieros o premios, o de una combinación de ambos». ¿significa esta formulación que no es posible utilizar la contribución de los Fondos para la adquisición de proyectos? Si la contratación pública de proyectos sigue siendo una opción en régimen de gestión compartida (como en el FEAD actual), ¿dónde encontramos apoyo jurídico para ello?  </w:t>
      </w:r>
    </w:p>
    <w:p w:rsidR="00F83F12" w:rsidRDefault="00F83F12"/>
    <w:p w:rsidR="00F83F12" w:rsidRDefault="001C6219">
      <w:pPr>
        <w:pStyle w:val="P68B1DB1-Normal4"/>
      </w:pPr>
      <w:r>
        <w:t>Respuesta.</w:t>
      </w:r>
    </w:p>
    <w:p w:rsidR="00F83F12" w:rsidRDefault="001C6219">
      <w:r>
        <w:t>La contratación pública no es una «forma de ayuda a los beneficiarios» de conformidad con el artículo 52 del RDC; sin embargo, cuando reciban ayuda de los Fondos, los beneficiarios deben ejecutar operaciones de conformidad con las normas sobre contratación pública cuando proceda, a saber, las Directivas 2014/23, 2014/24 y 2014/25.».</w:t>
      </w:r>
    </w:p>
    <w:p w:rsidR="00F83F12" w:rsidRDefault="001C6219">
      <w:r>
        <w:lastRenderedPageBreak/>
        <w:t>Cabe señalar que la contratación pública nunca se consideró una forma de apoyo a los Fondos Estructurales y de Inversión Europeos en 2014-2020. Esta forma de apoyo solo se proporcionó al FEAD. La razón de ello fue que, en el caso del FEAD, gran parte de la ayuda recibida por los beneficiarios (en particular para la compra de alimentos) estaba sujeta a las normas de contratación pública.</w:t>
      </w:r>
    </w:p>
    <w:p w:rsidR="00F83F12" w:rsidRDefault="00F83F12"/>
    <w:p w:rsidR="00F83F12" w:rsidRDefault="00F83F12"/>
    <w:p w:rsidR="00F83F12" w:rsidRDefault="001C6219">
      <w:pPr>
        <w:pStyle w:val="Ttulo1"/>
      </w:pPr>
      <w:bookmarkStart w:id="113" w:name="scroll-bookmark-113"/>
      <w:bookmarkStart w:id="114" w:name="scroll-bookmark-114"/>
      <w:bookmarkEnd w:id="113"/>
      <w:r>
        <w:t>QA00062 — Combinación de la ayuda de los instrumentos financieros en régimen de gestión compartida con el apoyo del MRR a nivel de los destinatarios finales</w:t>
      </w:r>
      <w:bookmarkEnd w:id="114"/>
    </w:p>
    <w:p w:rsidR="00F83F12" w:rsidRDefault="001C6219">
      <w:r>
        <w:rPr>
          <w:noProof/>
          <w:lang w:val="es-ES"/>
        </w:rPr>
        <w:drawing>
          <wp:inline distT="0" distB="0" distL="0" distR="0" wp14:anchorId="13093359" wp14:editId="630392E7">
            <wp:extent cx="152435" cy="152435"/>
            <wp:effectExtent l="0" t="0" r="0" b="0"/>
            <wp:docPr id="100228" name="Imagen 10022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F83F12" w:rsidRDefault="001C6219">
      <w:r>
        <w:t>Artículo 58 y artículo 63 del RDC</w:t>
      </w:r>
    </w:p>
    <w:p w:rsidR="00F83F12" w:rsidRDefault="001C6219">
      <w:r>
        <w:t>Artículo 9 del Reglamento del MRR</w:t>
      </w:r>
    </w:p>
    <w:p w:rsidR="00F83F12" w:rsidRDefault="001C6219">
      <w:r>
        <w:rPr>
          <w:noProof/>
          <w:lang w:val="es-ES"/>
        </w:rPr>
        <w:drawing>
          <wp:inline distT="0" distB="0" distL="0" distR="0" wp14:anchorId="1B27A341" wp14:editId="5AAEA757">
            <wp:extent cx="152435" cy="152435"/>
            <wp:effectExtent l="0" t="0" r="0" b="0"/>
            <wp:docPr id="100230" name="Imagen 10023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t>Pregunta 1 (incluidos los hechos e información pertinentes):</w:t>
      </w:r>
    </w:p>
    <w:p w:rsidR="00F83F12" w:rsidRDefault="001C6219">
      <w:r>
        <w:t xml:space="preserve">Las autoridades regionales de Francia responsables de la ejecución del programa están estudiando la posibilidad de ampliar el apoyo a las empresas (es decir, los beneficiarios finales) en forma de instrumentos financieros proporcionando ayuda de una combinación de fuentes de ayuda, incluidos recursos del Fondo de Recuperación y Resiliencia (MRR) y recursos del programa en el marco de los períodos de programación 2014-2020 y 2021-2027. Los recursos del programa del FEDER son </w:t>
      </w:r>
      <w:r>
        <w:rPr>
          <w:u w:val="single"/>
        </w:rPr>
        <w:t>gestionados por los instrumentos financieros regionales</w:t>
      </w:r>
      <w:r>
        <w:t xml:space="preserve"> creados en virtud de las disposiciones del RDC. El </w:t>
      </w:r>
      <w:r>
        <w:rPr>
          <w:u w:val="single"/>
        </w:rPr>
        <w:t>banco nacional de fomento gestionará el apoyo del MRR (en lo sucesivo, «RFF») distribuido a cada región</w:t>
      </w:r>
      <w:r>
        <w:t>. </w:t>
      </w:r>
    </w:p>
    <w:p w:rsidR="00F83F12" w:rsidRDefault="001C6219">
      <w:pPr>
        <w:pStyle w:val="P68B1DB1-Normal4"/>
      </w:pPr>
      <w:r>
        <w:t>¿Es posible combinar los recursos del programa del FEDER y el apoyo del Mecanismo de Recuperación y Resiliencia en una sola inversión si la ayuda se presta en forma de instrumentos financieros? </w:t>
      </w:r>
    </w:p>
    <w:p w:rsidR="00F83F12" w:rsidRDefault="001C6219">
      <w:r>
        <w:rPr>
          <w:b/>
        </w:rPr>
        <w:t>Respuesta</w:t>
      </w:r>
      <w:hyperlink r:id="rId448" w:anchor="_ftn1" w:history="1">
        <w:r>
          <w:rPr>
            <w:rStyle w:val="Hipervnculo"/>
          </w:rPr>
          <w:t>[1]</w:t>
        </w:r>
      </w:hyperlink>
      <w:r>
        <w:rPr>
          <w:b/>
        </w:rPr>
        <w:t>:</w:t>
      </w:r>
    </w:p>
    <w:p w:rsidR="00F83F12" w:rsidRDefault="001C6219">
      <w:r>
        <w:t xml:space="preserve">La respuesta se refiere exclusivamente a la posibilidad de reunir los fondos del RDC y </w:t>
      </w:r>
      <w:r>
        <w:rPr>
          <w:u w:val="single"/>
        </w:rPr>
        <w:t>el MRR dentro de la misma inversión</w:t>
      </w:r>
      <w:r>
        <w:t xml:space="preserve"> a nivel del beneficiario final; no aborda las posibles sinergias entre la gestión paralela o sucesiva de los Fondos y el MRR a través de la misma estructura de instrumentos financieros que ya se analizó en la respuesta disponible en la evaluación cualitativa del MRR</w:t>
      </w:r>
      <w:hyperlink r:id="rId449" w:anchor="_ftn2" w:history="1">
        <w:r>
          <w:rPr>
            <w:rStyle w:val="Hipervnculo"/>
          </w:rPr>
          <w:t>[2]</w:t>
        </w:r>
      </w:hyperlink>
      <w:r>
        <w:t>.</w:t>
      </w:r>
    </w:p>
    <w:p w:rsidR="00F83F12" w:rsidRDefault="001C6219">
      <w:r>
        <w:t>Si bien, de conformidad con el artículo 58, apartado 4, del Reglamento (UE) 2021/1060 (RDC), la ayuda a los perceptores finales en el marco del instrumento financiero puede combinarse con la ayuda de cualquier Fondo u otro instrumento de la Unión, también deben tenerse en cuenta otras condiciones:</w:t>
      </w:r>
    </w:p>
    <w:p w:rsidR="00F83F12" w:rsidRDefault="001C6219">
      <w:pPr>
        <w:numPr>
          <w:ilvl w:val="0"/>
          <w:numId w:val="38"/>
        </w:numPr>
      </w:pPr>
      <w:r>
        <w:lastRenderedPageBreak/>
        <w:t>El RDC contiene una prohibición explícita de doble apoyo, en el sentido de que la misma partida de gasto no puede financiarse con cargo al presupuesto de la UE más del 100 % (artículo 58, apartado 7, del RDC).</w:t>
      </w:r>
    </w:p>
    <w:p w:rsidR="00F83F12" w:rsidRDefault="001C6219">
      <w:pPr>
        <w:numPr>
          <w:ilvl w:val="0"/>
          <w:numId w:val="38"/>
        </w:numPr>
      </w:pPr>
      <w:r>
        <w:t>El artículo 58, apartado 4, del RDC aclara que los gastos relacionados con el instrumento financiero no pueden declararse a la Comisión para recibir ayuda en virtud de otra forma, otro Fondo u otro instrumento de la Unión.</w:t>
      </w:r>
    </w:p>
    <w:p w:rsidR="00F83F12" w:rsidRDefault="001C6219">
      <w:pPr>
        <w:numPr>
          <w:ilvl w:val="0"/>
          <w:numId w:val="38"/>
        </w:numPr>
      </w:pPr>
      <w:r>
        <w:t>Para garantizar el respeto de los apartados mencionados del artículo 58 del RDC, el apartado 6 del mismo artículo establece la obligación de llevar registros separados para cada fuente de ayuda combinada.</w:t>
      </w:r>
    </w:p>
    <w:p w:rsidR="00F83F12" w:rsidRDefault="001C6219">
      <w:pPr>
        <w:numPr>
          <w:ilvl w:val="0"/>
          <w:numId w:val="38"/>
        </w:numPr>
      </w:pPr>
      <w:r>
        <w:t>Además, los fondos en el marco del RDC están sujetos a normas de subvencionabilidad [por ejemplo, normas nacionales, RDC o Reglamentos específicos de cada Fondo (artículo 63, apartado 1, del RDC)] y a verificaciones y auditorías de gestión (título VI del RDC).</w:t>
      </w:r>
    </w:p>
    <w:p w:rsidR="00F83F12" w:rsidRDefault="001C6219">
      <w:r>
        <w:t>Estos requisitos del RDC tienen por objeto garantizar que los gastos incluidos en la solicitud de pago a la Comisión sean legales y regulares o que se adopten las medidas necesarias en caso de irregularidades.</w:t>
      </w:r>
    </w:p>
    <w:p w:rsidR="00F83F12" w:rsidRDefault="001C6219">
      <w:r>
        <w:t xml:space="preserve">La norma de evitar la doble financiación está regulada en el artículo 9 del Reglamento del MRR, que también exige que la ayuda del MRR no cubra los mismos costes. En el contexto del MRR [véase el considerando (18)], los pagos no están sujetos a controles de los costes realmente soportados por el beneficiario. En su lugar, los costes se definen en los planes de recuperación y resiliencia sobre la base de los documentos presentados por los Estados miembros. </w:t>
      </w:r>
      <w:r>
        <w:rPr>
          <w:b/>
        </w:rPr>
        <w:t>Esto significa que todos los costes cubiertos por las estimaciones utilizadas en el marco de los planes deben excluirse de la financiación en el marco del RDC</w:t>
      </w:r>
      <w:r>
        <w:t>.</w:t>
      </w:r>
    </w:p>
    <w:p w:rsidR="00F83F12" w:rsidRDefault="001C6219">
      <w:r>
        <w:t xml:space="preserve">La sección 2 de la parte 3 del </w:t>
      </w:r>
      <w:hyperlink r:id="rId450" w:history="1">
        <w:r>
          <w:rPr>
            <w:rStyle w:val="Hipervnculo"/>
          </w:rPr>
          <w:t>documento de trabajo SWD (2021) 12 final</w:t>
        </w:r>
      </w:hyperlink>
      <w:r>
        <w:t xml:space="preserve"> incluye los requisitos pertinentes, tales como:</w:t>
      </w:r>
    </w:p>
    <w:p w:rsidR="00F83F12" w:rsidRDefault="001C6219">
      <w:r>
        <w:t>— Dado que el mismo coste no puede financiarse dos veces, las autoridades nacionales deberían haber descrito en sus planes cómo garantizarán el cumplimiento del artículo 9 del Reglamento del MRR y evitarán la doble financiación. Se pidió a los Estados miembros que diferenciaran clara y estrictamente las medidas, actividades y proyectos específicos financiados en el marco del MRR de los financiados en el marco de otros programas e instrumentos de la Unión. Además, el MRR, por regla general, no debe cubrir los porcentajes de cofinanciación nacionales obligatorios en el marco de otros programas.</w:t>
      </w:r>
    </w:p>
    <w:p w:rsidR="00F83F12" w:rsidRDefault="001C6219">
      <w:r>
        <w:t>— Los Estados miembros deberían haber facilitado una sección específica sobre financiación y costes con información detallada que identifique, para cada componente, qué costes están cubiertos (o se espera que estén cubiertos) por otras fuentes de financiación, así como los importes correspondientes. Es necesario un alto nivel de detalle para garantizar que no se produzca una doble financiación para las medidas que se benefician de diferentes fuentes de financiación de la Unión.</w:t>
      </w:r>
    </w:p>
    <w:p w:rsidR="00F83F12" w:rsidRDefault="001C6219">
      <w:r>
        <w:t xml:space="preserve">Para poder diferenciar los costes dentro de una inversión, la granularidad de la información sería muy importante. Así pues, a menos que dicha combinación ya </w:t>
      </w:r>
      <w:r>
        <w:lastRenderedPageBreak/>
        <w:t>estuviera prevista durante la preparación del plan, podría asumir un riesgo de doble financiación.</w:t>
      </w:r>
    </w:p>
    <w:p w:rsidR="00F83F12" w:rsidRDefault="001C6219">
      <w:r>
        <w:t>Si los Estados miembros siguen considerando esta combinación de ayuda, la Comisión les invita a debatir caso por caso y a demostrar que los costes específicos que deben cubrirse con cargo a los Fondos del RDC quedaron excluidos en el marco del MRR. También debe explicar cómo se garantizarían la gestión y la verificación de la operación, la pista de auditoría adecuada del gasto, así como la relación contractual entre la AG, las autoridades de los Estados miembros responsables de la ejecución del MRR y los organismos que ejecutan los instrumentos financieros.  </w:t>
      </w:r>
    </w:p>
    <w:p w:rsidR="00F83F12" w:rsidRDefault="00F83F12"/>
    <w:p w:rsidR="00F83F12" w:rsidRDefault="00F83F12"/>
    <w:p w:rsidR="00F83F12" w:rsidRDefault="001C6219">
      <w:r>
        <w:rPr>
          <w:noProof/>
          <w:lang w:val="es-E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382895" cy="0"/>
                <wp:effectExtent l="13335" t="11430" r="13970" b="762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6C15B" id="Conector recto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" strokecolor="gray"/>
            </w:pict>
          </mc:Fallback>
        </mc:AlternateContent>
      </w:r>
      <w:hyperlink r:id="rId451" w:anchor="_ftnref1" w:history="1">
        <w:r>
          <w:rPr>
            <w:rStyle w:val="Hipervnculo"/>
          </w:rPr>
          <w:t>[1]</w:t>
        </w:r>
      </w:hyperlink>
      <w:r>
        <w:t xml:space="preserve"> La respuesta se refiere al período de programación 2021-2027. En caso de que las autoridades del programa del Estado miembro deseen combinar la ayuda del programa del período de programación 2014-2020 con la ayuda del MRR en forma de instrumentos financieros (como se menciona en la pregunta anterior), deberán respetarse los mismos principios debatidos en la presente respuesta con respecto a las disposiciones del artículo 37, apartado 8, y (9), del artículo 65, apartado 1, del Reglamento (UE) n.º 1303/2013 (Reglamento sobre disposiciones comunes para el período de programación 2014-2020).</w:t>
      </w:r>
    </w:p>
    <w:p w:rsidR="00F83F12" w:rsidRDefault="00FC0FB1">
      <w:hyperlink r:id="rId452" w:anchor="_ftnref2" w:history="1">
        <w:r w:rsidR="001C6219">
          <w:rPr>
            <w:rStyle w:val="Hipervnculo"/>
          </w:rPr>
          <w:t>[2]</w:t>
        </w:r>
      </w:hyperlink>
      <w:r w:rsidR="001C6219">
        <w:t xml:space="preserve"> Pregunta 619, sección «Coordinación con otros fondos de la UE» </w:t>
      </w:r>
      <w:hyperlink r:id="rId453" w:history="1">
        <w:r w:rsidR="001C6219">
          <w:rPr>
            <w:rStyle w:val="Hipervnculo"/>
          </w:rPr>
          <w:t>MRR — Preguntas frecuentes — Preguntas frecuentes RECOVER para los Estados miembros — Wiki de Extranet de la CE (europa.eu).</w:t>
        </w:r>
      </w:hyperlink>
    </w:p>
    <w:p w:rsidR="00F83F12" w:rsidRDefault="00F83F12"/>
    <w:p w:rsidR="00F83F12" w:rsidRDefault="00F83F12"/>
    <w:p w:rsidR="00F83F12" w:rsidRDefault="00F83F12"/>
    <w:p w:rsidR="00F83F12" w:rsidRDefault="001C6219">
      <w:pPr>
        <w:pStyle w:val="Ttulo1"/>
      </w:pPr>
      <w:bookmarkStart w:id="115" w:name="scroll-bookmark-115"/>
      <w:bookmarkStart w:id="116" w:name="scroll-bookmark-116"/>
      <w:bookmarkEnd w:id="115"/>
      <w:r>
        <w:t>QA00063 — Doble financiación del IVA</w:t>
      </w:r>
      <w:bookmarkEnd w:id="116"/>
    </w:p>
    <w:p w:rsidR="00F83F12" w:rsidRDefault="001C6219">
      <w:r>
        <w:rPr>
          <w:noProof/>
          <w:lang w:val="es-ES"/>
        </w:rPr>
        <w:drawing>
          <wp:inline distT="0" distB="0" distL="0" distR="0" wp14:anchorId="79568D51" wp14:editId="08785F08">
            <wp:extent cx="152435" cy="152435"/>
            <wp:effectExtent l="0" t="0" r="0" b="0"/>
            <wp:docPr id="100233" name="Imagen 1002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64 del RDC </w:t>
      </w:r>
    </w:p>
    <w:p w:rsidR="00F83F12" w:rsidRDefault="001C6219">
      <w:r>
        <w:rPr>
          <w:noProof/>
          <w:lang w:val="es-ES"/>
        </w:rPr>
        <w:drawing>
          <wp:inline distT="0" distB="0" distL="0" distR="0" wp14:anchorId="0CE25A1A" wp14:editId="62A740A7">
            <wp:extent cx="152435" cy="152435"/>
            <wp:effectExtent l="0" t="0" r="0" b="0"/>
            <wp:docPr id="100235" name="Imagen 1002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F83F12" w:rsidRDefault="00F83F12"/>
    <w:p w:rsidR="00F83F12" w:rsidRDefault="001C6219">
      <w:pPr>
        <w:pStyle w:val="P68B1DB1-Normal4"/>
      </w:pPr>
      <w:r>
        <w:br/>
        <w:t>Pregunta 1 (incluidos los hechos e información pertinentes):</w:t>
      </w:r>
    </w:p>
    <w:p w:rsidR="00F83F12" w:rsidRDefault="001C6219">
      <w:r>
        <w:t>El artículo 64 (Costes no subvencionables) del RIC establece:</w:t>
      </w:r>
    </w:p>
    <w:p w:rsidR="00F83F12" w:rsidRDefault="001C6219">
      <w:pPr>
        <w:pStyle w:val="P68B1DB1-Normal5"/>
      </w:pPr>
      <w:r>
        <w:t>«- 1. Los costes siguientes no serán admisibles para una contribución de los Fondos:</w:t>
      </w:r>
    </w:p>
    <w:p w:rsidR="00F83F12" w:rsidRDefault="001C6219">
      <w:pPr>
        <w:pStyle w:val="P68B1DB1-Normal5"/>
      </w:pPr>
      <w:r>
        <w:t>C) el impuesto sobre el valor añadido (IVA), excepto:</w:t>
      </w:r>
    </w:p>
    <w:p w:rsidR="00F83F12" w:rsidRDefault="001C6219">
      <w:r>
        <w:t>I) para las operaciones cuyo coste total sea inferior a 5 000 000 EUR (IVA incluido) ii) para operaciones cuyo coste total sea como mínimo de 5 000 000 EUR (IVA incluido) cuando no sea recuperable con arreglo a la legislación nacional en materia de IVA;</w:t>
      </w:r>
    </w:p>
    <w:p w:rsidR="00F83F12" w:rsidRDefault="001C6219">
      <w:r>
        <w:lastRenderedPageBreak/>
        <w:t>El efecto es que en los proyectos de menos de 5 000 000 EUR el IVA es subvencionable incluso en los casos en que los costes del IVA se recuperan con arreglo a la legislación nacional, por lo que existe una doble financiación porque el promotor del proyecto percibe el IVA dos veces. Esperamos que la normativa nacional aborde la cuestión, pero se pregunta sobre la redacción.</w:t>
      </w:r>
    </w:p>
    <w:p w:rsidR="00F83F12" w:rsidRDefault="00F83F12"/>
    <w:p w:rsidR="00F83F12" w:rsidRDefault="001C6219">
      <w:pPr>
        <w:pStyle w:val="P68B1DB1-Normal4"/>
      </w:pPr>
      <w:r>
        <w:t>Respuesta.</w:t>
      </w:r>
    </w:p>
    <w:p w:rsidR="00F83F12" w:rsidRDefault="001C6219">
      <w:r>
        <w:t xml:space="preserve">De conformidad con el artículo 63, apartado 1, del RDC, la subvencionabilidad se determina sobre la base de normas nacionales, excepto cuando en el presente Reglamento o en los Reglamentos específicos de cada Fondo se establezcan normas específicas. Por lo que se refiere al impuesto sobre el valor añadido (IVA), el artículo 64, apartado 1, letra c), inciso i), regula que, en el caso de las operaciones cuyos costes totales sean inferiores a 5 000 000, incluido el IVA, el impuesto sobre el valor añadido puede optar a la contribución de los Fondos, con independencia de las normas nacionales sobre la posibilidad de recuperar el IVA. La razón de ser es simplificar las normas sobre la subvencionabilidad del IVA para las operaciones pequeñas, </w:t>
      </w:r>
      <w:r w:rsidR="002F3719">
        <w:t xml:space="preserve">ya que, </w:t>
      </w:r>
      <w:r>
        <w:t>se ha considerado que los beneficios de la reducción de la carga administrativa compensan los riesgos de doble financiación en estos casos (es decir, los riesgos de ayuda al IVA recuperado). </w:t>
      </w:r>
    </w:p>
    <w:p w:rsidR="00F83F12" w:rsidRDefault="00F83F12"/>
    <w:p w:rsidR="00F83F12" w:rsidRDefault="00F83F12"/>
    <w:p w:rsidR="00F83F12" w:rsidRDefault="00F83F12"/>
    <w:p w:rsidR="00F83F12" w:rsidRDefault="001C6219">
      <w:pPr>
        <w:pStyle w:val="Ttulo1"/>
      </w:pPr>
      <w:bookmarkStart w:id="117" w:name="scroll-bookmark-117"/>
      <w:bookmarkStart w:id="118" w:name="scroll-bookmark-118"/>
      <w:bookmarkEnd w:id="117"/>
      <w:r>
        <w:t>QA00064 — Responsabilidades de la autoridad de gestión y función de contabilidad</w:t>
      </w:r>
      <w:bookmarkEnd w:id="118"/>
    </w:p>
    <w:p w:rsidR="00F83F12" w:rsidRDefault="001C6219">
      <w:r>
        <w:rPr>
          <w:noProof/>
          <w:lang w:val="es-ES"/>
        </w:rPr>
        <w:drawing>
          <wp:inline distT="0" distB="0" distL="0" distR="0" wp14:anchorId="45684320" wp14:editId="4BE3F126">
            <wp:extent cx="152435" cy="152435"/>
            <wp:effectExtent l="0" t="0" r="0" b="0"/>
            <wp:docPr id="100237" name="Imagen 1002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72 y 76 del RDC </w:t>
      </w:r>
    </w:p>
    <w:p w:rsidR="00F83F12" w:rsidRDefault="001C6219">
      <w:r>
        <w:rPr>
          <w:noProof/>
          <w:lang w:val="es-ES"/>
        </w:rPr>
        <w:drawing>
          <wp:inline distT="0" distB="0" distL="0" distR="0" wp14:anchorId="02A7266F" wp14:editId="617A2BD1">
            <wp:extent cx="152435" cy="152435"/>
            <wp:effectExtent l="0" t="0" r="0" b="0"/>
            <wp:docPr id="100239" name="Imagen 1002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Alemania tiene una pregunta sobre los requisitos jurídicos de la UE en relación con la estructura de las autoridades en el nuevo período de financiación con respecto a la función contable del programa FEMPA.</w:t>
      </w:r>
    </w:p>
    <w:p w:rsidR="00F83F12" w:rsidRDefault="001C6219">
      <w:r>
        <w:t>El Reglamento RDC [Reglamento (CE) n.º 2021/1060] establece las siguientes especificaciones relativas a la estructura de las autoridades:</w:t>
      </w:r>
    </w:p>
    <w:p w:rsidR="00F83F12" w:rsidRDefault="001C6219">
      <w:pPr>
        <w:numPr>
          <w:ilvl w:val="0"/>
          <w:numId w:val="39"/>
        </w:numPr>
      </w:pPr>
      <w:r>
        <w:t xml:space="preserve">El RDC define las tareas de las autoridades del programa en el artículo 72 y siguientes, en virtud del cual las tareas originales de la autoridad de gestión se describen en primer lugar en los artículos 72 a 75. En el artículo 76 sigue la </w:t>
      </w:r>
      <w:r>
        <w:lastRenderedPageBreak/>
        <w:t>descripción de las tareas contables, que corresponden a las tareas anteriores de la autoridad de certificación.</w:t>
      </w:r>
    </w:p>
    <w:p w:rsidR="00F83F12" w:rsidRDefault="001C6219">
      <w:pPr>
        <w:numPr>
          <w:ilvl w:val="0"/>
          <w:numId w:val="39"/>
        </w:numPr>
      </w:pPr>
      <w:r>
        <w:t>— El artículo 72, apartado 2, establece que la función de contabilidad podrá ser desempeñada por la autoridad de gestión o por un organismo independiente.</w:t>
      </w:r>
    </w:p>
    <w:p w:rsidR="00F83F12" w:rsidRDefault="001C6219">
      <w:pPr>
        <w:numPr>
          <w:ilvl w:val="0"/>
          <w:numId w:val="39"/>
        </w:numPr>
      </w:pPr>
      <w:r>
        <w:t>— El artículo 71, apartado 4, establece que debe respetarse el principio de independencia funcional entre las autoridades del programa y dentro de ellas.</w:t>
      </w:r>
    </w:p>
    <w:p w:rsidR="00F83F12" w:rsidRDefault="001C6219">
      <w:r>
        <w:t>¿Qué significa exactamente el concepto de independencia funcional en caso de que la autoridad de gestión asuma el ámbito de responsabilidad de la contabilidad en el futuro y la autoridad de certificación existente sea anulada en su forma anterior?</w:t>
      </w:r>
    </w:p>
    <w:p w:rsidR="00F83F12" w:rsidRDefault="001C6219">
      <w:r>
        <w:t>Opción 1:</w:t>
      </w:r>
    </w:p>
    <w:p w:rsidR="00F83F12" w:rsidRDefault="001C6219">
      <w:r>
        <w:t>Las tareas originales de la autoridad de gestión (artículos 72 a 75) y las tareas contables (artículo 76) representan dos funciones o funciones diferentes en la tramitación de la financiación. El requisito de que el Estado miembro garantice la independencia funcional entre las autoridades del programa o dentro de ellas (artículo 71, apartado 4,) significa que en el futuro deberá garantizarse una separación funcional clara en la gestión de las tareas contables por parte de la autoridad de gestión. Por lo tanto, un miembro del personal al que se encomendaría la función de contabilidad no estaría autorizado a realizar ninguna de las demás tareas originales de la autoridad de gestión.</w:t>
      </w:r>
    </w:p>
    <w:p w:rsidR="00F83F12" w:rsidRDefault="001C6219">
      <w:r>
        <w:t>Opción 2:</w:t>
      </w:r>
    </w:p>
    <w:p w:rsidR="00F83F12" w:rsidRDefault="001C6219">
      <w:r>
        <w:t>El requisito de garantizar la independencia funcional entre una autoridad del programa o dentro de ella (artículo 71, apartado 4,) debe entenderse como una separación fundamental, adecuada y clara de las funciones entre la autoridad de gestión y el organismo intermedio (artículo 71, apartado 3,) o entre la autoridad de auditoría y sus organismos subordinados (artículo 71, apartado 2,). Por lo tanto, la realización de tareas contables y otras tareas básicas de la autoridad de gestión por parte de un mismo miembro del personal dentro de la autoridad de gestión no sería problemática.</w:t>
      </w:r>
    </w:p>
    <w:p w:rsidR="00F83F12" w:rsidRDefault="001C6219">
      <w:r>
        <w:t>Por supuesto, el artículo 72 del Reglamento Financiero de la UE, según el cual las funciones de autorización y contabilidad son independientes, debería observarse en cualquier caso. Esto se garantizaría mediante una clara separación de tareas entre el organismo intermediario (en el que se ostenta la facultad de autorización) y la autoridad de gestión (que en el futuro será responsable de la contabilidad, entre otras cosas).</w:t>
      </w:r>
    </w:p>
    <w:p w:rsidR="00F83F12" w:rsidRDefault="00F83F12"/>
    <w:p w:rsidR="00F83F12" w:rsidRDefault="001C6219">
      <w:pPr>
        <w:pStyle w:val="P68B1DB1-Normal4"/>
      </w:pPr>
      <w:r>
        <w:t>Respuesta.</w:t>
      </w:r>
    </w:p>
    <w:p w:rsidR="00F83F12" w:rsidRDefault="001C6219">
      <w:r>
        <w:t>De conformidad con el artículo 72, apartado 2, del RDC, «el Estado miembro podrá confiar la función de contabilidad a que se refiere el artículo 76 a la autoridad de gestión o a otro organismo».</w:t>
      </w:r>
    </w:p>
    <w:p w:rsidR="00F83F12" w:rsidRDefault="001C6219">
      <w:r>
        <w:t>Cuando la función contable está integrada en las funciones de la autoridad de gestión, no es necesario separar las funciones del personal que desempeña la función de contabilidad de otras funciones de la autoridad de gestión.</w:t>
      </w:r>
    </w:p>
    <w:p w:rsidR="00F83F12" w:rsidRDefault="00F83F12"/>
    <w:p w:rsidR="00F83F12" w:rsidRDefault="00F83F12"/>
    <w:p w:rsidR="00F83F12" w:rsidRDefault="001C6219">
      <w:pPr>
        <w:pStyle w:val="Ttulo1"/>
      </w:pPr>
      <w:bookmarkStart w:id="119" w:name="scroll-bookmark-119"/>
      <w:bookmarkStart w:id="120" w:name="scroll-bookmark-120"/>
      <w:bookmarkEnd w:id="119"/>
      <w:r>
        <w:lastRenderedPageBreak/>
        <w:t>QA00065 — Gastos directos de personal relativos a las subvenciones</w:t>
      </w:r>
      <w:bookmarkEnd w:id="120"/>
    </w:p>
    <w:p w:rsidR="00F83F12" w:rsidRDefault="001C6219">
      <w:r>
        <w:rPr>
          <w:noProof/>
          <w:lang w:val="es-ES"/>
        </w:rPr>
        <w:drawing>
          <wp:inline distT="0" distB="0" distL="0" distR="0" wp14:anchorId="26EFD350" wp14:editId="598A5B22">
            <wp:extent cx="152435" cy="152435"/>
            <wp:effectExtent l="0" t="0" r="0" b="0"/>
            <wp:docPr id="100241" name="Imagen 1002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55 del RDC</w:t>
      </w:r>
    </w:p>
    <w:p w:rsidR="00F83F12" w:rsidRDefault="001C6219">
      <w:r>
        <w:rPr>
          <w:noProof/>
          <w:lang w:val="es-ES"/>
        </w:rPr>
        <w:drawing>
          <wp:inline distT="0" distB="0" distL="0" distR="0" wp14:anchorId="2BD71499" wp14:editId="753E04F9">
            <wp:extent cx="152435" cy="152435"/>
            <wp:effectExtent l="0" t="0" r="0" b="0"/>
            <wp:docPr id="100243" name="Imagen 1002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F83F12" w:rsidRDefault="00F83F12"/>
    <w:p w:rsidR="00F83F12" w:rsidRDefault="001C6219">
      <w:pPr>
        <w:pStyle w:val="P68B1DB1-Normal4"/>
      </w:pPr>
      <w:r>
        <w:br/>
        <w:t>Pregunta 1 (incluidos los hechos e información pertinentes):</w:t>
      </w:r>
    </w:p>
    <w:p w:rsidR="00F83F12" w:rsidRDefault="001C6219">
      <w:r>
        <w:t xml:space="preserve">El artículo 55, apartado 5, establece una excepción para el personal que trabaja a tiempo parcial (es </w:t>
      </w:r>
      <w:r>
        <w:rPr>
          <w:i/>
        </w:rPr>
        <w:t xml:space="preserve">decir, «5. </w:t>
      </w:r>
      <w:r>
        <w:rPr>
          <w:b/>
          <w:i/>
        </w:rPr>
        <w:t>Los</w:t>
      </w:r>
      <w:r>
        <w:rPr>
          <w:i/>
        </w:rPr>
        <w:t xml:space="preserve"> costes de personal relacionados con las </w:t>
      </w:r>
      <w:r>
        <w:rPr>
          <w:b/>
          <w:i/>
        </w:rPr>
        <w:t>personas que trabajan a tiempo parcial en la operación podrán calcularse</w:t>
      </w:r>
      <w:r>
        <w:rPr>
          <w:i/>
        </w:rPr>
        <w:t xml:space="preserve"> como un porcentaje fijo de los costes salariales brutos, en consonancia con un porcentaje fijo del tiempo trabajado en la operación por mes, sin </w:t>
      </w:r>
      <w:r>
        <w:rPr>
          <w:b/>
          <w:i/>
        </w:rPr>
        <w:t>obligación de establecer un sistema de registro separado del tiempo de trabajo</w:t>
      </w:r>
      <w:r>
        <w:rPr>
          <w:i/>
        </w:rPr>
        <w:t>.».....</w:t>
      </w:r>
      <w:r>
        <w:t>).</w:t>
      </w:r>
    </w:p>
    <w:p w:rsidR="00F83F12" w:rsidRDefault="00F83F12"/>
    <w:p w:rsidR="00F83F12" w:rsidRDefault="001C6219">
      <w:r>
        <w:t>El artículo 55, apartado 3, establece la forma general de declarar las horas, que se deja abierta a la interpretación.</w:t>
      </w:r>
    </w:p>
    <w:p w:rsidR="00F83F12" w:rsidRDefault="00F83F12"/>
    <w:p w:rsidR="00F83F12" w:rsidRDefault="001C6219">
      <w:pPr>
        <w:numPr>
          <w:ilvl w:val="0"/>
          <w:numId w:val="40"/>
        </w:numPr>
      </w:pPr>
      <w:r>
        <w:t>En caso de que la interpretación sea tal que, a diferencia de la excepción prevista en el apartado 5, existe la obligación de disponer de un sistema separado de registro del tiempo de trabajo para el personal que trabaja a tiempo completo en un proyecto.</w:t>
      </w:r>
    </w:p>
    <w:p w:rsidR="00F83F12" w:rsidRDefault="001C6219">
      <w:pPr>
        <w:numPr>
          <w:ilvl w:val="0"/>
          <w:numId w:val="40"/>
        </w:numPr>
      </w:pPr>
      <w:r>
        <w:t>O si la interpretación es que la excepción es una excepción únicamente para el personal a tiempo parcial, cuando la norma general es que se utiliza un sistema de registro del tiempo de trabajo separado, pero que este punto se aparta de la norma general para el personal a tiempo parcial.</w:t>
      </w:r>
    </w:p>
    <w:p w:rsidR="00F83F12" w:rsidRDefault="001C6219">
      <w:r>
        <w:t> Si esta interpretación es correcta, ¿existen directrices sobre cómo debe declararse el tiempo trabajado por el personal a tiempo completo para que sea aceptable?</w:t>
      </w:r>
    </w:p>
    <w:p w:rsidR="00F83F12" w:rsidRDefault="001C6219">
      <w:r>
        <w:t> ¿Podría interpretarse, por ejemplo, que la excepción prevista en el apartado 5 para el personal a tiempo parcial es la norma general para el personal a tiempo completo?</w:t>
      </w:r>
    </w:p>
    <w:p w:rsidR="00F83F12" w:rsidRDefault="00F83F12"/>
    <w:p w:rsidR="00F83F12" w:rsidRDefault="001C6219">
      <w:pPr>
        <w:pStyle w:val="P68B1DB1-Normal4"/>
      </w:pPr>
      <w:r>
        <w:t>Respuesta.</w:t>
      </w:r>
    </w:p>
    <w:p w:rsidR="00F83F12" w:rsidRDefault="001C6219">
      <w:r>
        <w:t>El artículo 55 del RDC establece disposiciones generales para los costes directos de personal relativos a las subvenciones. Por lo que se refiere al cálculo de los costes directos de personal de un empleado que trabaja a tiempo parcial en una operación, este artículo prevé multiplicar las horas realmente trabajadas por un empleado en la operación según lo registrado en un sistema separado de registro del tiempo de trabajo por la tarifa horaria calculada sobre la base del artículo 55, apartado 2, del RDC; o aplicar un porcentaje fijo sobre los costes salariales brutos equivalente al porcentaje fijo del tiempo trabajado en la operación de conformidad con el artículo 55, apartado 5, del RDC.</w:t>
      </w:r>
    </w:p>
    <w:p w:rsidR="00F83F12" w:rsidRDefault="001C6219">
      <w:r>
        <w:lastRenderedPageBreak/>
        <w:t> Cuando los empleados trabajan a tiempo parcial en una operación, pero con un porcentaje fijo de tiempo al mes, el artículo 55, apartado 5, del RDC establece que no es necesario un sistema de registro de tiempo de trabajo para verificar el número de horas trabajadas. No obstante, el empleador debe emitir un documento en el que se establezca el porcentaje fijo de tiempo trabajado en la operación al mes y este porcentaje puede utilizarse para calcular los costes de personal subvencionables. </w:t>
      </w:r>
    </w:p>
    <w:p w:rsidR="00F83F12" w:rsidRDefault="001C6219">
      <w:r>
        <w:t> En la Comunicación de la Comisión sobre el uso de opciones de costes simplificados en los Fondos Estructurales y de Inversión Europeos (versión revisada (2021/C 200/01), sección 3.2, cuyos principios siguen siendo aplicables durante el período 2021-2027, se ofrecen orientaciones adicionales. </w:t>
      </w:r>
    </w:p>
    <w:p w:rsidR="00F83F12" w:rsidRDefault="00F83F12"/>
    <w:p w:rsidR="00F83F12" w:rsidRDefault="00F83F12"/>
    <w:p w:rsidR="00F83F12" w:rsidRDefault="001C6219">
      <w:pPr>
        <w:pStyle w:val="Ttulo1"/>
      </w:pPr>
      <w:bookmarkStart w:id="121" w:name="scroll-bookmark-121"/>
      <w:bookmarkStart w:id="122" w:name="scroll-bookmark-122"/>
      <w:bookmarkEnd w:id="121"/>
      <w:r>
        <w:t>QA00066 — Preguntas sobre la subvencionabilidad en el marco del FTJ</w:t>
      </w:r>
      <w:bookmarkEnd w:id="122"/>
    </w:p>
    <w:p w:rsidR="00F83F12" w:rsidRDefault="001C6219">
      <w:r>
        <w:rPr>
          <w:noProof/>
          <w:lang w:val="es-ES"/>
        </w:rPr>
        <w:drawing>
          <wp:inline distT="0" distB="0" distL="0" distR="0" wp14:anchorId="6751CB07" wp14:editId="47E6AE13">
            <wp:extent cx="152435" cy="152435"/>
            <wp:effectExtent l="0" t="0" r="0" b="0"/>
            <wp:docPr id="100245" name="Imagen 1002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Artículos 8 y 9 del Reglamento del FTJ</w:t>
      </w:r>
    </w:p>
    <w:p w:rsidR="00F83F12" w:rsidRDefault="001C6219">
      <w:r>
        <w:t>Artículo 107 del TFUE </w:t>
      </w:r>
    </w:p>
    <w:p w:rsidR="00F83F12" w:rsidRDefault="001C6219">
      <w:r>
        <w:rPr>
          <w:noProof/>
          <w:lang w:val="es-ES"/>
        </w:rPr>
        <w:drawing>
          <wp:inline distT="0" distB="0" distL="0" distR="0" wp14:anchorId="77B0E345" wp14:editId="580BBC23">
            <wp:extent cx="152435" cy="152435"/>
            <wp:effectExtent l="0" t="0" r="0" b="0"/>
            <wp:docPr id="100247" name="Imagen 1002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pPr>
        <w:numPr>
          <w:ilvl w:val="0"/>
          <w:numId w:val="41"/>
        </w:numPr>
      </w:pPr>
      <w:r>
        <w:t xml:space="preserve">Es posible apoyar la inversión productiva en grandes empresas, independientemente del sector en cuestión, si está en consonancia con el artículo 8, apartado 2, del FTJ y está debidamente justificada en consonancia con las necesidades de transición de la región. Es aplicable a cualquier inversión productiva en grandes empresas subvencionables en el marco del FTJ, en zonas designadas como asistidas de conformidad con el artículo 107, apartado 3, letras a) y c), del TFUE. Véase el considerando n.º 16 de la propuesta de Reglamento del FTJ: «En el caso de las empresas distintas de las pymes, las inversiones productivas solo deben apoyarse si son necesarias para mitigar las pérdidas de puestos de trabajo derivadas de la transición, creando o protegiendo un número significativo de puestos de trabajo y no dan lugar a deslocalizaciones ni se derivan de ellas. Deben permitirse las inversiones en instalaciones industriales existentes, incluidas las sometidas al régimen de comercio de derechos de emisión de la Unión, si contribuyen a lograr la transición a una economía climáticamente neutra de aquí a 2050, se sitúan sustancialmente por debajo de los parámetros de referencia pertinentes establecidos para la asignación gratuita en virtud de la Directiva 2003/87/CE del Parlamento Europeo y del Consejo14, y dan lugar a la protección de un número significativo de puestos de trabajo. «¿Podemos esperar que, en el «Informe por país sobre la República Checa de </w:t>
      </w:r>
      <w:r>
        <w:lastRenderedPageBreak/>
        <w:t>2021» (en comparación con el informe de 2020), las directrices de inversión para el FTJ para el período 2021-2027 se modifiquen o complementen de alguna manera (teniendo en cuenta, por ejemplo, la importancia del papel de las grandes empresas en el proceso de transformación)?</w:t>
      </w:r>
      <w:r>
        <w:br/>
      </w:r>
    </w:p>
    <w:p w:rsidR="00F83F12" w:rsidRDefault="001C6219">
      <w:pPr>
        <w:numPr>
          <w:ilvl w:val="0"/>
          <w:numId w:val="41"/>
        </w:numPr>
      </w:pPr>
      <w:r>
        <w:t>¿Entendemos bien que una empresa (grande pero también más pequeña) que opera tiene un impacto negativo en el cambio climático y contribuye a la producción de gases de efecto invernadero no puede recibir apoyo del FTJ en esta situación particular: Una empresa de este tipo tiene la intención de recibir algún apoyo financiero del FTJ para la transición o el desarrollo de una nueva actividad económica en una región subvencionable en la que los antiguos trabajadores podrían ser reubicados. De lo contrario, esta actividad podría optar a la ayuda del FTJ (no causar un perjuicio significativo) y preservaría los puestos de trabajo al mismo tiempo. Sin embargo, la antigua industria intensiva en el clima se trasladaría fuera de la UE, donde existen límites de emisiones bajos o nulos. ¿Es así cuando no se permite el apoyo del FTJ? Y la siguiente pregunta imaginar la misma situación de apoyo a la inversión productiva sin deslocalización de empresas perjudiciales fuera de la UE (se cerrarían las antiguas empresas). Por ejemplo, una empresa de este tipo pasaría del segmento de la ingeniería pesada a la ingeniería ligera utilizando nuevas tecnologías y conservaría la mayor parte de los puestos de trabajo de la empresa anterior (pero, de hecho, no crearía nuevos puestos de trabajo adicionales). ¿Recibiría apoyo una empresa de este tipo o en qué condiciones podría recibir ayuda del FTJ?</w:t>
      </w:r>
      <w:r>
        <w:br/>
      </w:r>
    </w:p>
    <w:p w:rsidR="00F83F12" w:rsidRDefault="001C6219">
      <w:pPr>
        <w:numPr>
          <w:ilvl w:val="0"/>
          <w:numId w:val="41"/>
        </w:numPr>
      </w:pPr>
      <w:r>
        <w:t>¿Podría aclarar en mayor medida el apoyo al turismo sostenible como actividad relacionada con la diversificación económica de las regiones carboníferas? ¿Debe asociarse el turismo sostenible al patrimonio minero y al «turismo minero» o puede ser más comprensible en términos más generales? ¿Qué tipo de proyectos en el ámbito del turismo pueden optar al FTJ? Cada una de las regiones carboníferas checas tiene un territorio en el que el apoyo al turismo podría ser una alternativa interesante a otros proyectos de transformación.</w:t>
      </w:r>
      <w:r>
        <w:br/>
      </w:r>
    </w:p>
    <w:p w:rsidR="00F83F12" w:rsidRDefault="001C6219">
      <w:pPr>
        <w:numPr>
          <w:ilvl w:val="0"/>
          <w:numId w:val="41"/>
        </w:numPr>
      </w:pPr>
      <w:r>
        <w:t>El artículo 9, letra a), del FTJ excluye el apoyo a las centrales nucleares. ¿Significa esto que están permitidas las actividades relacionadas con el combustible nuclear usado, es decir, el uso de calor residual no directamente vinculado a la central nuclear? El artículo 9, letra d), del FTJ, que excluye los combustibles fósiles, es mucho más amplio, y es evidente que el FTJ no puede apoyar nada relacionado de alguna manera con los combustibles fósiles. Lamentablemente, el artículo 9, letra a), no es tan claro.</w:t>
      </w:r>
    </w:p>
    <w:p w:rsidR="00F83F12" w:rsidRDefault="001C6219">
      <w:r>
        <w:t>Ejemplo: Tenemos una central eléctrica de calefacción urbana que puede utilizar combustible nuclear gastado. Utilizará su calor residual para producir vapor; no hay fusión nuclear. Puede encontrar información técnica adicional en https</w:t>
      </w:r>
      <w:r w:rsidR="00E22099">
        <w:t>:</w:t>
      </w:r>
      <w:r>
        <w:t xml:space="preserve"> </w:t>
      </w:r>
      <w:hyperlink r:id="rId454" w:history="1">
        <w:r>
          <w:rPr>
            <w:rStyle w:val="Hipervnculo"/>
          </w:rPr>
          <w:t>//www.teplator.cz/</w:t>
        </w:r>
      </w:hyperlink>
      <w:r>
        <w:t>. (Se trata de un proyecto de investigación que desearía continuar en la fase de un proyecto piloto).</w:t>
      </w:r>
    </w:p>
    <w:p w:rsidR="00F83F12" w:rsidRDefault="00F83F12"/>
    <w:p w:rsidR="00F83F12" w:rsidRDefault="001C6219">
      <w:pPr>
        <w:pStyle w:val="P68B1DB1-Normal4"/>
      </w:pPr>
      <w:r>
        <w:t>Respuesta.</w:t>
      </w:r>
    </w:p>
    <w:p w:rsidR="00F83F12" w:rsidRDefault="001C6219">
      <w:pPr>
        <w:numPr>
          <w:ilvl w:val="0"/>
          <w:numId w:val="42"/>
        </w:numPr>
      </w:pPr>
      <w:r>
        <w:t>De conformidad con el artículo 8, apartado 2, del Reglamento del FTJ, las inversiones productivas en grandes empresas solo podrían apoyarse si:</w:t>
      </w:r>
      <w:r>
        <w:br/>
      </w:r>
    </w:p>
    <w:p w:rsidR="00F83F12" w:rsidRDefault="001C6219">
      <w:pPr>
        <w:numPr>
          <w:ilvl w:val="1"/>
          <w:numId w:val="43"/>
        </w:numPr>
      </w:pPr>
      <w:r>
        <w:t>Es necesario para la ejecución del plan territorial de transición justa.</w:t>
      </w:r>
    </w:p>
    <w:p w:rsidR="00F83F12" w:rsidRDefault="00F83F12"/>
    <w:p w:rsidR="00F83F12" w:rsidRDefault="00F83F12">
      <w:pPr>
        <w:ind w:left="720" w:hanging="360"/>
      </w:pPr>
    </w:p>
    <w:p w:rsidR="00F83F12" w:rsidRDefault="001C6219">
      <w:pPr>
        <w:numPr>
          <w:ilvl w:val="1"/>
          <w:numId w:val="44"/>
        </w:numPr>
      </w:pPr>
      <w:r>
        <w:t>Es necesario crear puestos de trabajo y compensar las pérdidas de puestos de trabajo derivadas del proceso de transición, a una escala que no podría lograrse mediante el apoyo a las pymes;</w:t>
      </w:r>
    </w:p>
    <w:p w:rsidR="00F83F12" w:rsidRDefault="00F83F12"/>
    <w:p w:rsidR="00F83F12" w:rsidRDefault="00F83F12">
      <w:pPr>
        <w:ind w:left="720" w:hanging="360"/>
      </w:pPr>
    </w:p>
    <w:p w:rsidR="00F83F12" w:rsidRDefault="001C6219">
      <w:pPr>
        <w:numPr>
          <w:ilvl w:val="1"/>
          <w:numId w:val="45"/>
        </w:numPr>
      </w:pPr>
      <w:r>
        <w:t>Esta inversión contribuye a la transición hacia una economía climáticamente neutra de aquí a 2050 y a los objetivos medioambientales conexos;</w:t>
      </w:r>
    </w:p>
    <w:p w:rsidR="00F83F12" w:rsidRDefault="00F83F12"/>
    <w:p w:rsidR="00F83F12" w:rsidRDefault="00F83F12">
      <w:pPr>
        <w:ind w:left="720" w:hanging="360"/>
      </w:pPr>
    </w:p>
    <w:p w:rsidR="00F83F12" w:rsidRDefault="001C6219">
      <w:pPr>
        <w:numPr>
          <w:ilvl w:val="1"/>
          <w:numId w:val="46"/>
        </w:numPr>
      </w:pPr>
      <w:r>
        <w:t>Esta inversión no da lugar a la reubicación, tal como se define en el artículo 2, punto (27), del RDC.</w:t>
      </w:r>
    </w:p>
    <w:p w:rsidR="00F83F12" w:rsidRDefault="00F83F12"/>
    <w:p w:rsidR="00F83F12" w:rsidRDefault="00F83F12">
      <w:pPr>
        <w:ind w:left="720" w:hanging="360"/>
      </w:pPr>
    </w:p>
    <w:p w:rsidR="00F83F12" w:rsidRDefault="001C6219">
      <w:pPr>
        <w:ind w:left="720" w:hanging="360"/>
      </w:pPr>
      <w:r>
        <w:t>La inversión productiva prevista debe incluirse en la lista indicativa del plan territorial de transición justa aprobado y contribuir a su ejecución. A este respecto, debe vincular y contribuir directamente al objetivo específico del FTJ, que consiste en permitir que las regiones y las personas afronten las repercusiones sociales, económicas y medioambientales de la transición. Tampoco debe entrar en el ámbito de aplicación de las exclusiones previstas en el artículo 9 del Reglamento del FTJ. Además, es posible realizar inversiones productivas en grandes empresas en el marco del FTJ en zonas designadas como «zonas asistidas» de conformidad con el artículo 107, apartado 3, letras a) y c), del TFUE.</w:t>
      </w:r>
    </w:p>
    <w:p w:rsidR="00F83F12" w:rsidRDefault="001C6219">
      <w:pPr>
        <w:ind w:left="720" w:hanging="360"/>
      </w:pPr>
      <w:r>
        <w:t>En general, los anexos D de los informes por país, publicados en el contexto del Semestre Europeo de 2020, no podían hacer hincapié en la necesidad de apoyar las inversiones productivas en grandes empresas debido a la imposibilidad de que la Comisión evaluara si la capacidad de las grandes empresas cumpliría o no las condiciones anteriores. Las autoridades nacionales competentes deben llevar a cabo dicha evaluación y sus resultados deben resumirse en el plan territorial de transición justa. (</w:t>
      </w:r>
      <w:r w:rsidR="00E22099">
        <w:t>La</w:t>
      </w:r>
      <w:r w:rsidR="00E22099">
        <w:rPr>
          <w:i/>
        </w:rPr>
        <w:t xml:space="preserve"> cuestión</w:t>
      </w:r>
      <w:r>
        <w:rPr>
          <w:i/>
        </w:rPr>
        <w:t xml:space="preserve"> relativa a las directrices de inversión del anexo D y si se modificará no entra en el ámbito de la evaluación de la calidad, </w:t>
      </w:r>
      <w:r w:rsidR="002F3719">
        <w:rPr>
          <w:i/>
        </w:rPr>
        <w:t xml:space="preserve">ya que, </w:t>
      </w:r>
      <w:r>
        <w:rPr>
          <w:i/>
        </w:rPr>
        <w:t>no se trata de una interpretación jurídica).</w:t>
      </w:r>
    </w:p>
    <w:p w:rsidR="00F83F12" w:rsidRDefault="001C6219">
      <w:pPr>
        <w:ind w:left="720" w:hanging="360"/>
      </w:pPr>
      <w:r>
        <w:lastRenderedPageBreak/>
        <w:t>En general, el Semestre Europeo de 2020 se ha adaptado para adoptar planes nacionales de recuperación y resiliencia que sustituirán a los informes por país. Sin embargo, no se espera que la Comisión cambie su posición sobre el papel de las grandes empresas en la transición justa.</w:t>
      </w:r>
    </w:p>
    <w:p w:rsidR="00F83F12" w:rsidRDefault="001C6219">
      <w:pPr>
        <w:ind w:left="720" w:hanging="360"/>
      </w:pPr>
      <w:r>
        <w:t>Además, el paquete del Semestre Europeo carece de la calidad jurídica para modificar el Reglamento del FTJ en cualquier aspecto.</w:t>
      </w:r>
      <w:r>
        <w:br/>
      </w:r>
    </w:p>
    <w:p w:rsidR="00F83F12" w:rsidRDefault="001C6219">
      <w:pPr>
        <w:numPr>
          <w:ilvl w:val="0"/>
          <w:numId w:val="42"/>
        </w:numPr>
      </w:pPr>
      <w:r>
        <w:t>La ayuda financiera del FTJ para el desarrollo de nuevas actividades económicas que beneficien a la región subvencionable debe corresponder a las necesidades de desarrollo identificadas en el plan territorial de transición justa, de conformidad con el artículo 11, apartado 2, letra c), del Reglamento del FTJ. A su vez, estas necesidades de desarrollo deben ser coherentes con el proceso de transición y sus etapas clave, tal como se indica en el plan nacional de energía y clima y en otras estrategias climáticas nacionales, regionales o locales pertinentes (en la sección 1.1 del plan territorial de transición justa).</w:t>
      </w:r>
      <w:r>
        <w:br/>
      </w:r>
      <w:r>
        <w:br/>
        <w:t>No obstante, la ayuda del FTJ no sustituirá a las obligaciones sociales aplicables de la industria de gran intensidad climática en términos de reconversión de puestos de trabajo, cuando proceda. </w:t>
      </w:r>
      <w:r>
        <w:br/>
      </w:r>
      <w:r>
        <w:br/>
        <w:t xml:space="preserve">Además, existen condiciones estrictas sobre el apoyo a las inversiones productivas en grandes empresas, tal como se establece en el artículo 8, apartado 2, del Reglamento del FTJ, así como el requisito de reducir las emisiones de GEI en las actividades del régimen europeo de comercio de derechos de emisión. En particular, contribuirán a la transición hacia una economía climáticamente neutra de aquí a 2050. En caso de que las inversiones productivas no cumplan estas condiciones, no serían subvencionables. </w:t>
      </w:r>
      <w:r>
        <w:br/>
      </w:r>
    </w:p>
    <w:p w:rsidR="00F83F12" w:rsidRDefault="001C6219">
      <w:pPr>
        <w:numPr>
          <w:ilvl w:val="0"/>
          <w:numId w:val="42"/>
        </w:numPr>
      </w:pPr>
      <w:r>
        <w:t>De conformidad con el considerando 12 del Reglamento del FTJ, las inversiones en turismo sostenible financiadas en el marco del FTJ deben apoyar a las economías locales estimulando su potencial de crecimiento endógeno de conformidad con las respectivas estrategias de especialización inteligente. Los proyectos concretos deben estar en consonancia con los respectivos planes de transición justa, es decir, deben contribuir a mitigar los efectos sociales, económicos y medioambientales negativos de la transición, en consonancia con el objetivo específico del FTJ explicado en el artículo 2 del Reglamento del FTJ.</w:t>
      </w:r>
      <w:r>
        <w:br/>
      </w:r>
      <w:r>
        <w:br/>
        <w:t xml:space="preserve">El apoyo al turismo sostenible no tiene por qué estar necesariamente relacionado con el patrimonio minero. </w:t>
      </w:r>
      <w:r>
        <w:br/>
      </w:r>
    </w:p>
    <w:p w:rsidR="00F83F12" w:rsidRDefault="001C6219">
      <w:pPr>
        <w:numPr>
          <w:ilvl w:val="0"/>
          <w:numId w:val="42"/>
        </w:numPr>
      </w:pPr>
      <w:r>
        <w:t>De conformidad con el artículo 8 (2) (g), las inversiones del FTJ en la producción de calor solo son subvencionables si se suministran exclusivamente a partir de fuentes de energía renovables, es decir, el proyecto propuesto no es subvencionable.</w:t>
      </w:r>
      <w:r>
        <w:br/>
      </w:r>
    </w:p>
    <w:p w:rsidR="00F83F12" w:rsidRDefault="001C6219">
      <w:pPr>
        <w:pStyle w:val="P68B1DB1-Normal4"/>
      </w:pPr>
      <w:r>
        <w:lastRenderedPageBreak/>
        <w:t> </w:t>
      </w:r>
    </w:p>
    <w:p w:rsidR="00F83F12" w:rsidRDefault="00F83F12"/>
    <w:p w:rsidR="00F83F12" w:rsidRDefault="00F83F12"/>
    <w:p w:rsidR="00F83F12" w:rsidRDefault="00F83F12"/>
    <w:p w:rsidR="00F83F12" w:rsidRDefault="00F83F12"/>
    <w:p w:rsidR="00F83F12" w:rsidRDefault="001C6219">
      <w:pPr>
        <w:pStyle w:val="Ttulo1"/>
      </w:pPr>
      <w:bookmarkStart w:id="123" w:name="scroll-bookmark-123"/>
      <w:bookmarkStart w:id="124" w:name="scroll-bookmark-124"/>
      <w:bookmarkEnd w:id="123"/>
      <w:r>
        <w:t>QA00073 — ¿Puede financiarse la construcción de alojamientos en castillos si los ingresos se utilizan para financiar los costes de mantenimiento de los edificios mencionados?</w:t>
      </w:r>
      <w:bookmarkEnd w:id="124"/>
    </w:p>
    <w:p w:rsidR="00F83F12" w:rsidRDefault="001C6219">
      <w:r>
        <w:rPr>
          <w:noProof/>
          <w:lang w:val="es-ES"/>
        </w:rPr>
        <w:drawing>
          <wp:inline distT="0" distB="0" distL="0" distR="0" wp14:anchorId="553D5E1C" wp14:editId="2E503862">
            <wp:extent cx="152435" cy="152435"/>
            <wp:effectExtent l="0" t="0" r="0" b="0"/>
            <wp:docPr id="100249" name="Imagen 1002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 del Reglamento FEDER</w:t>
      </w:r>
    </w:p>
    <w:p w:rsidR="00F83F12" w:rsidRDefault="001C6219">
      <w:r>
        <w:rPr>
          <w:noProof/>
          <w:lang w:val="es-ES"/>
        </w:rPr>
        <w:drawing>
          <wp:inline distT="0" distB="0" distL="0" distR="0" wp14:anchorId="568FC3C5" wp14:editId="645630EF">
            <wp:extent cx="152435" cy="152435"/>
            <wp:effectExtent l="0" t="0" r="0" b="0"/>
            <wp:docPr id="100251" name="Imagen 1002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HU</w:t>
      </w:r>
    </w:p>
    <w:p w:rsidR="00F83F12" w:rsidRDefault="00F83F12"/>
    <w:p w:rsidR="00F83F12" w:rsidRDefault="001C6219">
      <w:pPr>
        <w:pStyle w:val="P68B1DB1-Normal4"/>
      </w:pPr>
      <w:r>
        <w:br/>
        <w:t>Pregunta 1 (incluidos los hechos e información pertinentes):</w:t>
      </w:r>
    </w:p>
    <w:p w:rsidR="00F83F12" w:rsidRDefault="001C6219">
      <w:r>
        <w:t> Nos gustaría preguntarnos si, en general, la construcción de viviendas en castillos es subvencionable si los ingresos se utilizan para financiar los costes de mantenimiento de los edificios mencionados. En este caso, la organización operativa es una organización sin ánimo de lucro.</w:t>
      </w:r>
    </w:p>
    <w:p w:rsidR="00F83F12" w:rsidRDefault="001C6219">
      <w:r>
        <w:t> Sobre la base de la información disponible, Hungría propone el desarrollo de atracciones turísticas en el marco del OP 5, que incluiría, entre otras cosas, la renovación de castillos (de propiedad estatal) para uso turístico mediante la creación de alojamientos en el interior. Tras las renovaciones, los castillos funcionarían como museos/atracciones turísticas. Los ingresos procedentes del alojamiento se utilizarían para mantener los castillos (renovaciones adicionales, remuneración del personal, etc.).</w:t>
      </w:r>
    </w:p>
    <w:p w:rsidR="00F83F12" w:rsidRDefault="00F83F12"/>
    <w:p w:rsidR="00F83F12" w:rsidRDefault="001C6219">
      <w:pPr>
        <w:pStyle w:val="P68B1DB1-Normal4"/>
      </w:pPr>
      <w:r>
        <w:t>Respuesta.</w:t>
      </w:r>
    </w:p>
    <w:p w:rsidR="00F83F12" w:rsidRDefault="001C6219">
      <w:r>
        <w:t>Las inversiones en turismo y patrimonio cultural son, en principio, subvencionables en el marco de todos los objetivos políticos.</w:t>
      </w:r>
    </w:p>
    <w:p w:rsidR="00F83F12" w:rsidRDefault="001C6219">
      <w:r>
        <w:t>Dicha inversión debe entrar en el ámbito de aplicación del Fondo y del programa pertinentes y contribuir a los objetivos específicos de que se trate, y cumplir las condiciones favorables o los requisitos mínimos pertinentes establecidos para el objetivo político de que se trate.</w:t>
      </w:r>
    </w:p>
    <w:p w:rsidR="00F83F12" w:rsidRDefault="001C6219">
      <w:r>
        <w:t>Por ejemplo, los objetivos específicos mencionados en el artículo 3, apartado 1, letra a), inciso iii), del Reglamento del FEDER/FC sobre el fomento del crecimiento sostenible y la competitividad de las pymes y la creación de empleo</w:t>
      </w:r>
      <w:r>
        <w:rPr>
          <w:b/>
        </w:rPr>
        <w:t xml:space="preserve"> </w:t>
      </w:r>
      <w:r>
        <w:t xml:space="preserve">en las pymes, también mediante inversiones productivas; Artículo 3, apartado 1, letra b), inciso i), fomento de medidas de eficiencia energética y reducción de las emisiones de gases de efecto </w:t>
      </w:r>
      <w:r>
        <w:lastRenderedPageBreak/>
        <w:t>invernadero;  Artículo 3, apartado 1, letra d), inciso vi), sobre el refuerzo del papel de la cultura y el turismo sostenible en el desarrollo económico, la inclusión social y la innovación social; y el artículo 3, apartado 1, letra e), incisos i) y ii), sobre «fomentar el desarrollo social, económico y medioambiental integrado e inclusivo, la cultura, el patrimonio natural, el turismo sostenible y la seguridad» en zonas urbanas o no urbanas; son especialmente pertinentes a este respecto.</w:t>
      </w:r>
    </w:p>
    <w:p w:rsidR="00F83F12" w:rsidRDefault="001C6219">
      <w:r>
        <w:t>Si está programado en el marco de los objetivos específicos del OP 5 establecidos en el artículo 3, apartado 1, letra e), del Reglamento del FEDER/FC, dicha ayuda se prestará a través de estrategias de desarrollo territorial y local, a través de las formas establecidas en el artículo 28 del RDC.</w:t>
      </w:r>
    </w:p>
    <w:p w:rsidR="00F83F12" w:rsidRDefault="001C6219">
      <w:r>
        <w:t>La inversión también debe cumplir los principios para la selección de operaciones establecidos por la autoridad de gestión (artículo 73 del RDC) y las normas nacionales de subvencionabilidad. La autoridad de gestión velará por que las inversiones sean sostenibles desde el punto de vista medioambiental, social y económico. Debe prestarse especial atención a la sostenibilidad financiera de las inversiones turísticas. </w:t>
      </w:r>
    </w:p>
    <w:p w:rsidR="00F83F12" w:rsidRDefault="001C6219">
      <w:r>
        <w:t>En cuanto a la cuestión de los ingresos planteada, aunque, de conformidad con el RDC 2021-2027, ya no existe un requisito legal para llevar a cabo una cuantificación de los ingresos generados por el proyecto, es posible que este último deba tenerse en cuenta de conformidad con las normas aplicables en materia de ayudas estatales.</w:t>
      </w:r>
    </w:p>
    <w:p w:rsidR="00F83F12" w:rsidRDefault="00F83F12"/>
    <w:p w:rsidR="00F83F12" w:rsidRDefault="00F83F12"/>
    <w:p w:rsidR="00F83F12" w:rsidRDefault="00F83F12"/>
    <w:p w:rsidR="00F83F12" w:rsidRDefault="001C6219">
      <w:pPr>
        <w:pStyle w:val="Ttulo1"/>
      </w:pPr>
      <w:bookmarkStart w:id="125" w:name="scroll-bookmark-125"/>
      <w:bookmarkStart w:id="126" w:name="scroll-bookmark-126"/>
      <w:bookmarkEnd w:id="125"/>
      <w:r>
        <w:t>QA00074 — Admisibilidad de las inversiones FUA/áreas metropolitanas en zonas rurales</w:t>
      </w:r>
      <w:bookmarkEnd w:id="126"/>
    </w:p>
    <w:p w:rsidR="00F83F12" w:rsidRDefault="001C6219">
      <w:r>
        <w:rPr>
          <w:noProof/>
          <w:lang w:val="es-ES"/>
        </w:rPr>
        <w:drawing>
          <wp:inline distT="0" distB="0" distL="0" distR="0" wp14:anchorId="59A02EE5" wp14:editId="7133DA82">
            <wp:extent cx="152435" cy="152435"/>
            <wp:effectExtent l="0" t="0" r="0" b="0"/>
            <wp:docPr id="100253" name="Imagen 1002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 29 del RDC</w:t>
      </w:r>
    </w:p>
    <w:p w:rsidR="00F83F12" w:rsidRDefault="001C6219">
      <w:r>
        <w:t>Artículo 4 ter del Reglamento (UE) n.º 1059/2003</w:t>
      </w:r>
    </w:p>
    <w:p w:rsidR="00F83F12" w:rsidRDefault="001C6219">
      <w:r>
        <w:rPr>
          <w:noProof/>
          <w:lang w:val="es-ES"/>
        </w:rPr>
        <w:drawing>
          <wp:inline distT="0" distB="0" distL="0" distR="0" wp14:anchorId="6D52ACD4" wp14:editId="17BD27BF">
            <wp:extent cx="152435" cy="152435"/>
            <wp:effectExtent l="0" t="0" r="0" b="0"/>
            <wp:docPr id="100255" name="Imagen 1002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F83F12"/>
    <w:p w:rsidR="00F83F12" w:rsidRDefault="001C6219">
      <w:pPr>
        <w:pStyle w:val="P68B1DB1-Normal4"/>
      </w:pPr>
      <w:r>
        <w:br/>
        <w:t>Pregunta 1 (incluidos los hechos e información pertinentes):</w:t>
      </w:r>
    </w:p>
    <w:p w:rsidR="00F83F12" w:rsidRDefault="001C6219">
      <w:r>
        <w:t xml:space="preserve">Se prevén inversiones en zonas urbanas funcionales/áreas metropolitanas en el marco del enfoque de desarrollo urbano integrado. Las zonas funcionales urbanas/áreas metropolitanas están compuestas por municipios y ciudades urbanos, pero también por unidades administrativo-territoriales en zonas rurales (pueblos/municipios). Dentro de estas zonas (FUA/área metropolitana), ¿pueden optar a financiación las operaciones situadas fuera de las unidades administrativas urbanas (municipios y ciudades), </w:t>
      </w:r>
      <w:r>
        <w:lastRenderedPageBreak/>
        <w:t>respectivamente, en la zona rural, o existen restricciones en cuanto a la subvencionabilidad del FEDER?</w:t>
      </w:r>
    </w:p>
    <w:p w:rsidR="00F83F12" w:rsidRDefault="00F83F12"/>
    <w:p w:rsidR="00F83F12" w:rsidRDefault="001C6219">
      <w:pPr>
        <w:pStyle w:val="P68B1DB1-Normal4"/>
      </w:pPr>
      <w:r>
        <w:t>Respuesta.</w:t>
      </w:r>
    </w:p>
    <w:p w:rsidR="00F83F12" w:rsidRDefault="001C6219">
      <w:r>
        <w:t>El Reglamento sobre disposiciones comunes no contiene ninguna restricción en lo que respecta a la ubicación de las operaciones financiadas por el FEDER en las zonas rurales. </w:t>
      </w:r>
    </w:p>
    <w:p w:rsidR="00F83F12" w:rsidRDefault="001C6219">
      <w:r>
        <w:t>En el marco del desarrollo urbano sostenible, el FEDER apoyará un desarrollo territorial integrado basado en estrategias de desarrollo territorial y local centradas en las zonas urbanas, incluidas las zonas urbanas funcionales, teniendo en cuenta al mismo tiempo la necesidad de impulsar la cooperación y reforzar los vínculos urbano-rurales. Según la tipología territorial de la Unión, las zonas urbanas funcionales [tal como se definen en el artículo 4 ter del Reglamento (UE) n.º 1059/2003] pueden incluir las zonas rurales que forman parte de la zona de desplazamientos domicilio-trabajo alrededor de las ciudades.</w:t>
      </w:r>
    </w:p>
    <w:p w:rsidR="00F83F12" w:rsidRDefault="001C6219">
      <w:r>
        <w:t>La zona urbana funcional definida y la estrategia territorial diseñada para esta zona geográfica constituyen la base de las inversiones en desarrollo urbano sostenible en la zona de que se trate. Las estrategias respetarán los criterios establecidos en el artículo 29 del RDC.</w:t>
      </w:r>
    </w:p>
    <w:p w:rsidR="00F83F12" w:rsidRDefault="001C6219">
      <w:r>
        <w:t>Las autoridades nacionales deben garantizar la coordinación, la delimitación y la complementariedad en términos de financiación proporcionada a las zonas rurales en el marco del FEDER y la prevista en el Feader.</w:t>
      </w:r>
    </w:p>
    <w:p w:rsidR="00F83F12" w:rsidRDefault="00F83F12"/>
    <w:p w:rsidR="00F83F12" w:rsidRDefault="00F83F12"/>
    <w:p w:rsidR="00F83F12" w:rsidRDefault="001C6219">
      <w:pPr>
        <w:pStyle w:val="Ttulo1"/>
      </w:pPr>
      <w:bookmarkStart w:id="127" w:name="scroll-bookmark-127"/>
      <w:bookmarkStart w:id="128" w:name="scroll-bookmark-128"/>
      <w:bookmarkEnd w:id="127"/>
      <w:r>
        <w:t>A00075 — Puede que los programas del FEDER apoyen infraestructuras para centros de formación profesional en el marco del objetivo político 1</w:t>
      </w:r>
      <w:bookmarkEnd w:id="128"/>
    </w:p>
    <w:p w:rsidR="00F83F12" w:rsidRDefault="001C6219">
      <w:r>
        <w:rPr>
          <w:noProof/>
          <w:lang w:val="es-ES"/>
        </w:rPr>
        <w:drawing>
          <wp:inline distT="0" distB="0" distL="0" distR="0" wp14:anchorId="4EAA7F10" wp14:editId="7DD956E2">
            <wp:extent cx="152435" cy="152435"/>
            <wp:effectExtent l="0" t="0" r="0" b="0"/>
            <wp:docPr id="100257" name="Imagen 1002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73 del RDC</w:t>
      </w:r>
    </w:p>
    <w:p w:rsidR="00F83F12" w:rsidRDefault="001C6219">
      <w:r>
        <w:rPr>
          <w:noProof/>
          <w:lang w:val="es-ES"/>
        </w:rPr>
        <w:drawing>
          <wp:inline distT="0" distB="0" distL="0" distR="0" wp14:anchorId="15E726A6" wp14:editId="5FC25C3C">
            <wp:extent cx="152435" cy="152435"/>
            <wp:effectExtent l="0" t="0" r="0" b="0"/>
            <wp:docPr id="100259" name="Imagen 1002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¿Pueden los programas del FEDER apoyar infraestructuras para infraestructuras de formación profesional en el marco del objetivo político 1?</w:t>
      </w:r>
    </w:p>
    <w:p w:rsidR="00F83F12" w:rsidRDefault="00F83F12"/>
    <w:p w:rsidR="00F83F12" w:rsidRDefault="001C6219">
      <w:pPr>
        <w:pStyle w:val="P68B1DB1-Normal4"/>
      </w:pPr>
      <w:r>
        <w:t>Respuesta.</w:t>
      </w:r>
    </w:p>
    <w:p w:rsidR="00F83F12" w:rsidRDefault="001C6219">
      <w:r>
        <w:t xml:space="preserve">El apoyo a las infraestructuras de formación profesional es posible en el marco del objetivo político 1 en el marco del objetivo específico 1.4 «Desarrollo de capacidades </w:t>
      </w:r>
      <w:r>
        <w:lastRenderedPageBreak/>
        <w:t>para la especialización inteligente, la transición industrial y el espíritu empresarial» diseñado específicamente a tal efecto, siempre que, de conformidad con el artículo 73, apartado 2, del RDC, las operaciones sean coherentes con las estrategias de especialización inteligente (S3). Esto significa que las inversiones estarán directamente relacionadas con las actividades de formación o la actualización de los planes de estudios que aborden las necesidades de las empresas en los ámbitos prioritarios de especialización inteligente.</w:t>
      </w:r>
    </w:p>
    <w:p w:rsidR="00F83F12" w:rsidRDefault="001C6219">
      <w:r>
        <w:t>El apoyo a los centros de formación profesional también puede contemplarse legalmente en el marco del objetivo específico 1.3</w:t>
      </w:r>
      <w:r>
        <w:rPr>
          <w:b/>
          <w:i/>
        </w:rPr>
        <w:t xml:space="preserve"> </w:t>
      </w:r>
      <w:r>
        <w:rPr>
          <w:b/>
        </w:rPr>
        <w:t>«</w:t>
      </w:r>
      <w:r>
        <w:t>Mejorar el crecimiento sostenible y la competitividad de las pymes y la creación de empleo en las pymes, también mediante inversiones productivas», siempre que dichas inversiones estén directamente relacionadas con las actividades de formación o la actualización de los planes de estudios que respondan a las necesidades reales de las empresas. De conformidad con el artículo 73, apartado 2, letra a), del RDC, la autoridad de gestión se asegurará, al seleccionar dichas operaciones en el marco de este objetivo específico, de que cumplen el programa, incluida su coherencia con las estrategias pertinentes subyacentes al programa, así como de aportar una contribución eficaz a la consecución del objetivo específico 1.3, es decir, que mejoran el crecimiento sostenible y la competitividad de las pymes y la creación de empleo en las pymes.</w:t>
      </w:r>
    </w:p>
    <w:p w:rsidR="00F83F12" w:rsidRDefault="001C6219">
      <w:r>
        <w:t>En todos los demás casos, el más adecuado es el objetivo político 4, ya sea a través del FEDER o del FSE +, utilizando financiación cruzada, de conformidad con el artículo 25, apartado 2, del RDC. Estas inversiones también podrían recibir apoyo en el marco del objetivo político 5, a través de estrategias de desarrollo territorial y local, tal como se establece en el artículo 28 del RDC.</w:t>
      </w:r>
    </w:p>
    <w:p w:rsidR="00F83F12" w:rsidRDefault="00F83F12"/>
    <w:p w:rsidR="00F83F12" w:rsidRDefault="00F83F12"/>
    <w:p w:rsidR="00F83F12" w:rsidRDefault="00F83F12"/>
    <w:p w:rsidR="00F83F12" w:rsidRDefault="001C6219">
      <w:pPr>
        <w:pStyle w:val="Ttulo1"/>
      </w:pPr>
      <w:bookmarkStart w:id="129" w:name="scroll-bookmark-129"/>
      <w:bookmarkStart w:id="130" w:name="scroll-bookmark-130"/>
      <w:bookmarkEnd w:id="129"/>
      <w:r>
        <w:t>QA00076 — Concesión de ayudas estatales por beneficiarios que no forman parte del sistema de gestión y control del PO en el período posterior a 2020</w:t>
      </w:r>
      <w:bookmarkEnd w:id="130"/>
    </w:p>
    <w:p w:rsidR="00F83F12" w:rsidRDefault="001C6219">
      <w:r>
        <w:rPr>
          <w:noProof/>
          <w:lang w:val="es-ES"/>
        </w:rPr>
        <w:drawing>
          <wp:inline distT="0" distB="0" distL="0" distR="0" wp14:anchorId="3E5950E6" wp14:editId="03815F00">
            <wp:extent cx="152435" cy="152435"/>
            <wp:effectExtent l="0" t="0" r="0" b="0"/>
            <wp:docPr id="100261" name="Imagen 1002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del RDC </w:t>
      </w:r>
    </w:p>
    <w:p w:rsidR="00F83F12" w:rsidRDefault="001C6219">
      <w:r>
        <w:rPr>
          <w:noProof/>
          <w:lang w:val="es-ES"/>
        </w:rPr>
        <w:drawing>
          <wp:inline distT="0" distB="0" distL="0" distR="0" wp14:anchorId="15263581" wp14:editId="75DF59AC">
            <wp:extent cx="152435" cy="152435"/>
            <wp:effectExtent l="0" t="0" r="0" b="0"/>
            <wp:docPr id="100263" name="Imagen 1002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F83F12" w:rsidRDefault="00F83F12"/>
    <w:p w:rsidR="00F83F12" w:rsidRDefault="001C6219">
      <w:pPr>
        <w:pStyle w:val="P68B1DB1-Normal4"/>
      </w:pPr>
      <w:r>
        <w:t>Pregunta 1 (incluidos los hechos e información pertinentes):</w:t>
      </w:r>
    </w:p>
    <w:p w:rsidR="00F83F12" w:rsidRDefault="001C6219">
      <w:r>
        <w:t>En caso de que un proyecto esté financiado por la ayuda estatal, ¿puede el beneficiario conceder la ayuda estatal superior a 200 000 EUR a los beneficiarios finales (los denominados proyectos marco)? Si el beneficiario no forma parte del sistema de gestión y control, ¿necesita la aprobación de la autoridad de gestión o de cualquier otro organismo que forme parte del sistema de gestión y control?</w:t>
      </w:r>
    </w:p>
    <w:p w:rsidR="00F83F12" w:rsidRDefault="001C6219">
      <w:r>
        <w:lastRenderedPageBreak/>
        <w:t>La pregunta se formula a la luz de las siguientes definiciones establecidas en el artículo 2 del RDC:</w:t>
      </w:r>
    </w:p>
    <w:p w:rsidR="00F83F12" w:rsidRDefault="00F83F12"/>
    <w:p w:rsidR="00F83F12" w:rsidRDefault="001C6219">
      <w:r>
        <w:t>(3) «operación»:</w:t>
      </w:r>
      <w:r w:rsidR="00E22099">
        <w:t xml:space="preserve"> </w:t>
      </w:r>
      <w:r>
        <w:t>a) un proyecto, contrato, acción o grupo de proyectos seleccionados en el marco de los programas en cuestión;[...] &gt; (8) «beneficiario»:</w:t>
      </w:r>
      <w:r w:rsidR="00E22099">
        <w:t xml:space="preserve"> </w:t>
      </w:r>
      <w:r>
        <w:t>a) un organismo público o privado, una entidad con o sin personalidad jurídica o una persona física, responsable de iniciar o de iniciar y ejecutar operaciones; en el contexto de las ayudas de minimis concedidas de conformidad con los Reglamentos (UE) n.º 1407/2013 o (UE) n.º 717/2014 de la Comisión, el organismo que concede la ayuda, cuando sea responsable de iniciar o de iniciar y ejecutar la operación;[...] &gt; C) en el contexto de los regímenes de ayudas estatales, la empresa que recibe la ayuda, excepto cuando la ayuda estatal por empresa sea inferior a 200 000 EUR, el Estado miembro podrá decidir que el beneficiario a efectos del presente Reglamento sea el organismo que concede la ayuda;[...] &gt; (17) «perceptor final»: persona física o jurídica que recibe ayuda de los Fondos a través de un beneficiario de un fondo para pequeños proyectos o de un instrumento financiero.</w:t>
      </w:r>
      <w:r>
        <w:br/>
      </w:r>
      <w:r>
        <w:br/>
        <w:t>Nos gustaría aclarar la ejecución de las operaciones, que son grupos de proyectos y están sujetas a ayudas estatales (no de minimis). ¿Podría un beneficiario, que no es un organismo intermedio, sino que ejecuta un proyecto marco, evaluar y seleccionar a los beneficiarios finales y concederles ayuda estatal, o debería seleccionarse dicho proyecto y la ayuda estatal concedida por una autoridad de gestión o un organismo intermedio?</w:t>
      </w:r>
    </w:p>
    <w:p w:rsidR="00F83F12" w:rsidRDefault="00F83F12"/>
    <w:p w:rsidR="00F83F12" w:rsidRDefault="00F83F12"/>
    <w:p w:rsidR="00F83F12" w:rsidRDefault="001C6219">
      <w:pPr>
        <w:pStyle w:val="P68B1DB1-Normal4"/>
      </w:pPr>
      <w:r>
        <w:t>Respuesta.</w:t>
      </w:r>
    </w:p>
    <w:p w:rsidR="00F83F12" w:rsidRDefault="001C6219">
      <w:r>
        <w:t>La definición de «beneficiario» que figura en el artículo 2, apartado 9, del RDC, en particular en las letras a) y c), es la siguiente:</w:t>
      </w:r>
    </w:p>
    <w:p w:rsidR="00F83F12" w:rsidRDefault="001C6219">
      <w:r>
        <w:t> a) un organismo público o privado, una entidad con o sin personalidad jurídica o una persona física, responsable de iniciar o de iniciar y ejecutar operaciones;</w:t>
      </w:r>
    </w:p>
    <w:p w:rsidR="00F83F12" w:rsidRDefault="001C6219">
      <w:r>
        <w:t>C) en el contexto de los regímenes de ayudas estatales, la empresa que recibe la ayuda.</w:t>
      </w:r>
    </w:p>
    <w:p w:rsidR="00F83F12" w:rsidRDefault="001C6219">
      <w:r>
        <w:t>De conformidad con el artículo 2, apartado 9, letra c), del RDC, en el contexto de los regímenes de ayudas estatales, el beneficiario es el que recibe la ayuda. Por lo tanto, no puede ser al mismo tiempo beneficiaria de la ayuda y seleccionar a los beneficiarios finales. Por lo tanto, todos los proyectos que reciban ayuda estatal, independientemente de su volumen, deben ser seleccionados por la autoridad de gestión o el organismo intermedio.  </w:t>
      </w:r>
    </w:p>
    <w:p w:rsidR="00F83F12" w:rsidRDefault="001C6219">
      <w:r>
        <w:t xml:space="preserve"> Sin embargo, de conformidad con el artículo 2, apartado 9, letra d), en el caso de las ayudas de minimis concedidas de conformidad con los Reglamentos (UE) n.º 1407/2013 o (UE) n.º 717/2014 de la Comisión (que no se consideran ayudas estatales con arreglo al marco de ayudas estatales), existe la posibilidad de que el Estado miembro decida que el beneficiario es el organismo que concede la ayuda cuando es responsable de iniciar o de iniciar y ejecutar la operación, no necesariamente la empresa que recibe la ayuda. En esta configuración, el beneficiario de la operación, que no puede ser el beneficiario del </w:t>
      </w:r>
      <w:r>
        <w:lastRenderedPageBreak/>
        <w:t>Estado como sugiere la pregunta, no podría conceder por beneficiario final un importe superior a los umbrales establecidos en el Reglamento de minimis pertinente. Con arreglo al Reglamento (CE) no 1407/2013, este umbral se fija en 200 000 EUR por empresa a lo largo de tres ejercicios fiscales.</w:t>
      </w:r>
    </w:p>
    <w:p w:rsidR="00F83F12" w:rsidRDefault="00F83F12"/>
    <w:p w:rsidR="00F83F12" w:rsidRDefault="00F83F12"/>
    <w:p w:rsidR="00F83F12" w:rsidRDefault="00F83F12"/>
    <w:p w:rsidR="00F83F12" w:rsidRDefault="00F83F12"/>
    <w:p w:rsidR="00F83F12" w:rsidRDefault="001C6219">
      <w:pPr>
        <w:pStyle w:val="Ttulo1"/>
      </w:pPr>
      <w:bookmarkStart w:id="131" w:name="scroll-bookmark-131"/>
      <w:bookmarkStart w:id="132" w:name="scroll-bookmark-132"/>
      <w:bookmarkEnd w:id="131"/>
      <w:r>
        <w:t>QA00077 — Estrategias territoriales y conflictos de intereses</w:t>
      </w:r>
      <w:bookmarkEnd w:id="132"/>
    </w:p>
    <w:p w:rsidR="00F83F12" w:rsidRDefault="001C6219">
      <w:r>
        <w:rPr>
          <w:noProof/>
          <w:lang w:val="es-ES"/>
        </w:rPr>
        <w:drawing>
          <wp:inline distT="0" distB="0" distL="0" distR="0" wp14:anchorId="14800416" wp14:editId="0E29895A">
            <wp:extent cx="152435" cy="152435"/>
            <wp:effectExtent l="0" t="0" r="0" b="0"/>
            <wp:docPr id="100265" name="Imagen 1002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29, 71 y 73 del RDC </w:t>
      </w:r>
    </w:p>
    <w:p w:rsidR="00F83F12" w:rsidRDefault="001C6219">
      <w:r>
        <w:rPr>
          <w:noProof/>
          <w:lang w:val="es-ES"/>
        </w:rPr>
        <w:drawing>
          <wp:inline distT="0" distB="0" distL="0" distR="0" wp14:anchorId="6A86EE80" wp14:editId="5578962A">
            <wp:extent cx="152435" cy="152435"/>
            <wp:effectExtent l="0" t="0" r="0" b="0"/>
            <wp:docPr id="100267" name="Imagen 1002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SK</w:t>
      </w:r>
    </w:p>
    <w:p w:rsidR="00F83F12" w:rsidRDefault="00F83F12"/>
    <w:p w:rsidR="00F83F12" w:rsidRDefault="001C6219">
      <w:pPr>
        <w:pStyle w:val="P68B1DB1-Normal4"/>
      </w:pPr>
      <w:r>
        <w:br/>
        <w:t>Pregunta 1 (incluidos los hechos e información pertinentes):</w:t>
      </w:r>
    </w:p>
    <w:p w:rsidR="00F83F12" w:rsidRDefault="001C6219">
      <w:r>
        <w:t>Las estrategias territoriales son elaboradas por las autoridades territoriales. Las estrategias territoriales también podrán incluir una lista de operaciones que las autoridades territoriales apoyarán o seleccionarán. ¿Existe un conflicto de intereses si las autoridades territoriales (sus representantes) proponen una operación que posteriormente seleccionan para recibir apoyo de los fondos de la UE y después la ejecutarán?</w:t>
      </w:r>
    </w:p>
    <w:p w:rsidR="00F83F12" w:rsidRDefault="001C6219">
      <w:r>
        <w:t> ¿Debemos garantizar la separación de funciones cuando las autoridades territoriales participan en la selección de las operaciones y son al mismo tiempo el beneficiario de esta operación?</w:t>
      </w:r>
    </w:p>
    <w:p w:rsidR="00F83F12" w:rsidRDefault="001C6219">
      <w:r>
        <w:t>¿Qué ocurre si la autoridad territorial propone las operaciones incluyéndolas en la estrategia desde la cual la autoridad de gestión las seleccionará con la participación de las autoridades territoriales? </w:t>
      </w:r>
    </w:p>
    <w:p w:rsidR="00F83F12" w:rsidRDefault="00F83F12"/>
    <w:p w:rsidR="00F83F12" w:rsidRDefault="001C6219">
      <w:pPr>
        <w:pStyle w:val="P68B1DB1-Normal4"/>
      </w:pPr>
      <w:r>
        <w:t>Respuesta.</w:t>
      </w:r>
    </w:p>
    <w:p w:rsidR="00F83F12" w:rsidRDefault="001C6219">
      <w:r>
        <w:t>Cuando se seleccionen las operaciones en el marco de las estrategias territoriales, la autoridad de gestión debe garantizar que se han cumplido todos los requisitos del artículo 73 del RDC, así como los del artículo 29, apartado 3, y (5) del RDC.  </w:t>
      </w:r>
    </w:p>
    <w:p w:rsidR="00F83F12" w:rsidRDefault="001C6219">
      <w:r>
        <w:t>En particular, el artículo 29, apartado 2, del RDC exige que las estrategias territoriales se elaboren bajo la responsabilidad de las autoridades territoriales pertinentes. El artículo 29, apartado 3, del RDC aclara además que, en los casos en que la lista de operaciones no esté incluida en la estrategia territorial, las autoridades territoriales pertinentes deben seleccionar la selección o participar en ella.</w:t>
      </w:r>
    </w:p>
    <w:p w:rsidR="00F83F12" w:rsidRDefault="001C6219">
      <w:r>
        <w:t xml:space="preserve">El artículo 29, apartado 4, del RDC aclara que, cuando se elaboren las estrategias, las autoridades territoriales deben cooperar con las autoridades de gestión pertinentes </w:t>
      </w:r>
      <w:r>
        <w:lastRenderedPageBreak/>
        <w:t>para determinar el alcance de las operaciones que deben recibir apoyo en el marco de un programa pertinente.</w:t>
      </w:r>
    </w:p>
    <w:p w:rsidR="00F83F12" w:rsidRDefault="001C6219">
      <w:r>
        <w:t>Por lo tanto, la responsabilidad de que la selección cumpla los requisitos establecidos en los artículos 29 y 73 del RDC corresponde a la autoridad de gestión, a pesar de la participación de las autoridades territoriales en el proceso de selección.</w:t>
      </w:r>
    </w:p>
    <w:p w:rsidR="00F83F12" w:rsidRDefault="001C6219">
      <w:r>
        <w:t>Así pues, una posible situación de conflicto de intereses sigue siendo limitada mientras la autoridad territorial solo participe en la selección y no lleve a cabo otras tareas que sean responsabilidad de la autoridad de gestión. Puede ser necesaria una separación de funciones en el sentido del artículo 71, apartado 4, del RDC (reducción del riesgo de conflicto de intereses) cuando, de conformidad con el artículo 29, apartado 5, del RDC, las autoridades territoriales desempeñen funciones distintas de la selección de las operaciones y se identifiquen como organismos intermedios.</w:t>
      </w:r>
    </w:p>
    <w:p w:rsidR="00F83F12" w:rsidRDefault="001C6219">
      <w:r>
        <w:t>El artículo 61 del Reglamento Financiero sobre el conflicto de intereses sigue siendo aplicable en el contexto de las inversiones territoriales integradas, al igual que para cualquier otra operación. La disposición establece que las autoridades nacionales de cualquier nivel que participen en la ejecución presupuestaria adoptarán las medidas adecuadas para evitar que surja un conflicto de intereses en las funciones bajo su responsabilidad y para hacer frente a situaciones que puedan percibirse objetivamente como un conflicto de intereses. </w:t>
      </w:r>
    </w:p>
    <w:p w:rsidR="00F83F12" w:rsidRDefault="00F83F12"/>
    <w:p w:rsidR="00F83F12" w:rsidRDefault="00F83F12"/>
    <w:p w:rsidR="00F83F12" w:rsidRDefault="001C6219">
      <w:pPr>
        <w:pStyle w:val="Ttulo1"/>
      </w:pPr>
      <w:bookmarkStart w:id="133" w:name="scroll-bookmark-133"/>
      <w:bookmarkStart w:id="134" w:name="scroll-bookmark-134"/>
      <w:bookmarkEnd w:id="133"/>
      <w:r>
        <w:t>QA00078 — Evaluaciones por parte del Estado miembro</w:t>
      </w:r>
      <w:bookmarkEnd w:id="134"/>
    </w:p>
    <w:p w:rsidR="00F83F12" w:rsidRDefault="001C6219">
      <w:r>
        <w:rPr>
          <w:noProof/>
          <w:lang w:val="es-ES"/>
        </w:rPr>
        <w:drawing>
          <wp:inline distT="0" distB="0" distL="0" distR="0" wp14:anchorId="0E25B828" wp14:editId="5816836A">
            <wp:extent cx="152435" cy="152435"/>
            <wp:effectExtent l="0" t="0" r="0" b="0"/>
            <wp:docPr id="100269" name="Imagen 1002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36 y 44 del RDC</w:t>
      </w:r>
    </w:p>
    <w:p w:rsidR="00F83F12" w:rsidRDefault="001C6219">
      <w:r>
        <w:rPr>
          <w:noProof/>
          <w:lang w:val="es-ES"/>
        </w:rPr>
        <w:drawing>
          <wp:inline distT="0" distB="0" distL="0" distR="0" wp14:anchorId="72BC4BC7" wp14:editId="3CB3FC11">
            <wp:extent cx="152435" cy="152435"/>
            <wp:effectExtent l="0" t="0" r="0" b="0"/>
            <wp:docPr id="100271" name="Imagen 1002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F83F12" w:rsidRDefault="00F83F12"/>
    <w:p w:rsidR="00F83F12" w:rsidRDefault="001C6219">
      <w:pPr>
        <w:pStyle w:val="P68B1DB1-Normal4"/>
      </w:pPr>
      <w:r>
        <w:br/>
        <w:t>Pregunta (incluidos los hechos y la información pertinentes):</w:t>
      </w:r>
    </w:p>
    <w:p w:rsidR="00F83F12" w:rsidRDefault="001C6219">
      <w:pPr>
        <w:pStyle w:val="P68B1DB1-Normal5"/>
        <w:numPr>
          <w:ilvl w:val="0"/>
          <w:numId w:val="47"/>
        </w:numPr>
      </w:pPr>
      <w:r>
        <w:t>¿Podemos considerarnos, como unidad de evaluación dentro de la Autoridad de Gestión del Programa Operativo de Recursos Humanos Eficientes 2021-2027, como expertos internos funcionalmente independientes, de conformidad con el artículo 44 del RDC, y, por tanto, estar en condiciones de llevar a cabo las evaluaciones previstas en el artículo 44?</w:t>
      </w:r>
    </w:p>
    <w:p w:rsidR="00F83F12" w:rsidRDefault="001C6219">
      <w:pPr>
        <w:pStyle w:val="P68B1DB1-Normal5"/>
        <w:numPr>
          <w:ilvl w:val="0"/>
          <w:numId w:val="47"/>
        </w:numPr>
      </w:pPr>
      <w:r>
        <w:t>Dentro del plan de evaluación:</w:t>
      </w:r>
    </w:p>
    <w:p w:rsidR="00F83F12" w:rsidRDefault="001C6219">
      <w:pPr>
        <w:numPr>
          <w:ilvl w:val="1"/>
          <w:numId w:val="48"/>
        </w:numPr>
      </w:pPr>
      <w:r>
        <w:rPr>
          <w:i/>
        </w:rPr>
        <w:t xml:space="preserve">¿Es aceptable asignar fondos de la asistencia técnica al marco político más amplio que la financiación del FSE? </w:t>
      </w:r>
      <w:r>
        <w:t>En concreto, esta pregunta se refiere a los ámbitos políticos de Croacia que se financian tanto con cargo al FSE como con recursos nacionales, por ejemplo, medidas activas del mercado laboral o asistentes personales que se financian tanto a través del FSE como de recursos nacionales.</w:t>
      </w:r>
    </w:p>
    <w:p w:rsidR="00F83F12" w:rsidRDefault="001C6219">
      <w:pPr>
        <w:numPr>
          <w:ilvl w:val="1"/>
          <w:numId w:val="48"/>
        </w:numPr>
      </w:pPr>
      <w:r>
        <w:rPr>
          <w:i/>
        </w:rPr>
        <w:lastRenderedPageBreak/>
        <w:t xml:space="preserve">Además, es aceptable asignar fondos de la asistencia técnica para la realización de evaluaciones planificadas como parte de las condiciones para el cumplimiento de las condiciones favorables temáticas, </w:t>
      </w:r>
      <w:r w:rsidR="00214B1C">
        <w:rPr>
          <w:i/>
        </w:rPr>
        <w:t xml:space="preserve">por ejemplo, </w:t>
      </w:r>
      <w:r>
        <w:rPr>
          <w:i/>
        </w:rPr>
        <w:t>para los gitanos o el género.</w:t>
      </w:r>
      <w:r>
        <w:t xml:space="preserve"> Estas evaluaciones serán realizadas por organismos nacionales responsables temáticamente de esos ámbitos políticos, pero su financiación se consideraría (desde la perspectiva de la asistencia técnica) como parte de la asistencia prestada a los beneficiarios potenciales y a los socios pertinentes (artículo 36 del RDC).</w:t>
      </w:r>
    </w:p>
    <w:p w:rsidR="00F83F12" w:rsidRDefault="001C6219">
      <w:pPr>
        <w:numPr>
          <w:ilvl w:val="0"/>
          <w:numId w:val="47"/>
        </w:numPr>
      </w:pPr>
      <w:r>
        <w:rPr>
          <w:i/>
        </w:rPr>
        <w:t xml:space="preserve">Como complemento a la pregunta 2, ¿vamos por buen camino para agrupar todas las evaluaciones, directa o indirectamente vinculadas a las actividades de la AG, en el plan de evaluación? </w:t>
      </w:r>
      <w:r>
        <w:t>Respectivamente, en lugar de planificar todas las evaluaciones del plan de evaluación, ¿deberían algunas evaluaciones formar parte de las actividades de los ejes prioritarios/objetivos específicos? Por ejemplo, ¿debe considerarse que la evaluación de todo el marco político de medidas activas del mercado de trabajo (FSE y financiación nacional) constituye una intervención en un objetivo específico relacionado con el mercado laboral o, como hemos indicado anteriormente, forma parte del plan de evaluación y se financia a través de asistencia técnica.</w:t>
      </w:r>
    </w:p>
    <w:p w:rsidR="00F83F12" w:rsidRDefault="001C6219">
      <w:pPr>
        <w:pStyle w:val="P68B1DB1-Normal5"/>
        <w:numPr>
          <w:ilvl w:val="0"/>
          <w:numId w:val="47"/>
        </w:numPr>
      </w:pPr>
      <w:r>
        <w:t>¿Se establece el nivel más elevado de generalidad (ámbito de aplicación) en el que deben realizarse las evaluaciones por parte del Estado miembro?</w:t>
      </w:r>
    </w:p>
    <w:p w:rsidR="00F83F12" w:rsidRDefault="001C6219">
      <w:pPr>
        <w:pStyle w:val="P68B1DB1-Normal5"/>
        <w:numPr>
          <w:ilvl w:val="0"/>
          <w:numId w:val="47"/>
        </w:numPr>
      </w:pPr>
      <w:r>
        <w:t>El artículo 44 del nuevo RDC no menciona el impacto entre los criterios de evaluación del apartado 1, pero sí lo menciona en el apartado 2.</w:t>
      </w:r>
    </w:p>
    <w:p w:rsidR="00F83F12" w:rsidRDefault="001C6219">
      <w:pPr>
        <w:pStyle w:val="P68B1DB1-Normal5"/>
        <w:numPr>
          <w:ilvl w:val="1"/>
          <w:numId w:val="49"/>
        </w:numPr>
      </w:pPr>
      <w:r>
        <w:t>¿Significa esto que se trata de evaluaciones separadas (diferentes) prescritas en los apartados 1 y 2?</w:t>
      </w:r>
    </w:p>
    <w:p w:rsidR="00F83F12" w:rsidRDefault="001C6219">
      <w:pPr>
        <w:pStyle w:val="P68B1DB1-Normal5"/>
        <w:numPr>
          <w:ilvl w:val="1"/>
          <w:numId w:val="49"/>
        </w:numPr>
      </w:pPr>
      <w:r>
        <w:t>En el apartado 1 no se establece un plazo determinado para la realización de las evaluaciones, mientras que en el apartado 2 se establece. ¿Significa esto que las evaluaciones del apartado 1 deben planificarse a medio plazo, y la del apartado 2, como evaluación ex post?</w:t>
      </w:r>
    </w:p>
    <w:p w:rsidR="00F83F12" w:rsidRDefault="00F83F12"/>
    <w:p w:rsidR="00F83F12" w:rsidRDefault="00F83F12"/>
    <w:p w:rsidR="00F83F12" w:rsidRDefault="001C6219">
      <w:pPr>
        <w:pStyle w:val="P68B1DB1-Normal4"/>
      </w:pPr>
      <w:r>
        <w:t>Respuesta.</w:t>
      </w:r>
    </w:p>
    <w:p w:rsidR="00F83F12" w:rsidRDefault="001C6219">
      <w:pPr>
        <w:numPr>
          <w:ilvl w:val="0"/>
          <w:numId w:val="50"/>
        </w:numPr>
      </w:pPr>
      <w:r>
        <w:t>El artículo 44, apartado 1, del RDC, más allá de los Estados miembros, menciona explícitamente a las autoridades de gestión como organismos que pueden estar sujetos a la obligación de llevar a cabo evaluaciones. El artículo 44, apartado 3, del RDC exige que «las evaluaciones se confiarán a expertos internos o externos que sean funcionalmente independientes». En principio, la referencia explícita a los expertos internos implica confiar las evaluaciones a unidades de evaluación dentro de las autoridades de gestión, siempre que existan salvaguardias para la independencia. Independientemente de la configuración organizativa, la independencia de los evaluadores es un principio clave que debe garantizarse a lo largo del proceso de evaluación</w:t>
      </w:r>
      <w:hyperlink r:id="rId455" w:anchor="_ftn1" w:history="1">
        <w:r>
          <w:rPr>
            <w:rStyle w:val="Hipervnculo"/>
          </w:rPr>
          <w:t>[1]</w:t>
        </w:r>
      </w:hyperlink>
      <w:r>
        <w:t>. Se considera una buena práctica establecer las salvaguardias específicas que garantizan la independencia funcional de los evaluadores en el plan de evaluación.</w:t>
      </w:r>
    </w:p>
    <w:p w:rsidR="00F83F12" w:rsidRDefault="001C6219">
      <w:pPr>
        <w:numPr>
          <w:ilvl w:val="0"/>
          <w:numId w:val="50"/>
        </w:numPr>
      </w:pPr>
      <w:r>
        <w:lastRenderedPageBreak/>
        <w:t>El artículo 36, apartado 1, del RDC formula dos criterios en lo que respecta al alcance de la asistencia técnica. Por una parte, las acciones de asistencia técnica son necesarias para la administración y el uso efectivos de los Fondos, es decir, los fondos cubiertos por el RDC. Por otra parte, «para llevar a cabo, entre otras cosas, funciones como la preparación, la formación, la gestión, el seguimiento, la evaluación, la visibilidad y la comunicación». Como consecuencia de ello:</w:t>
      </w:r>
    </w:p>
    <w:p w:rsidR="00F83F12" w:rsidRDefault="001C6219">
      <w:pPr>
        <w:numPr>
          <w:ilvl w:val="1"/>
          <w:numId w:val="51"/>
        </w:numPr>
      </w:pPr>
      <w:r>
        <w:t>No es posible utilizar la asistencia técnica para evaluar ámbitos políticos, acciones o grupos de acciones que se financian exclusivamente con recursos nacionales. Los recursos nacionales solo podrán tenerse en cuenta en la medida en que representen cofinanciación de fondos de la UE.</w:t>
      </w:r>
    </w:p>
    <w:p w:rsidR="00F83F12" w:rsidRDefault="001C6219">
      <w:pPr>
        <w:numPr>
          <w:ilvl w:val="1"/>
          <w:numId w:val="51"/>
        </w:numPr>
      </w:pPr>
      <w:r>
        <w:t>Es posible financiar la asistencia técnica mediante evaluaciones de los Estados miembros que contribuyan al cumplimiento de las condiciones favorables.</w:t>
      </w:r>
    </w:p>
    <w:p w:rsidR="00F83F12" w:rsidRDefault="001C6219">
      <w:pPr>
        <w:numPr>
          <w:ilvl w:val="0"/>
          <w:numId w:val="50"/>
        </w:numPr>
      </w:pPr>
      <w:r>
        <w:t xml:space="preserve">El plan de evaluación tiene por objeto planificar las evaluaciones necesarias para evaluar el programa o los programas incluidos en su ámbito de aplicación. El programa describe las acciones subvencionadas que contribuyen a los objetivos específicos del programa. En la práctica, una evaluación puede ser pertinente para uno, otro o ambos documentos. Por ejemplo, el supuesto FSE + apoyará el desarrollo de capacidades institucionales en el ámbito de las políticas activas del mercado de trabajo en el marco del objetivo específico b) «modernizar las instituciones y los servicios del mercado laboral para evaluar y anticipar las necesidades de capacidades y garantizar una asistencia y un apoyo oportunos y adaptados para la adecuación al mercado laboral, las transiciones y la movilidad». Las acciones incluirán la creación de capacidades de evaluación, parte de las cuales evaluarán las políticas activas del mercado de trabajo cofinanciadas por el FSE. En este caso, las evaluaciones serán pertinentes para la lógica de intervención del programa, </w:t>
      </w:r>
      <w:r w:rsidR="002F3719">
        <w:t xml:space="preserve">ya que, </w:t>
      </w:r>
      <w:r>
        <w:t xml:space="preserve">contribuirán, por ejemplo, a evaluar las necesidades de capacidades; así como al plan de evaluación, </w:t>
      </w:r>
      <w:r w:rsidR="002F3719">
        <w:t xml:space="preserve">ya que, </w:t>
      </w:r>
      <w:r>
        <w:t>evaluará las políticas activas del mercado de trabajo cofinanciadas por el FSE.</w:t>
      </w:r>
    </w:p>
    <w:p w:rsidR="00F83F12" w:rsidRDefault="001C6219">
      <w:pPr>
        <w:numPr>
          <w:ilvl w:val="0"/>
          <w:numId w:val="50"/>
        </w:numPr>
      </w:pPr>
      <w:r>
        <w:t>La interpretación del Estado miembro es correcta: los Estados miembros tienen competencia para organizar las evaluaciones de los programas al nivel más adecuado. Los servicios de la Comisión no tienen previsto publicar directrices para el seguimiento o la evaluación.</w:t>
      </w:r>
    </w:p>
    <w:p w:rsidR="00F83F12" w:rsidRDefault="001C6219">
      <w:pPr>
        <w:numPr>
          <w:ilvl w:val="0"/>
          <w:numId w:val="50"/>
        </w:numPr>
      </w:pPr>
      <w:r>
        <w:t>El artículo 44, apartado 1, del RDC se refiere en líneas generales a la evaluación del programa que deben llevar a cabo los Estados miembros o las autoridades de gestión, mientras que el artículo 44, apartado 2, del RDC se refiere, en particular, a la evaluación del impacto del programa.</w:t>
      </w:r>
    </w:p>
    <w:p w:rsidR="00F83F12" w:rsidRDefault="001C6219">
      <w:pPr>
        <w:numPr>
          <w:ilvl w:val="1"/>
          <w:numId w:val="52"/>
        </w:numPr>
      </w:pPr>
      <w:r>
        <w:t>El impacto no se considera un criterio de evaluación. La evaluación de impacto concluirá la contribución de los programas a su objetivo específico. Para ello, podrá utilizar los criterios de evaluación establecidos en el artículo 44, apartado 1, del RDC (eficacia, eficiencia, pertinencia, coherencia y valor añadido de la Unión).</w:t>
      </w:r>
    </w:p>
    <w:p w:rsidR="00F83F12" w:rsidRDefault="001C6219">
      <w:pPr>
        <w:numPr>
          <w:ilvl w:val="1"/>
          <w:numId w:val="52"/>
        </w:numPr>
      </w:pPr>
      <w:r>
        <w:lastRenderedPageBreak/>
        <w:t>El plazo del 30 de junio de 2029 solo se refiere a la evaluación a que se refiere el artículo 44,</w:t>
      </w:r>
      <w:hyperlink r:id="rId456" w:anchor="_ftn2" w:history="1">
        <w:r>
          <w:rPr>
            <w:rStyle w:val="Hipervnculo"/>
          </w:rPr>
          <w:t>apartado 2,[</w:t>
        </w:r>
      </w:hyperlink>
      <w:r>
        <w:t xml:space="preserve"> 2].</w:t>
      </w:r>
    </w:p>
    <w:p w:rsidR="00F83F12" w:rsidRDefault="00F83F12"/>
    <w:p w:rsidR="00F83F12" w:rsidRDefault="00F83F12"/>
    <w:p w:rsidR="00F83F12" w:rsidRDefault="001C6219">
      <w:r>
        <w:rPr>
          <w:noProof/>
          <w:lang w:val="es-E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382895" cy="0"/>
                <wp:effectExtent l="13335" t="9525" r="13970" b="952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D977"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" strokecolor="gray"/>
            </w:pict>
          </mc:Fallback>
        </mc:AlternateContent>
      </w:r>
      <w:hyperlink r:id="rId457" w:anchor="_ftnref1" w:history="1">
        <w:r>
          <w:rPr>
            <w:rStyle w:val="Hipervnculo"/>
          </w:rPr>
          <w:t>[1]</w:t>
        </w:r>
      </w:hyperlink>
      <w:r>
        <w:t xml:space="preserve"> Véase «The New Programming Period 2007-2013 — Indicative Guidelines on Evaluation Methods: Evaluación durante el período de programación — httpson </w:t>
      </w:r>
      <w:hyperlink r:id="rId458" w:history="1">
        <w:r>
          <w:rPr>
            <w:rStyle w:val="Hipervnculo"/>
          </w:rPr>
          <w:t>//ec.europa.eu/regional_policy/sources/docoffic/2007/working/wd5_ongoing_en.pdf</w:t>
        </w:r>
      </w:hyperlink>
    </w:p>
    <w:p w:rsidR="00F83F12" w:rsidRDefault="00FC0FB1">
      <w:hyperlink r:id="rId459" w:anchor="_ftnref2" w:history="1">
        <w:r w:rsidR="001C6219">
          <w:rPr>
            <w:rStyle w:val="Hipervnculo"/>
          </w:rPr>
          <w:t>[2]</w:t>
        </w:r>
      </w:hyperlink>
      <w:r w:rsidR="001C6219">
        <w:t xml:space="preserve"> Cabe señalar que el artículo 44, apartado 5, del RDC define un plazo adicional para una evaluación intermedia a efectos del FAMI, el FSI y el IGFV. Esta evaluación intermedia deberá estar terminada a más tardar el 31 de marzo de 2024.</w:t>
      </w:r>
    </w:p>
    <w:p w:rsidR="00F83F12" w:rsidRDefault="00F83F12"/>
    <w:p w:rsidR="00F83F12" w:rsidRDefault="00F83F12"/>
    <w:p w:rsidR="00F83F12" w:rsidRDefault="00F83F12"/>
    <w:p w:rsidR="00F83F12" w:rsidRDefault="001C6219">
      <w:pPr>
        <w:pStyle w:val="Ttulo1"/>
      </w:pPr>
      <w:bookmarkStart w:id="135" w:name="scroll-bookmark-135"/>
      <w:bookmarkStart w:id="136" w:name="scroll-bookmark-136"/>
      <w:bookmarkEnd w:id="135"/>
      <w:r>
        <w:t>QA00079 — Anexo D centrado específicamente en los objetivos políticos (OP) no 1, OP 2 y OP 5</w:t>
      </w:r>
      <w:bookmarkEnd w:id="136"/>
    </w:p>
    <w:p w:rsidR="00F83F12" w:rsidRDefault="001C6219">
      <w:r>
        <w:rPr>
          <w:noProof/>
          <w:lang w:val="es-ES"/>
        </w:rPr>
        <w:drawing>
          <wp:inline distT="0" distB="0" distL="0" distR="0" wp14:anchorId="5FD9EBDE" wp14:editId="463A9FBB">
            <wp:extent cx="152435" cy="152435"/>
            <wp:effectExtent l="0" t="0" r="0" b="0"/>
            <wp:docPr id="100274" name="Imagen 10027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t>Artículo 5 del Reglamento FEDER</w:t>
      </w:r>
    </w:p>
    <w:p w:rsidR="00F83F12" w:rsidRDefault="001C6219">
      <w:r>
        <w:t>Artículo 73 del RDC</w:t>
      </w:r>
    </w:p>
    <w:p w:rsidR="00F83F12" w:rsidRDefault="001C6219">
      <w:r>
        <w:rPr>
          <w:noProof/>
          <w:lang w:val="es-ES"/>
        </w:rPr>
        <w:drawing>
          <wp:inline distT="0" distB="0" distL="0" distR="0" wp14:anchorId="520E9AFB" wp14:editId="155C650E">
            <wp:extent cx="152435" cy="152435"/>
            <wp:effectExtent l="0" t="0" r="0" b="0"/>
            <wp:docPr id="100276" name="Imagen 10027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br/>
        <w:t>Pregunta 1 (incluidos los hechos e información pertinentes):</w:t>
      </w:r>
    </w:p>
    <w:p w:rsidR="00F83F12" w:rsidRDefault="001C6219">
      <w:pPr>
        <w:pStyle w:val="P68B1DB1-Normal8"/>
      </w:pPr>
      <w:r>
        <w:t>OE1</w:t>
      </w:r>
    </w:p>
    <w:p w:rsidR="00F83F12" w:rsidRDefault="001C6219">
      <w:pPr>
        <w:pStyle w:val="P68B1DB1-Normal4"/>
      </w:pPr>
      <w:r>
        <w:t>Innovación y competitividad.</w:t>
      </w:r>
    </w:p>
    <w:p w:rsidR="00F83F12" w:rsidRDefault="001C6219">
      <w:pPr>
        <w:pStyle w:val="P68B1DB1-Normal4"/>
      </w:pPr>
      <w:r>
        <w:t>1.En el compromiso del Reglamento FEDER/Fondo de Cohesión, se incluyen las inversiones productivas en pequeñas empresas de mediana capitalización en actividades de investigación e innovación. Sírvase aclarar cuál será la nueva definición de «pequeñas empresas de mediana capitalización».</w:t>
      </w:r>
    </w:p>
    <w:p w:rsidR="00F83F12" w:rsidRDefault="001C6219">
      <w:pPr>
        <w:pStyle w:val="P68B1DB1-Normal4"/>
      </w:pPr>
      <w:r>
        <w:t>Respuesta.</w:t>
      </w:r>
    </w:p>
    <w:p w:rsidR="00F83F12" w:rsidRDefault="001C6219">
      <w:r>
        <w:t xml:space="preserve">El artículo 5, apartado 2, letras c) y d), del FEDER enumera los casos en los que puede apoyarse la inversión productiva en pequeñas empresas de mediana capitalización y empresas de mediana capitalización. Las definiciones de «pequeñas empresas de mediana capitalización» y «empresas de mediana capitalización» figuran, respectivamente, en los puntos (6) y (7) del artículo 2 del Reglamento (UE) 2015/1017 del Parlamento Europeo y del Consejo, de 25 de junio de 2015, relativo al Fondo Europeo </w:t>
      </w:r>
      <w:r>
        <w:lastRenderedPageBreak/>
        <w:t>para Inversiones Estratégicas, al Centro Europeo de Asesoramiento para la Inversión y al Portal Europeo de Proyectos de Inversión (DO L 169 de 1.7.2015, p. 1).</w:t>
      </w:r>
    </w:p>
    <w:p w:rsidR="00F83F12" w:rsidRDefault="001C6219">
      <w:r>
        <w:t>A tenor de dicho Reglamento:</w:t>
      </w:r>
    </w:p>
    <w:p w:rsidR="00F83F12" w:rsidRDefault="001C6219">
      <w:r>
        <w:t>— «pequeñas empresas de mediana capitalización»: entidades de hasta 499 empleados que no sean pymes;</w:t>
      </w:r>
    </w:p>
    <w:p w:rsidR="00F83F12" w:rsidRDefault="001C6219">
      <w:r>
        <w:t>— «empresas de mediana capitalización»: entidades de hasta 3 000 empleados que no sean pymes ni pequeñas empresas de mediana capitalización;</w:t>
      </w:r>
    </w:p>
    <w:p w:rsidR="00F83F12" w:rsidRDefault="00F83F12"/>
    <w:p w:rsidR="00F83F12" w:rsidRDefault="001C6219">
      <w:pPr>
        <w:pStyle w:val="P68B1DB1-Normal4"/>
      </w:pPr>
      <w:r>
        <w:t>(2) Aclaren si el apoyo al refuerzo de las capacidades de innovación, investigación y emprendimiento para estudiantes y personal académico, prestando especial atención a las CTIM, puede incluirse en el OP 1.</w:t>
      </w:r>
    </w:p>
    <w:p w:rsidR="00F83F12" w:rsidRDefault="001C6219">
      <w:pPr>
        <w:pStyle w:val="P68B1DB1-Normal4"/>
      </w:pPr>
      <w:r>
        <w:t>Respuesta.</w:t>
      </w:r>
    </w:p>
    <w:p w:rsidR="00F83F12" w:rsidRDefault="001C6219">
      <w:r>
        <w:t>De conformidad con el artículo 5, apartado 3, el FEDER/FC podrá apoyar actividades de formación, aprendizaje permanente, reciclaje profesional y educación en el marco del objetivo específico «Desarrollo de capacidades para la especialización inteligente, la transición industrial y el espíritu empresarial». De conformidad con el artículo 73, apartado 2, del RDC, dicha inversión debe ser coherente con las estrategias de especialización inteligente (S3) y otras estrategias pertinentes subyacentes al programa.</w:t>
      </w:r>
    </w:p>
    <w:p w:rsidR="00F83F12" w:rsidRDefault="001C6219">
      <w:r>
        <w:t>En el marco del OE 1.4, las prioridades de inversión del FEDER pueden ser acciones relacionadas con el apoyo a la gestión de la innovación en las pymes; formación específica y reciclaje profesional para zonas S3 identificadas a todos los niveles dentro de las empresas; fomento de las competencias empresariales a todos los niveles en las empresas; la educación y la formación y el desarrollo de capacidades en los centros de enseñanza superior e investigación para intensificar su cooperación con los agentes económicos, aumentar la viabilidad comercial y la pertinencia para el mercado de sus proyectos de investigación.  La lógica de intervención debe ser clara sobre la manera en que las intervenciones propuestas en el marco del OE 1.4 contribuyen a la transformación económica inteligente de la región a través del proceso de descubrimiento empresarial. Esto requiere una evaluación caso por caso.</w:t>
      </w:r>
    </w:p>
    <w:p w:rsidR="00F83F12" w:rsidRDefault="00F83F12"/>
    <w:p w:rsidR="00F83F12" w:rsidRDefault="00F83F12"/>
    <w:p w:rsidR="00F83F12" w:rsidRDefault="001C6219">
      <w:pPr>
        <w:pStyle w:val="Ttulo1"/>
      </w:pPr>
      <w:bookmarkStart w:id="137" w:name="scroll-bookmark-137"/>
      <w:bookmarkStart w:id="138" w:name="scroll-bookmark-138"/>
      <w:bookmarkEnd w:id="137"/>
      <w:r>
        <w:t>QA00080 — Admisibilidad de determinadas formas de apoyo a los fundadores empresariales</w:t>
      </w:r>
      <w:bookmarkEnd w:id="138"/>
    </w:p>
    <w:p w:rsidR="00F83F12" w:rsidRDefault="001C6219">
      <w:r>
        <w:rPr>
          <w:noProof/>
          <w:lang w:val="es-ES"/>
        </w:rPr>
        <w:drawing>
          <wp:inline distT="0" distB="0" distL="0" distR="0" wp14:anchorId="149D83B5" wp14:editId="79D28460">
            <wp:extent cx="152435" cy="152435"/>
            <wp:effectExtent l="0" t="0" r="0" b="0"/>
            <wp:docPr id="100278" name="Imagen 10027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del Reglamento FEDER</w:t>
      </w:r>
    </w:p>
    <w:p w:rsidR="00F83F12" w:rsidRDefault="001C6219">
      <w:r>
        <w:rPr>
          <w:noProof/>
          <w:lang w:val="es-ES"/>
        </w:rPr>
        <w:drawing>
          <wp:inline distT="0" distB="0" distL="0" distR="0" wp14:anchorId="1C2D5DF9" wp14:editId="137AE01E">
            <wp:extent cx="152435" cy="152435"/>
            <wp:effectExtent l="0" t="0" r="0" b="0"/>
            <wp:docPr id="100280" name="Imagen 100280"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lastRenderedPageBreak/>
        <w:t>Como parte del objetivo específico 1.3 (competitividad de las PYME), una región alemana desea apoyar la creación de empresas centradas en el período de tiempo poco antes y después de la creación de las empresas. Están previstos varios elementos básicos:</w:t>
      </w:r>
    </w:p>
    <w:p w:rsidR="00F83F12" w:rsidRDefault="001C6219">
      <w:r>
        <w:t>— Las universidades, etc., reciben una subvención. Utilizan la subvención para emplear a fundadores (por ejemplo, antiguos estudiantes) temporalmente durante un período de tiempo limitado, hasta el establecimiento formal de una empresa. La subvención también se utiliza para pagar otros gastos relacionados con la fundación empresarial. (Bloque «ego.-Gründungstransfer»)</w:t>
      </w:r>
    </w:p>
    <w:p w:rsidR="00F83F12" w:rsidRDefault="001C6219">
      <w:r>
        <w:t> — Los condados u organismos de promoción empresarial reciben una subvención. Utilizan la subvención a los fundadores de autocares y trenes durante un determinado número de horas durante varios meses antes y después del establecimiento de la empresa. (Bloque «ego.-Wissen»)</w:t>
      </w:r>
    </w:p>
    <w:p w:rsidR="00F83F12" w:rsidRDefault="001C6219">
      <w:r>
        <w:t> — Los fundadores reciben una subvención. En el módulo uno, los fundadores pueden utilizar la subvención para servicios de orientación vinculados a la fundación. Si el futuro negocio está orientado a la tecnología, en el módulo 2 la subvención (beca) también puede utilizarse para pagar (una parte de) el coste de la vida durante varios meses antes y después de la creación de la empresa. (Bloque «ego.-Start»)</w:t>
      </w:r>
    </w:p>
    <w:p w:rsidR="00F83F12" w:rsidRDefault="00F83F12"/>
    <w:p w:rsidR="00F83F12" w:rsidRDefault="001C6219">
      <w:pPr>
        <w:pStyle w:val="P68B1DB1-Normal4"/>
      </w:pPr>
      <w:r>
        <w:t>Proyecto de respuesta:</w:t>
      </w:r>
    </w:p>
    <w:p w:rsidR="00F83F12" w:rsidRDefault="001C6219">
      <w:r>
        <w:t> El sistema descrito parece tener las características de los programas académicos de apoyo al emprendimiento, que podrían desempeñar un papel importante a la hora de influir en el rendimiento de las empresas derivadas de la universidad o de promover la creación de empresas de estudiantes. Este tipo de régimen suele proporcionar financiación a actividades realizadas por universidades, oficinas de transferencia de tecnología, parques científicos, investigadores individuales o empresarios. Su éxito depende de múltiples factores, como el entorno empresarial o la gestión dentro del régimen de cuestiones relacionadas con la selección adversa o los riesgos morales. Sin embargo, para garantizar que contribuye a los objetivos de un programa, el diseño del régimen debe detallarse y aclararse en el programa correspondiente.</w:t>
      </w:r>
    </w:p>
    <w:p w:rsidR="00F83F12" w:rsidRDefault="001C6219">
      <w:r>
        <w:t>En principio, podría recibir apoyo en el marco del objetivo político 1, siempre que el régimen esté diseñado de manera que contribuya eficazmente al desarrollo de empresas emergentes y promueva el desarrollo de capacidades de innovación, la comercialización, el desarrollo de capacidades y emprendimiento y la prestación de servicios específicos a las empresas. La selección de los objetivos específicos que se financiarán en el marco del FEDER/FC dependería del diseño detallado del régimen.</w:t>
      </w:r>
    </w:p>
    <w:p w:rsidR="00F83F12" w:rsidRDefault="001C6219">
      <w:r>
        <w:t>Obsérvese que, en virtud del objetivo específico 1.3 (artículo 3 (1) (a) (iii) del Reglamento FEDER/FC), el FEDER apoya a las pymes a través de procesos de transformación, como la creación de nuevas empresas, empresas emergentes/en expansión, aceleradores, apoyo a la inversión, internacionalización y desarrollo de nuevos productos y procesos, etc., con el objetivo de aumentar su productividad y competitividad.</w:t>
      </w:r>
    </w:p>
    <w:p w:rsidR="00F83F12" w:rsidRDefault="001C6219">
      <w:r>
        <w:t> Dado que se refiere a la cobertura de una parte del coste de la vida para los académicos emprendedores durante un período limitado, podría justificarse si fuera necesario para alcanzar los objetivos del programa y del programa.   </w:t>
      </w:r>
    </w:p>
    <w:p w:rsidR="00F83F12" w:rsidRDefault="00F83F12"/>
    <w:p w:rsidR="00F83F12" w:rsidRDefault="00F83F12"/>
    <w:p w:rsidR="00F83F12" w:rsidRDefault="001C6219">
      <w:pPr>
        <w:pStyle w:val="Ttulo1"/>
      </w:pPr>
      <w:bookmarkStart w:id="139" w:name="scroll-bookmark-139"/>
      <w:bookmarkStart w:id="140" w:name="scroll-bookmark-140"/>
      <w:bookmarkEnd w:id="139"/>
      <w:r>
        <w:t>QA00081 — Requisito de concentración climática y asistencia técnica</w:t>
      </w:r>
      <w:bookmarkEnd w:id="140"/>
    </w:p>
    <w:p w:rsidR="00F83F12" w:rsidRDefault="001C6219">
      <w:r>
        <w:rPr>
          <w:noProof/>
          <w:lang w:val="es-ES"/>
        </w:rPr>
        <w:drawing>
          <wp:inline distT="0" distB="0" distL="0" distR="0" wp14:anchorId="6BF49D63" wp14:editId="2246CB8A">
            <wp:extent cx="152435" cy="152435"/>
            <wp:effectExtent l="0" t="0" r="0" b="0"/>
            <wp:docPr id="100282" name="Imagen 10028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 6 del RDC;</w:t>
      </w:r>
    </w:p>
    <w:p w:rsidR="00F83F12" w:rsidRDefault="001C6219">
      <w:r>
        <w:t>Artículo 4.1 del FEDER;</w:t>
      </w:r>
    </w:p>
    <w:p w:rsidR="00F83F12" w:rsidRDefault="001C6219">
      <w:r>
        <w:rPr>
          <w:noProof/>
          <w:lang w:val="es-ES"/>
        </w:rPr>
        <w:drawing>
          <wp:inline distT="0" distB="0" distL="0" distR="0" wp14:anchorId="10FB2841" wp14:editId="0E440528">
            <wp:extent cx="152435" cy="152435"/>
            <wp:effectExtent l="0" t="0" r="0" b="0"/>
            <wp:docPr id="100284" name="Imagen 10028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4"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1C6219">
      <w:pPr>
        <w:pStyle w:val="P68B1DB1-Normal4"/>
      </w:pPr>
      <w:r>
        <w:t>Pregunta 1 (incluidos los hechos e información pertinentes):</w:t>
      </w:r>
    </w:p>
    <w:p w:rsidR="00F83F12" w:rsidRDefault="001C6219">
      <w:r>
        <w:t>¿Se aplican los objetivos de contribución climática del 30 % del FEDER y del 37 % del Fondo de Cohesión del artículo 6 del RDC a la asignación total del FEDER/FC, o a la asignación del FEDER/FC, excluida la asistencia técnica?</w:t>
      </w:r>
    </w:p>
    <w:p w:rsidR="00F83F12" w:rsidRDefault="001C6219">
      <w:r>
        <w:t>Obsérvese a este respecto que:</w:t>
      </w:r>
    </w:p>
    <w:p w:rsidR="00F83F12" w:rsidRDefault="001C6219">
      <w:r>
        <w:t>— Los requisitos de concentración temática del FEDER con arreglo al artículo 4, apartado 1, del Reglamento FEDER/FC se aplican al importe del FEDER, excluida la asistencia técnica;</w:t>
      </w:r>
    </w:p>
    <w:p w:rsidR="00F83F12" w:rsidRDefault="001C6219">
      <w:pPr>
        <w:pStyle w:val="P68B1DB1-Normal4"/>
      </w:pPr>
      <w:r>
        <w:t>Respuesta.</w:t>
      </w:r>
    </w:p>
    <w:p w:rsidR="00F83F12" w:rsidRDefault="001C6219">
      <w:r>
        <w:t>El artículo 6, apartado 2, del RDC establece que los objetivos de contribución climática (30 % para el FEDER y 37 % para el Fondo de Cohesión) deben establecerse como porcentaje de la asignación total del FEDER y del Fondo de Cohesión, incluidos los recursos para asistencia técnica. Los umbrales reglamentarios, como los objetivos climáticos, deben calcularse sobre la base del importe realmente programado en los programas del FEDER y del Fondo de Cohesión, de modo que el importe después de todas las transferencias y contribuciones.</w:t>
      </w:r>
    </w:p>
    <w:p w:rsidR="00F83F12" w:rsidRDefault="00F83F12"/>
    <w:p w:rsidR="00F83F12" w:rsidRDefault="00F83F12"/>
    <w:p w:rsidR="00F83F12" w:rsidRDefault="001C6219">
      <w:pPr>
        <w:pStyle w:val="Ttulo1"/>
      </w:pPr>
      <w:bookmarkStart w:id="141" w:name="scroll-bookmark-141"/>
      <w:bookmarkStart w:id="142" w:name="scroll-bookmark-142"/>
      <w:bookmarkEnd w:id="141"/>
      <w:r>
        <w:t>QA00082 — Evaluación del principio de «no causar un perjuicio significativo» para el FSE +</w:t>
      </w:r>
      <w:bookmarkEnd w:id="142"/>
    </w:p>
    <w:p w:rsidR="00F83F12" w:rsidRDefault="001C6219">
      <w:r>
        <w:rPr>
          <w:noProof/>
          <w:lang w:val="es-ES"/>
        </w:rPr>
        <w:drawing>
          <wp:inline distT="0" distB="0" distL="0" distR="0" wp14:anchorId="62868434" wp14:editId="5D8AB354">
            <wp:extent cx="152435" cy="152435"/>
            <wp:effectExtent l="0" t="0" r="0" b="0"/>
            <wp:docPr id="100286" name="Imagen 10028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F83F12" w:rsidRDefault="001C6219">
      <w:r>
        <w:t>Considerando (10) y artículo 9, apartado 4, del RDC;</w:t>
      </w:r>
    </w:p>
    <w:p w:rsidR="00F83F12" w:rsidRDefault="001C6219">
      <w:r>
        <w:t>Artículo 17 del Reglamento (UE) 2020/852» («Reglamento sobre la taxonomía»).</w:t>
      </w:r>
    </w:p>
    <w:p w:rsidR="00F83F12" w:rsidRDefault="001C6219">
      <w:r>
        <w:rPr>
          <w:noProof/>
          <w:lang w:val="es-ES"/>
        </w:rPr>
        <w:drawing>
          <wp:inline distT="0" distB="0" distL="0" distR="0" wp14:anchorId="2D0E81B2" wp14:editId="20925DE3">
            <wp:extent cx="152435" cy="152435"/>
            <wp:effectExtent l="0" t="0" r="0" b="0"/>
            <wp:docPr id="100288" name="Imagen 10028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lastRenderedPageBreak/>
        <w:br/>
        <w:t>Pregunta 1 (incluidos los hechos e información pertinentes):</w:t>
      </w:r>
    </w:p>
    <w:p w:rsidR="00F83F12" w:rsidRDefault="001C6219">
      <w:r>
        <w:t xml:space="preserve">En el caso de los programas del FSE +, una vez que la AG ha completado su evaluación, la frase propuesta como para el principio DNSH es «Los tipos de acciones se han evaluado como compatibles con el principio DNSH, </w:t>
      </w:r>
      <w:r w:rsidR="002F3719">
        <w:t xml:space="preserve">ya que, </w:t>
      </w:r>
      <w:r>
        <w:t>no se espera que tengan un impacto medioambiental negativo significativo debido a su naturaleza».</w:t>
      </w:r>
    </w:p>
    <w:p w:rsidR="00F83F12" w:rsidRDefault="001C6219">
      <w:r>
        <w:t>¿Cómo puede la AG llevar a cabo la evaluación como en el caso del FSE + (en el caso de las operaciones para las que una EAE no es obligatoria)?</w:t>
      </w:r>
    </w:p>
    <w:p w:rsidR="00F83F12" w:rsidRDefault="001C6219">
      <w:pPr>
        <w:pStyle w:val="P68B1DB1-Normal4"/>
      </w:pPr>
      <w:r>
        <w:t> </w:t>
      </w:r>
    </w:p>
    <w:p w:rsidR="00F83F12" w:rsidRDefault="001C6219">
      <w:r>
        <w:rPr>
          <w:i/>
        </w:rPr>
        <w:t> </w:t>
      </w:r>
      <w:r>
        <w:rPr>
          <w:b/>
        </w:rPr>
        <w:t>Respuesta.</w:t>
      </w:r>
    </w:p>
    <w:p w:rsidR="00F83F12" w:rsidRDefault="001C6219">
      <w:r>
        <w:t>La compatibilidad ex ante con el principio DNSH en el marco de la política de cohesión debe garantizarse a nivel de la definición de los tipos de acciones en los programas. Por lo tanto, es esencial que el cumplimiento del principio DNSH se evalúe y garantice durante el proceso de definición de los tipos de acciones del programa.</w:t>
      </w:r>
    </w:p>
    <w:p w:rsidR="00F83F12" w:rsidRDefault="001C6219">
      <w:r>
        <w:t>Dado el alcance del FSE + y cuando la sección del programa sobre tipos de acciones para un determinado objetivo específico sea suficientemente detallada y sugiera que tienen un impacto previsible nulo o insignificante en los objetivos medioambientales, el Estado miembro podrá adoptar un enfoque simplificado en su evaluación, como se indica a continuación:</w:t>
      </w:r>
    </w:p>
    <w:p w:rsidR="00F83F12" w:rsidRDefault="001C6219">
      <w:r>
        <w:t>El primer paso del método puede ser suficiente para justificar el cumplimiento del principio DNSH. Esto incluye, en particular, la realización de un control de todos los tipos de acciones previstas que abarque los seis puntos siguientes</w:t>
      </w:r>
      <w:hyperlink r:id="rId460" w:anchor="_ftn1" w:history="1">
        <w:r>
          <w:rPr>
            <w:rStyle w:val="Hipervnculo"/>
          </w:rPr>
          <w:t>[1]</w:t>
        </w:r>
      </w:hyperlink>
      <w:r>
        <w:t>:</w:t>
      </w:r>
    </w:p>
    <w:p w:rsidR="00F83F12" w:rsidRDefault="001C6219">
      <w:pPr>
        <w:pStyle w:val="P68B1DB1-Normal5"/>
      </w:pPr>
      <w:r>
        <w:t>¿Se considera que la actividad causa un perjuicio significativo?</w:t>
      </w:r>
    </w:p>
    <w:p w:rsidR="00F83F12" w:rsidRDefault="001C6219">
      <w:pPr>
        <w:pStyle w:val="P68B1DB1-Normal5"/>
      </w:pPr>
      <w:r>
        <w:t>1. a la mitigación del cambio climático si da lugar a emisiones significativas de gases de efecto invernadero (GEI)?</w:t>
      </w:r>
    </w:p>
    <w:p w:rsidR="00F83F12" w:rsidRDefault="001C6219">
      <w:pPr>
        <w:pStyle w:val="P68B1DB1-Normal5"/>
      </w:pPr>
      <w:r>
        <w:t>2. a la adaptación al cambio climático si da lugar a un mayor impacto adverso del clima actual y del clima futuro previsto, en la propia actividad o en las personas, la naturaleza o los activos?</w:t>
      </w:r>
    </w:p>
    <w:p w:rsidR="00F83F12" w:rsidRDefault="001C6219">
      <w:pPr>
        <w:pStyle w:val="P68B1DB1-Normal5"/>
      </w:pPr>
      <w:r>
        <w:t>3) para el uso sostenible y la protección de los recursos hídricos y marinos, si es perjudicial para el buen estado o el buen potencial ecológico de las masas de agua, incluidas las aguas superficiales y subterráneas, o para el buen estado medioambiental de las aguas marinas?</w:t>
      </w:r>
    </w:p>
    <w:p w:rsidR="00F83F12" w:rsidRDefault="001C6219">
      <w:pPr>
        <w:pStyle w:val="P68B1DB1-Normal5"/>
      </w:pPr>
      <w:r>
        <w:t>4) a la economía circular, incluida la prevención y el reciclado de residuos, si da lugar a ineficiencias significativas en el uso de materiales o en el uso directo o indirecto de recursos naturales, o si aumenta significativamente la generación, incineración o eliminación de residuos, o si la eliminación a largo plazo de residuos puede causar daños significativos y a largo plazo al medio ambiente?</w:t>
      </w:r>
    </w:p>
    <w:p w:rsidR="00F83F12" w:rsidRDefault="001C6219">
      <w:pPr>
        <w:pStyle w:val="P68B1DB1-Normal5"/>
      </w:pPr>
      <w:r>
        <w:t>5) a la prevención y el control de la contaminación, si da lugar a un aumento significativo de las emisiones de contaminantes a la atmósfera, al agua o al suelo?</w:t>
      </w:r>
    </w:p>
    <w:p w:rsidR="00F83F12" w:rsidRDefault="001C6219">
      <w:pPr>
        <w:pStyle w:val="P68B1DB1-Normal5"/>
      </w:pPr>
      <w:r>
        <w:t xml:space="preserve">6. a la protección y restauración de la biodiversidad y los ecosistemas si perjudica significativamente el buen estado y la resiliencia de los ecosistemas, o es perjudicial para </w:t>
      </w:r>
      <w:r>
        <w:lastRenderedPageBreak/>
        <w:t>el estado de conservación de los hábitats y las especies, incluidos los de interés para la Unión?</w:t>
      </w:r>
    </w:p>
    <w:p w:rsidR="00F83F12" w:rsidRDefault="001C6219">
      <w:r>
        <w:t>Si la respuesta es afirmativa a cualquiera de los 6 puntos mencionados anteriormente, los Estados miembros deben utilizar la parte 2 de la lista de control (véase el anexo I)</w:t>
      </w:r>
      <w:hyperlink r:id="rId461" w:anchor="_ftn2" w:history="1">
        <w:r>
          <w:rPr>
            <w:rStyle w:val="Hipervnculo"/>
          </w:rPr>
          <w:t>[2]</w:t>
        </w:r>
      </w:hyperlink>
      <w:r>
        <w:t xml:space="preserve"> para llevar a cabo una evaluación sustantiva del principio DNSH para los objetivos medioambientales seleccionados con un «sí» en la etapa 1.</w:t>
      </w:r>
    </w:p>
    <w:p w:rsidR="00F83F12" w:rsidRDefault="001C6219">
      <w:r>
        <w:t>En caso de que la respuesta a las seis preguntas anteriores sea «no», bastaría con una única justificación breve que abarque las seis preguntas.</w:t>
      </w:r>
    </w:p>
    <w:p w:rsidR="00F83F12" w:rsidRDefault="001C6219">
      <w:r>
        <w:t xml:space="preserve">Esto justificaría la inclusión de una de las siguientes afirmaciones en el programa en la rúbrica </w:t>
      </w:r>
      <w:r w:rsidR="00E22099">
        <w:t>«Los</w:t>
      </w:r>
      <w:r>
        <w:rPr>
          <w:i/>
        </w:rPr>
        <w:t xml:space="preserve"> tipos de acciones correspondientes de la</w:t>
      </w:r>
      <w:r>
        <w:t xml:space="preserve"> sección 2.1.1.1.1 </w:t>
      </w:r>
      <w:r>
        <w:rPr>
          <w:i/>
        </w:rPr>
        <w:t>Intervenciones de los Fondos (dentro de la</w:t>
      </w:r>
      <w:r>
        <w:t xml:space="preserve"> plantilla del programa, anexo V del RDC) en el marco de cada objetivo específico:</w:t>
      </w:r>
    </w:p>
    <w:p w:rsidR="00F83F12" w:rsidRDefault="001C6219">
      <w:pPr>
        <w:pStyle w:val="P68B1DB1-Normal5"/>
      </w:pPr>
      <w:r>
        <w:t>«Los tipos de acciones se han evaluado como compatibles con el principio DNSH, ya que:</w:t>
      </w:r>
    </w:p>
    <w:p w:rsidR="00F83F12" w:rsidRDefault="001C6219">
      <w:r>
        <w:t xml:space="preserve">— </w:t>
      </w:r>
      <w:r>
        <w:rPr>
          <w:i/>
        </w:rPr>
        <w:t>no se espera que tengan un impacto medioambiental negativo significativo debido a su naturaleza, o</w:t>
      </w:r>
    </w:p>
    <w:p w:rsidR="00F83F12" w:rsidRDefault="001C6219">
      <w:r>
        <w:t xml:space="preserve">— </w:t>
      </w:r>
      <w:r>
        <w:rPr>
          <w:i/>
        </w:rPr>
        <w:t>se hayan evaluado como compatibles en el marco del MRR, o</w:t>
      </w:r>
    </w:p>
    <w:p w:rsidR="00F83F12" w:rsidRDefault="001C6219">
      <w:r>
        <w:t xml:space="preserve">— </w:t>
      </w:r>
      <w:r>
        <w:rPr>
          <w:i/>
        </w:rPr>
        <w:t>se han evaluado como compatibles con arreglo a las orientaciones técnicas del MRR sobre el principio de «no causar un perjuicio significativo», o</w:t>
      </w:r>
    </w:p>
    <w:p w:rsidR="00F83F12" w:rsidRDefault="001C6219">
      <w:r>
        <w:t xml:space="preserve">— </w:t>
      </w:r>
      <w:r>
        <w:rPr>
          <w:i/>
        </w:rPr>
        <w:t>se han evaluado como compatibles con arreglo a la metodología del Estado miembro.»</w:t>
      </w:r>
    </w:p>
    <w:p w:rsidR="00F83F12" w:rsidRDefault="00F83F12"/>
    <w:p w:rsidR="00F83F12" w:rsidRDefault="001C6219">
      <w:r>
        <w:t>Si la evaluación llevara a una conclusión idéntica en el caso de todos los tipos de acciones en todos los objetivos específicos del programa, por lo que la misma declaración de los anteriores se aplica a la totalidad del programa, basta con incluir esta declaración una vez en la sección 1 del programa sobre la estrategia del programa.</w:t>
      </w:r>
    </w:p>
    <w:p w:rsidR="00F83F12" w:rsidRDefault="001C6219">
      <w:r>
        <w:t>La AG debe conservar la documentación justificativa, incluida la lista de comprobación cumplimentada y firmada con la breve justificación, en cualquier caso, y ponerla a disposición de los servicios de la Comisión, previa solicitud, durante el diálogo informal con las autoridades nacionales.</w:t>
      </w:r>
    </w:p>
    <w:p w:rsidR="00F83F12" w:rsidRDefault="00F83F12"/>
    <w:p w:rsidR="00F83F12" w:rsidRDefault="001C6219">
      <w:r>
        <w:rPr>
          <w:noProof/>
          <w:lang w:val="es-E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382895" cy="0"/>
                <wp:effectExtent l="13335" t="7620" r="13970" b="1143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89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F8729" id="Conector recto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" strokecolor="gray"/>
            </w:pict>
          </mc:Fallback>
        </mc:AlternateContent>
      </w:r>
      <w:hyperlink r:id="rId462" w:anchor="_ftnref1" w:history="1">
        <w:r>
          <w:rPr>
            <w:rStyle w:val="Hipervnculo"/>
          </w:rPr>
          <w:t>[1]</w:t>
        </w:r>
      </w:hyperlink>
      <w:r>
        <w:t xml:space="preserve"> Artículo 17 del Reglamento (UE) 2020/852» («Reglamento sobre la taxonomía»).</w:t>
      </w:r>
    </w:p>
    <w:p w:rsidR="00F83F12" w:rsidRDefault="00FC0FB1">
      <w:hyperlink r:id="rId463" w:anchor="_ftnref2" w:history="1">
        <w:r w:rsidR="001C6219">
          <w:rPr>
            <w:rStyle w:val="Hipervnculo"/>
          </w:rPr>
          <w:t>[2]</w:t>
        </w:r>
      </w:hyperlink>
      <w:r w:rsidR="001C6219">
        <w:t xml:space="preserve"> de la Comunicación de la Comisión relativa a las orientaciones técnicas relativas a la aplicación del principio de «no causar un perjuicio significativo» en virtud del Reglamento sobre el Mecanismo de Recuperación y Resiliencia (2021/C 58/01)</w:t>
      </w:r>
    </w:p>
    <w:p w:rsidR="00F83F12" w:rsidRDefault="00F83F12"/>
    <w:p w:rsidR="00F83F12" w:rsidRDefault="00F83F12"/>
    <w:p w:rsidR="00F83F12" w:rsidRDefault="001C6219">
      <w:pPr>
        <w:pStyle w:val="Ttulo1"/>
      </w:pPr>
      <w:bookmarkStart w:id="143" w:name="scroll-bookmark-143"/>
      <w:bookmarkStart w:id="144" w:name="scroll-bookmark-144"/>
      <w:bookmarkEnd w:id="143"/>
      <w:r>
        <w:lastRenderedPageBreak/>
        <w:t>QA00083 — Apéndice 1 del anexo XXIII y apéndice 3 del anexo XXIV</w:t>
      </w:r>
      <w:bookmarkEnd w:id="144"/>
    </w:p>
    <w:p w:rsidR="00F83F12" w:rsidRDefault="001C6219">
      <w:r>
        <w:rPr>
          <w:noProof/>
          <w:lang w:val="es-ES"/>
        </w:rPr>
        <w:drawing>
          <wp:inline distT="0" distB="0" distL="0" distR="0" wp14:anchorId="2A28873C" wp14:editId="6FD8E45B">
            <wp:extent cx="152435" cy="152435"/>
            <wp:effectExtent l="0" t="0" r="0" b="0"/>
            <wp:docPr id="100291" name="Imagen 1002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Anexos XXIII y XXIV</w:t>
      </w:r>
    </w:p>
    <w:p w:rsidR="00F83F12" w:rsidRDefault="001C6219">
      <w:r>
        <w:rPr>
          <w:noProof/>
          <w:lang w:val="es-ES"/>
        </w:rPr>
        <w:drawing>
          <wp:inline distT="0" distB="0" distL="0" distR="0" wp14:anchorId="6EBD75E9" wp14:editId="75615969">
            <wp:extent cx="152435" cy="152435"/>
            <wp:effectExtent l="0" t="0" r="0" b="0"/>
            <wp:docPr id="100293" name="Imagen 1002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pPr>
        <w:pStyle w:val="P68B1DB1-Normal7"/>
      </w:pPr>
      <w:r>
        <w:t>ANEXO XXIII</w:t>
      </w:r>
    </w:p>
    <w:p w:rsidR="00F83F12" w:rsidRDefault="001C6219">
      <w:r>
        <w:t>Los campos A y B incluirán información sobre el importe indicado en la primera solicitud de pago y abonado al instrumento financiero de conformidad con el artículo 92 del Reglamento (CE) n.º 2021/1060 (máximo el 30 % del total de las contribuciones del programa para el instrumento o instrumentos financieros en virtud del acuerdo de financiación pertinente).</w:t>
      </w:r>
    </w:p>
    <w:p w:rsidR="00F83F12" w:rsidRDefault="001C6219">
      <w:r>
        <w:t> Las casillas C y D contendrán información sobre el importe correspondiente anotado en la contabilidad de conformidad con el artículo 92, apartado 3. De conformidad con el artículo 92, apartado 3, se refieren a la liquidación del anticipo del 30 % a más tardar en el último ejercicio contable.</w:t>
      </w:r>
    </w:p>
    <w:p w:rsidR="00F83F12" w:rsidRDefault="001C6219">
      <w:r>
        <w:t> No está claro en qué medida todas las contribuciones del programa en virtud del artículo 92, apartado 2, letra b), deben incluirse en las casillas C y D, o solo aquellas que hayan incurrido en gastos para el primer pago del 30 %, que es casi un pago anticipado («liquidación» del anticipo del 30 %). La nota a pie de página 1 indica que las casillas C y D están destinadas a cubrir únicamente las contribuciones del programa que subcotizan el anticipo del 30 % en el lado de los gastos. Sin embargo, esto plantea la cuestión de cómo deben liquidarse los pagos corrientes y los gastos administrativos con arreglo al artículo 92, apartado 2, letra b),</w:t>
      </w:r>
      <w:r w:rsidR="00E22099">
        <w:t xml:space="preserve"> </w:t>
      </w:r>
      <w:r>
        <w:t>(referencia al artículo 68, apartado 1,) entre el pago anticipado y la «liquidación» del anticipo.</w:t>
      </w:r>
    </w:p>
    <w:p w:rsidR="00F83F12" w:rsidRDefault="001C6219">
      <w:r>
        <w:t> (1) Si en la primera solicitud de pago se abonó al instrumento financiero una proporción inferior al 30 % (por ejemplo, el 20 %) de las contribuciones del programa, ¿puede aún liquidarse la diferencia con el 30 % (por ejemplo, el 10 %) en otra solicitud de pago? La misma cuestión se aplica si, durante el período de financiación, se decide y aprueba aumentar los recursos financieros de todo el instrumento financiero, aumentando así la cuota del 30 %.</w:t>
      </w:r>
    </w:p>
    <w:p w:rsidR="00F83F12" w:rsidRDefault="001C6219">
      <w:r>
        <w:t> (2) Si es posible un aumento posterior, ¿cómo deben introducirse las columnas A y B del apéndice 1 del anexo XXIII?</w:t>
      </w:r>
    </w:p>
    <w:p w:rsidR="00F83F12" w:rsidRDefault="001C6219">
      <w:r>
        <w:t> (3) ¿En qué forma y a partir de cuándo se declara el gasto con arreglo al artículo 92, apartado 2, letra b)</w:t>
      </w:r>
      <w:r w:rsidR="0088115E">
        <w:t>, (</w:t>
      </w:r>
      <w:r>
        <w:t>gasto subvencionable con arreglo al artículo 68, apartado 1,)?</w:t>
      </w:r>
    </w:p>
    <w:p w:rsidR="00F83F12" w:rsidRDefault="001C6219">
      <w:r>
        <w:t> a) ¿Consideramos que, a partir de la segunda y posteriores solicitudes de pago, este gasto subvencionable se contabiliza regularmente en los respectivos ejes prioritarios?</w:t>
      </w:r>
    </w:p>
    <w:p w:rsidR="00F83F12" w:rsidRDefault="001C6219">
      <w:r>
        <w:t xml:space="preserve"> b) ¿Es correcto que los gastos subvencionables utilizados para suscribir el anticipo del 30 % (normalmente al final del período de financiación) no se incluyan en las solicitudes </w:t>
      </w:r>
      <w:r>
        <w:lastRenderedPageBreak/>
        <w:t>de pago, sino que deban consignarse en el apéndice 1 (columnas C y D)? A contrario: ¿Es correcto que los gastos que aún no se hayan utilizado para apoyar el anticipo del 30 % no se consignen en las columnas C y D del apéndice 1?</w:t>
      </w:r>
    </w:p>
    <w:p w:rsidR="00F83F12" w:rsidRDefault="001C6219">
      <w:r>
        <w:t> En caso de respuesta afirmativa a la cuestión b):</w:t>
      </w:r>
    </w:p>
    <w:p w:rsidR="00F83F12" w:rsidRDefault="001C6219">
      <w:r>
        <w:t> C) ¿Es correcto que, hasta que se suscriba el anticipo del 30 % y se cumplimenten las columnas C y D con valores superiores a 0,00 EUR, no debe incluirse en las solicitudes de pago ningún gasto con arreglo al artículo 92, apartado 2, letra b)</w:t>
      </w:r>
      <w:r w:rsidR="0088115E">
        <w:t>, (</w:t>
      </w:r>
      <w:r>
        <w:t>gasto subvencionable con arreglo al artículo 68, apartado 1,)?</w:t>
      </w:r>
    </w:p>
    <w:p w:rsidR="00F83F12" w:rsidRDefault="001C6219">
      <w:r>
        <w:t> </w:t>
      </w:r>
      <w:r>
        <w:rPr>
          <w:u w:val="single"/>
        </w:rPr>
        <w:t>ANEXO XXIV</w:t>
      </w:r>
    </w:p>
    <w:p w:rsidR="00F83F12" w:rsidRDefault="001C6219">
      <w:r>
        <w:t>Los campos A y B incluirán información sobre el importe especificado en la primera solicitud de pago y abonado al instrumento financiero de conformidad con el artículo 92 (máximo el 30 % del total de las contribuciones del programa para el instrumento o instrumentos financieros en virtud del acuerdo de financiación correspondiente).</w:t>
      </w:r>
    </w:p>
    <w:p w:rsidR="00F83F12" w:rsidRDefault="001C6219">
      <w:r>
        <w:t> Las casillas C y D incluirán información sobre el importe correspondiente anotado en la contabilidad de conformidad con el artículo 92, apartado 3. De conformidad con el artículo 92, apartado 3, se refieren a la contabilización del anticipo del 30 % a más tardar en el último ejercicio contable.</w:t>
      </w:r>
    </w:p>
    <w:p w:rsidR="00F83F12" w:rsidRDefault="001C6219">
      <w:r>
        <w:t xml:space="preserve"> Por consiguiente, se plantean las mismas cuestiones que para el apéndice 1 del anexo XXIII, </w:t>
      </w:r>
      <w:r w:rsidR="002F3719">
        <w:t xml:space="preserve">ya que, </w:t>
      </w:r>
      <w:r>
        <w:t>las cuentas se basan en la información relativa a las solicitudes de pago, suponiendo que no se impugne ningún importe reclamado hasta la fecha en la solicitud de pago.</w:t>
      </w:r>
    </w:p>
    <w:p w:rsidR="00F83F12" w:rsidRDefault="001C6219">
      <w:pPr>
        <w:pStyle w:val="P68B1DB1-Normal4"/>
      </w:pPr>
      <w:r>
        <w:t> </w:t>
      </w:r>
    </w:p>
    <w:p w:rsidR="00F83F12" w:rsidRDefault="001C6219">
      <w:pPr>
        <w:pStyle w:val="P68B1DB1-Normal4"/>
      </w:pPr>
      <w:r>
        <w:t>Respuesta.</w:t>
      </w:r>
    </w:p>
    <w:p w:rsidR="00F83F12" w:rsidRDefault="001C6219">
      <w:r>
        <w:t>(1) Del artículo 92, apartado 2, letra a), del RDC se desprende que solo hay una primera solicitud de pago por cada acuerdo de financiación en virtud del cual se comprometan los recursos del programa; y la primera solicitud de pago podrá incluir «hasta el 30 %» del importe en el momento de la presentación de la solicitud de pago.</w:t>
      </w:r>
    </w:p>
    <w:p w:rsidR="00F83F12" w:rsidRDefault="001C6219">
      <w:r>
        <w:t> Por lo tanto, la autoridad de gestión puede optar por reclamar un importe inferior al 30 % en la primera solicitud de pago, por ejemplo, el 20 % del importe total de las contribuciones del programa comprometidas en virtud del acuerdo de financiación pertinente. Este será el importe que deberá liquidarse a más tardar en el último ejercicio contable, de conformidad con el artículo 92, apartado 3, del RDC. Cuando se opta por esta opción, no es posible reclamar el importe restante en solicitudes de pago posteriores (es decir, la diferencia entre el importe del anticipo solicitado y el 30 % como máximo) como anticipo.</w:t>
      </w:r>
    </w:p>
    <w:p w:rsidR="00F83F12" w:rsidRDefault="001C6219">
      <w:r>
        <w:t> Del mismo modo, cuando los importes comprometidos en un acuerdo de financiación</w:t>
      </w:r>
      <w:r>
        <w:rPr>
          <w:i/>
        </w:rPr>
        <w:t xml:space="preserve"> </w:t>
      </w:r>
      <w:r>
        <w:t>existente se incrementan con recursos adicionales del programa tras la presentación de la primera solicitud de pago vinculada al mismo, no es posible reclamar el anticipo para el complemento (es decir: la diferencia entre el porcentaje de las contribuciones iniciales y aumentadas del acuerdo de financiación).</w:t>
      </w:r>
    </w:p>
    <w:p w:rsidR="00F83F12" w:rsidRDefault="001C6219">
      <w:r>
        <w:t>(2) Me remito a lo contestado en la pregunta 1.</w:t>
      </w:r>
    </w:p>
    <w:p w:rsidR="00F83F12" w:rsidRDefault="001C6219">
      <w:r>
        <w:lastRenderedPageBreak/>
        <w:t> (3) De conformidad con el artículo 92, apartado 2, letra b), del RDC, el importe incluido en las solicitudes de pago posteriores presentadas durante el período de subvencionabilidad debe incluir el gasto subvencionable a que se refiere el artículo 68, apartado 1, del RDC.</w:t>
      </w:r>
    </w:p>
    <w:p w:rsidR="00F83F12" w:rsidRDefault="001C6219">
      <w:r>
        <w:t> a) La primera solicitud de pago y la posterior deben presentarse de conformidad con el modelo que figura en el anexo XXIII y con la prioridad y categoría de región pertinentes, cuando proceda [artículos 91 (3) y 92 (2) (a) del RDC].</w:t>
      </w:r>
    </w:p>
    <w:p w:rsidR="00F83F12" w:rsidRDefault="001C6219">
      <w:r>
        <w:t xml:space="preserve"> b) Sí, el gasto subvencionable para liquidar el anticipo de hasta el 30 % incluido en la primera solicitud de pago debe indicarse en las columnas C y D del apéndice 1 de la solicitud de pago. Estos importes no deben incluirse en la propia solicitud de pago, </w:t>
      </w:r>
      <w:r w:rsidR="002F3719">
        <w:t xml:space="preserve">ya que, </w:t>
      </w:r>
      <w:r>
        <w:t>constituiría una doble declaración. Esto también se aclara en la nota a pie de página del apéndice 1 del modelo de solicitud de pago (anexo XXIII).</w:t>
      </w:r>
    </w:p>
    <w:p w:rsidR="00F83F12" w:rsidRDefault="001C6219">
      <w:r>
        <w:t> Los gastos que aún no se hayan utilizado para liquidar el anticipo no deben registrarse en las columnas C y D del apéndice 1.</w:t>
      </w:r>
    </w:p>
    <w:p w:rsidR="00F83F12" w:rsidRDefault="001C6219">
      <w:r>
        <w:t> C) Una vez que el gasto subvencionable a que se refiere el artículo 68, apartado 1, del RDC incluido en las solicitudes de pago haya alcanzado al menos el 70 % del importe total de las contribuciones del programa comprometidas en el acuerdo de financiación, la autoridad de gestión tendrá que empezar a liquidar el anticipo de hasta el 30 % solicitado en la primera solicitud de pago. Los importes de los gastos subvencionables para la liquidación del anticipo deben consignarse en las columnas C y D hasta que el anticipo se liquide en su totalidad, pero a más tardar en el último ejercicio contable.</w:t>
      </w:r>
    </w:p>
    <w:p w:rsidR="00F83F12" w:rsidRDefault="001C6219">
      <w:r>
        <w:t>Los mismos principios que para cumplimentar el apéndice 1 de las solicitudes de pago se aplican también a la cumplimentación del apéndice 3 de las cuentas anuales. Véanse las respuestas a las preguntas anteriores.</w:t>
      </w:r>
    </w:p>
    <w:p w:rsidR="00F83F12" w:rsidRDefault="00F83F12"/>
    <w:p w:rsidR="00F83F12" w:rsidRDefault="00F83F12"/>
    <w:p w:rsidR="00F83F12" w:rsidRDefault="001C6219">
      <w:pPr>
        <w:pStyle w:val="Ttulo1"/>
      </w:pPr>
      <w:bookmarkStart w:id="145" w:name="scroll-bookmark-145"/>
      <w:bookmarkStart w:id="146" w:name="scroll-bookmark-146"/>
      <w:bookmarkEnd w:id="145"/>
      <w:r>
        <w:t>QA00084 — Financiación cruzada y subvencionabilidad</w:t>
      </w:r>
      <w:bookmarkEnd w:id="146"/>
    </w:p>
    <w:p w:rsidR="00F83F12" w:rsidRDefault="001C6219">
      <w:r>
        <w:rPr>
          <w:noProof/>
          <w:lang w:val="es-ES"/>
        </w:rPr>
        <w:drawing>
          <wp:inline distT="0" distB="0" distL="0" distR="0" wp14:anchorId="32B01565" wp14:editId="28318E19">
            <wp:extent cx="152435" cy="152435"/>
            <wp:effectExtent l="0" t="0" r="0" b="0"/>
            <wp:docPr id="100295" name="Imagen 1002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25 (2) y 50 (1) (c) del RDC</w:t>
      </w:r>
    </w:p>
    <w:p w:rsidR="00F83F12" w:rsidRDefault="001C6219">
      <w:r>
        <w:rPr>
          <w:noProof/>
          <w:lang w:val="es-ES"/>
        </w:rPr>
        <w:drawing>
          <wp:inline distT="0" distB="0" distL="0" distR="0" wp14:anchorId="102516B9" wp14:editId="79E56F2D">
            <wp:extent cx="152435" cy="152435"/>
            <wp:effectExtent l="0" t="0" r="0" b="0"/>
            <wp:docPr id="100297" name="Imagen 1002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1C6219">
      <w:pPr>
        <w:pStyle w:val="P68B1DB1-Normal4"/>
      </w:pPr>
      <w:r>
        <w:t>Pregunta 1 (incluidos los hechos e información pertinentes):</w:t>
      </w:r>
    </w:p>
    <w:p w:rsidR="00F83F12" w:rsidRDefault="001C6219">
      <w:r>
        <w:t>El artículo 25, apartado 2, del RDC establece que «el FEDER y el FSE + podrán financiar... la totalidad o parte de la operación cuyos costes puedan optar a la ayuda del otro Fondo sobre la base de las normas de subvencionabilidad aplicadas a dicho Fondo...».</w:t>
      </w:r>
    </w:p>
    <w:p w:rsidR="00F83F12" w:rsidRDefault="001C6219">
      <w:r>
        <w:t>Nos gustaría obtener garantías de que nuestra interpretación del término «normas de subvencionabilidad» es correcta. Actualmente estamos evaluando esta cuestión en relación con las obligaciones en el ámbito de la visibilidad y la comunicación (véanse los artículos 46-50 del RDC), especialmente las normas establecidas en el artículo 50 (1) (c) del RDC, en el que se establecen límites diferentes para mostrar placas o vallas publicitarias duraderas para las operaciones del FEDER y del FSE +.</w:t>
      </w:r>
    </w:p>
    <w:p w:rsidR="00F83F12" w:rsidRDefault="001C6219">
      <w:r>
        <w:lastRenderedPageBreak/>
        <w:t>En el pasado recibimos una respuesta de la CE en la que se afirmaba que las «normas de subvencionabilidad» deben entenderse como cualquier norma que afecte a la subvencionabilidad de los gastos. En caso de financiación cruzada en los programas del FSE +, esto significa que el FSE + solo puede financiar costes que pueden optar a la ayuda del FEDER, lo que está claro.</w:t>
      </w:r>
    </w:p>
    <w:p w:rsidR="00F83F12" w:rsidRDefault="001C6219">
      <w:r>
        <w:t>Sin embargo, ¿se considera la norma establecida en el artículo 50 (1) (c) del RDC como una norma que repercute en la subvencionabilidad de los gastos? Desde nuestro punto de vista, las «normas de subvencionabilidad» son únicamente las normas establecidas en el capítulo III, los artículos 63 a 68 del RDC y las normas de subvencionabilidad establecidas en los reglamentos específicos del Fondo. Por lo tanto, creemos que, en el caso de los proyectos del FSE + que utilizan financiación cruzada del FEDER, el requisito establecido en el artículo 50 (1) (c) se refiere a todas las operaciones con costes totales superiores a 100 000 EUR.</w:t>
      </w:r>
    </w:p>
    <w:p w:rsidR="00F83F12" w:rsidRDefault="001C6219">
      <w:r>
        <w:t>¿Podría confirmar nuestra comprensión? Nos gustaría obtener una interpretación clara de cómo definir el conjunto de normas que repercuten en la subvencionabilidad del gasto en relación con el artículo 25 (2) del RDC.</w:t>
      </w:r>
    </w:p>
    <w:p w:rsidR="00F83F12" w:rsidRDefault="001C6219">
      <w:pPr>
        <w:pStyle w:val="P68B1DB1-Normal4"/>
      </w:pPr>
      <w:r>
        <w:t>Respuesta.</w:t>
      </w:r>
    </w:p>
    <w:p w:rsidR="00F83F12" w:rsidRDefault="001C6219">
      <w:r>
        <w:t>En este caso (apoyo del FSE + a los gastos que entran en el ámbito de aplicación de las normas de subvencionabilidad del FEDER), la referencia a las normas de subvencionabilidad «aplicadas a dicho Fondo» en el artículo 25, apartado 2, del RDC significa todas las normas de subvencionabilidad aplicables al FEDER, que se establecen en el RDC y en el Reglamento del FEDER y del Fondo de Cohesión. El incumplimiento de estas normas hará que (parte de) los gastos no sean subvencionables.</w:t>
      </w:r>
    </w:p>
    <w:p w:rsidR="00F83F12" w:rsidRDefault="001C6219">
      <w:r>
        <w:t> Las responsabilidades de los beneficiarios a que se refiere el artículo 50, apartado 1, del RDC no entran en el ámbito de aplicación de las normas de subvencionabilidad, pero podrían hacer que los gastos subyacentes sean irregulares si no se cumplen. Dado que estas obligaciones están vinculadas a las especificidades de cada Fondo, deben respetarse las normas del Fondo en virtud de las cuales se ejecutan las operaciones.   </w:t>
      </w:r>
    </w:p>
    <w:p w:rsidR="00F83F12" w:rsidRDefault="001C6219">
      <w:r>
        <w:t> En conclusión, son los límites máximos del FSE + a que se refiere el artículo 50, apartado 1, letra c), inciso ii), del RDC los que se aplican a las operaciones del FSE +, incluso si apoya costes subvencionables con arreglo a las normas del FEDER mediante financiación cruzada.</w:t>
      </w:r>
    </w:p>
    <w:p w:rsidR="00F83F12" w:rsidRDefault="00F83F12"/>
    <w:p w:rsidR="00F83F12" w:rsidRDefault="00F83F12"/>
    <w:p w:rsidR="00F83F12" w:rsidRDefault="001C6219">
      <w:pPr>
        <w:pStyle w:val="Ttulo1"/>
      </w:pPr>
      <w:bookmarkStart w:id="147" w:name="scroll-bookmark-147"/>
      <w:bookmarkStart w:id="148" w:name="scroll-bookmark-148"/>
      <w:bookmarkEnd w:id="147"/>
      <w:r>
        <w:t>QA00087 — INTERREG y desarrollo territorial</w:t>
      </w:r>
      <w:bookmarkEnd w:id="148"/>
    </w:p>
    <w:p w:rsidR="00F83F12" w:rsidRDefault="001C6219">
      <w:r>
        <w:rPr>
          <w:noProof/>
          <w:lang w:val="es-ES"/>
        </w:rPr>
        <w:drawing>
          <wp:inline distT="0" distB="0" distL="0" distR="0" wp14:anchorId="71E7057C" wp14:editId="46CA54DE">
            <wp:extent cx="152435" cy="152435"/>
            <wp:effectExtent l="0" t="0" r="0" b="0"/>
            <wp:docPr id="100299" name="Imagen 1002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 28 y 29 del RDC</w:t>
      </w:r>
    </w:p>
    <w:p w:rsidR="00F83F12" w:rsidRDefault="001C6219">
      <w:r>
        <w:t>Artículo 20 y 21 del Reglamento Interreg</w:t>
      </w:r>
    </w:p>
    <w:p w:rsidR="00F83F12" w:rsidRDefault="001C6219">
      <w:r>
        <w:rPr>
          <w:noProof/>
          <w:lang w:val="es-ES"/>
        </w:rPr>
        <w:drawing>
          <wp:inline distT="0" distB="0" distL="0" distR="0" wp14:anchorId="5B269500" wp14:editId="722EFE5C">
            <wp:extent cx="152435" cy="152435"/>
            <wp:effectExtent l="0" t="0" r="0" b="0"/>
            <wp:docPr id="100301" name="Imagen 1003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br/>
        <w:t>Pregunta 1 (incluidos los hechos e información pertinentes):</w:t>
      </w:r>
    </w:p>
    <w:p w:rsidR="00F83F12" w:rsidRDefault="001C6219">
      <w:pPr>
        <w:pStyle w:val="P68B1DB1-Normal4"/>
      </w:pPr>
      <w:r>
        <w:t>1 — ¿entran los programas Interreg en la categoría c — otros instrumentos territoriales? (Artículo 28 del RDC).</w:t>
      </w:r>
    </w:p>
    <w:p w:rsidR="00F83F12" w:rsidRDefault="001C6219">
      <w:pPr>
        <w:pStyle w:val="P68B1DB1-Normal4"/>
      </w:pPr>
      <w:r>
        <w:t>Respuesta.</w:t>
      </w:r>
    </w:p>
    <w:p w:rsidR="00F83F12" w:rsidRDefault="001C6219">
      <w:r>
        <w:t>Los programas Interreg pueden utilizar todos los instrumentos territoriales enumerados en el artículo 28 del RDC de conformidad con las normas establecidas en el artículo 20 y 21 del Reglamento Interreg. También cabe señalar que, en general, los programas no se consideran un instrumento territorial en el sentido del artículo 28 del RDC.</w:t>
      </w:r>
    </w:p>
    <w:p w:rsidR="00F83F12" w:rsidRDefault="001C6219">
      <w:pPr>
        <w:pStyle w:val="P68B1DB1-Normal4"/>
      </w:pPr>
      <w:r>
        <w:t> </w:t>
      </w:r>
    </w:p>
    <w:p w:rsidR="00F83F12" w:rsidRDefault="001C6219">
      <w:pPr>
        <w:pStyle w:val="P68B1DB1-Normal4"/>
      </w:pPr>
      <w:r>
        <w:t>2 ¿tendrían que definir los programas Interreg estrategias territoriales para (partes de) su zona como parte del documento de la política de cohesión? ¿Son las estrategias macrorregionales (EMR) tales estrategias? En su lugar, ¿podrían los proyectos definir o relacionarse con tales estrategias pertinentes para su ámbito específico de asociación? (Art. 23 (1) y (2) Reglamento Interreg)</w:t>
      </w:r>
    </w:p>
    <w:p w:rsidR="00F83F12" w:rsidRDefault="001C6219">
      <w:pPr>
        <w:pStyle w:val="P68B1DB1-Normal4"/>
      </w:pPr>
      <w:r>
        <w:t> </w:t>
      </w:r>
    </w:p>
    <w:p w:rsidR="00F83F12" w:rsidRDefault="001C6219">
      <w:pPr>
        <w:pStyle w:val="P68B1DB1-Normal4"/>
      </w:pPr>
      <w:r>
        <w:t>Respuesta.</w:t>
      </w:r>
    </w:p>
    <w:p w:rsidR="00F83F12" w:rsidRDefault="001C6219">
      <w:r>
        <w:t>Todas las operaciones seleccionadas en el marco de la ITI u otra herramienta territorial deben cumplir la estrategia territorial que cumpla los requisitos del artículo 29 del RDC. El término «estrategias territoriales» no especifica, por su finalidad, el nivel territorial específico en el que deben elaborarse dichas estrategias. Este término se utiliza para permitir el uso de instrumentos territoriales por debajo del nivel del programa (es decir, NUTS2, el nivel habitual del programa regional). Se entiende que las «autoridades u organismos territoriales pertinentes» comprenden niveles inferiores al nivel NUTS 2 en función del territorio cubierto.</w:t>
      </w:r>
    </w:p>
    <w:p w:rsidR="00F83F12" w:rsidRDefault="001C6219">
      <w:r>
        <w:t>En el caso de los programas de cooperación transfronteriza, cuando los programas puedan abarcar zonas transfronterizas subregionales funcionalmente coherentes, es posible contar con una estrategia territorial única para toda la zona del programa, siempre que se garantice el papel de las autoridades u organismos territoriales pertinentes de la zona.</w:t>
      </w:r>
    </w:p>
    <w:p w:rsidR="00F83F12" w:rsidRDefault="001C6219">
      <w:r>
        <w:t xml:space="preserve">En el caso de los programas de cooperación transnacional, las estrategias macrorregionales como tales no cumplen este requisito, </w:t>
      </w:r>
      <w:r w:rsidR="002F3719">
        <w:t xml:space="preserve">ya que, </w:t>
      </w:r>
      <w:r>
        <w:t>funcionan a nivel de programas transnacionales, y las decisiones son adoptadas por los Estados miembros y no por las autoridades u organismos territoriales pertinentes. No obstante, las estrategias locales, urbanas y territoriales del marco estratégico macrorregional pueden satisfacer el requisito si cumplen las condiciones establecidas en el artículo 29 del RDC. Esto debe examinarse caso por caso.</w:t>
      </w:r>
    </w:p>
    <w:p w:rsidR="00F83F12" w:rsidRDefault="00F83F12"/>
    <w:p w:rsidR="00F83F12" w:rsidRDefault="001C6219">
      <w:pPr>
        <w:pStyle w:val="P68B1DB1-Normal4"/>
      </w:pPr>
      <w:r>
        <w:t xml:space="preserve">3 — si las autoridades territoriales pertinentes deben participar en la selección de proyectos, ¿podría ser este el nivel regional que está representado en los comités </w:t>
      </w:r>
      <w:r>
        <w:lastRenderedPageBreak/>
        <w:t>Interreg? De lo contrario, ¿cómo puede la administración local participar en la selección cuando al mismo tiempo son socios? (Art. 29 (3) RDC)</w:t>
      </w:r>
    </w:p>
    <w:p w:rsidR="00F83F12" w:rsidRDefault="001C6219">
      <w:pPr>
        <w:pStyle w:val="P68B1DB1-Normal5"/>
      </w:pPr>
      <w:r>
        <w:t> </w:t>
      </w:r>
    </w:p>
    <w:p w:rsidR="00F83F12" w:rsidRDefault="001C6219">
      <w:pPr>
        <w:pStyle w:val="P68B1DB1-Normal4"/>
      </w:pPr>
      <w:r>
        <w:t>Respuesta.</w:t>
      </w:r>
    </w:p>
    <w:p w:rsidR="00F83F12" w:rsidRDefault="001C6219">
      <w:r>
        <w:t>Las autoridades u organismos territoriales pertinentes pueden participar en la selección de las operaciones mediante la elaboración de una estrategia territorial que conllevaría una lista de operaciones (artículo 29, apartado 2, del RDC) o en una fase posterior (artículo 29, apartado 3, del RDC).</w:t>
      </w:r>
    </w:p>
    <w:p w:rsidR="00F83F12" w:rsidRDefault="001C6219">
      <w:r>
        <w:t xml:space="preserve">De conformidad con el artículo 20 del Reglamento Interreg, dichas autoridades u organismos territoriales pertinentes </w:t>
      </w:r>
      <w:r>
        <w:rPr>
          <w:b/>
        </w:rPr>
        <w:t>deben representar al menos a dos países participantes, de los cuales al menos uno es un Estado</w:t>
      </w:r>
      <w:r>
        <w:t xml:space="preserve"> miembro.</w:t>
      </w:r>
    </w:p>
    <w:p w:rsidR="00F83F12" w:rsidRDefault="001C6219">
      <w:r>
        <w:t>Debe haber un acuerdo entre el organismo que gestiona la herramienta de desarrollo territorial integrado y la autoridad de gestión sobre las modalidades de participación de la primera en la selección de proyectos.</w:t>
      </w:r>
    </w:p>
    <w:p w:rsidR="00F83F12" w:rsidRDefault="001C6219">
      <w:r>
        <w:t> En el caso del desarrollo local participativo ejecutado en programas Interreg, el grupo de acción local pertinente está compuesto por los representantes mencionados en el artículo 21 del Reglamento Interreg.</w:t>
      </w:r>
    </w:p>
    <w:p w:rsidR="00F83F12" w:rsidRDefault="001C6219">
      <w:r>
        <w:t>Con el fin de evitar posibles conflictos de intereses, el artículo 28 del Reglamento Interreg exige que el reglamento interno del comité de seguimiento y, en su caso, del comité director evite cualquier situación de conflicto de intereses al seleccionar las operaciones Interreg.</w:t>
      </w:r>
    </w:p>
    <w:p w:rsidR="00F83F12" w:rsidRDefault="001C6219">
      <w:r>
        <w:t>Debe firmarse una declaración de conflicto de intereses entre la AG y los organismos que participan en la convocatoria y en el proceso de selección, y debe contener medidas adecuadas para evitar situaciones de conflicto de intereses que puedan surgir o que puedan percibirse objetivamente como un conflicto de intereses.</w:t>
      </w:r>
    </w:p>
    <w:p w:rsidR="00F83F12" w:rsidRDefault="00F83F12"/>
    <w:p w:rsidR="00F83F12" w:rsidRDefault="00F83F12"/>
    <w:p w:rsidR="00F83F12" w:rsidRDefault="001C6219">
      <w:pPr>
        <w:pStyle w:val="Ttulo1"/>
      </w:pPr>
      <w:bookmarkStart w:id="149" w:name="scroll-bookmark-149"/>
      <w:bookmarkStart w:id="150" w:name="scroll-bookmark-150"/>
      <w:bookmarkEnd w:id="149"/>
      <w:r>
        <w:t>QA00088 — Reembolso de la contribución de la Unión al programa sobre la base de costes unitarios, importes a tanto alzado y tipos fijos</w:t>
      </w:r>
      <w:bookmarkEnd w:id="150"/>
    </w:p>
    <w:p w:rsidR="00F83F12" w:rsidRDefault="001C6219">
      <w:r>
        <w:rPr>
          <w:noProof/>
          <w:lang w:val="es-ES"/>
        </w:rPr>
        <w:drawing>
          <wp:inline distT="0" distB="0" distL="0" distR="0" wp14:anchorId="0FE0F5B4" wp14:editId="443EAB9E">
            <wp:extent cx="152435" cy="152435"/>
            <wp:effectExtent l="0" t="0" r="0" b="0"/>
            <wp:docPr id="100303" name="Imagen 1003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94, apartado 3, y artículo 91, apartado 4, letra b), del RDC, apéndice 1 del anexo V del RDC</w:t>
      </w:r>
    </w:p>
    <w:p w:rsidR="00F83F12" w:rsidRDefault="001C6219">
      <w:r>
        <w:rPr>
          <w:noProof/>
          <w:lang w:val="es-ES"/>
        </w:rPr>
        <w:drawing>
          <wp:inline distT="0" distB="0" distL="0" distR="0" wp14:anchorId="334AB333" wp14:editId="53C98D75">
            <wp:extent cx="152435" cy="152435"/>
            <wp:effectExtent l="0" t="0" r="0" b="0"/>
            <wp:docPr id="100305" name="Imagen 1003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lastRenderedPageBreak/>
        <w:t>Una región alemana tiene una pregunta sobre la fecha en que la opción de costes simplificados es aplicable al programa 2021-2027 en caso de que se añada en el anexo 1 mediante una solicitud de modificación del programa.</w:t>
      </w:r>
    </w:p>
    <w:p w:rsidR="00F83F12" w:rsidRDefault="001C6219">
      <w:r>
        <w:t> La pregunta es:</w:t>
      </w:r>
    </w:p>
    <w:p w:rsidR="00F83F12" w:rsidRDefault="001C6219">
      <w:r>
        <w:t xml:space="preserve"> En caso de que un Estado miembro presente una propuesta, como parte de </w:t>
      </w:r>
      <w:r>
        <w:rPr>
          <w:u w:val="single"/>
        </w:rPr>
        <w:t>una solicitud de modificación del programa, para</w:t>
      </w:r>
      <w:r>
        <w:t xml:space="preserve"> hacer uso del reembolso de la contribución de la Unión al programa sobre la base de costes unitarios, importes a tanto alzado y tipos fijos, a partir de cuándo será aplicable el reembolso de la contribución de la Unión de conformidad con el apéndice 1 del programa? ¿Será la fecha de presentación de la solicitud de modificación del programa (de conformidad con el artículo 63, apartado 7,) o la fecha de adopción de la solicitud de modificación del programa (de conformidad con el artículo 94, apartado 1, y la sección 8 del anexo V).</w:t>
      </w:r>
    </w:p>
    <w:p w:rsidR="00F83F12" w:rsidRDefault="00F83F12"/>
    <w:p w:rsidR="00F83F12" w:rsidRDefault="001C6219">
      <w:pPr>
        <w:pStyle w:val="P68B1DB1-Normal4"/>
      </w:pPr>
      <w:r>
        <w:t>Respuesta.</w:t>
      </w:r>
    </w:p>
    <w:p w:rsidR="00F83F12" w:rsidRDefault="001C6219">
      <w:r>
        <w:t>De conformidad con el artículo 94, apartado 3, del RDC, la decisión por la que se apruebe el programa o su modificación establecerá, entre otras cosas, los tipos de operaciones cubiertas por el reembolso basado en costes unitarios, sumas a tanto alzado y tipos fijos, la definición y los importes cubiertos por dichos costes unitarios, sumas a tanto alzado y tipos fijos.</w:t>
      </w:r>
    </w:p>
    <w:p w:rsidR="00F83F12" w:rsidRDefault="001C6219">
      <w:r>
        <w:t>Además, el artículo 91, apartado 4, letra b), del RDC especifica que, cuando la contribución de la Unión se realice de conformidad con el artículo 51, letras c), d) y e), los importes incluidos en una solicitud de pago serán los importes determinados de conformidad con la decisión mencionada con arreglo al artículo 94, apartado 3. Por lo tanto, la autoridad de gestión solo puede incluir los importes acordados en las solicitudes de pago tras una nueva determinación y aprobación en la decisión por la que se aprueba la modificación del programa por la que se introduce dicha forma de contribución de la Unión.</w:t>
      </w:r>
    </w:p>
    <w:p w:rsidR="00F83F12" w:rsidRDefault="001C6219">
      <w:r>
        <w:t>La Comisión también empezará a reembolsar la contribución de la Unión a un programa sobre la base de costes unitarios, sumas a tanto alzado y tipos fijos tras su aprobación en la decisión por la que se aprueba la modificación del programa.</w:t>
      </w:r>
    </w:p>
    <w:p w:rsidR="00F83F12" w:rsidRDefault="00F83F12"/>
    <w:p w:rsidR="00F83F12" w:rsidRDefault="00F83F12"/>
    <w:p w:rsidR="00F83F12" w:rsidRDefault="001C6219">
      <w:pPr>
        <w:pStyle w:val="Ttulo1"/>
      </w:pPr>
      <w:bookmarkStart w:id="151" w:name="scroll-bookmark-151"/>
      <w:bookmarkStart w:id="152" w:name="scroll-bookmark-152"/>
      <w:bookmarkEnd w:id="151"/>
      <w:r>
        <w:t>QA00089 — Utilización del euro</w:t>
      </w:r>
      <w:bookmarkEnd w:id="152"/>
    </w:p>
    <w:p w:rsidR="00F83F12" w:rsidRDefault="001C6219">
      <w:r>
        <w:rPr>
          <w:noProof/>
          <w:lang w:val="es-ES"/>
        </w:rPr>
        <w:drawing>
          <wp:inline distT="0" distB="0" distL="0" distR="0" wp14:anchorId="7644AADA" wp14:editId="435B55DF">
            <wp:extent cx="152435" cy="152435"/>
            <wp:effectExtent l="0" t="0" r="0" b="0"/>
            <wp:docPr id="100307" name="Imagen 1003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87 y 94 del RDC</w:t>
      </w:r>
    </w:p>
    <w:p w:rsidR="00F83F12" w:rsidRDefault="001C6219">
      <w:r>
        <w:rPr>
          <w:noProof/>
          <w:lang w:val="es-ES"/>
        </w:rPr>
        <w:drawing>
          <wp:inline distT="0" distB="0" distL="0" distR="0" wp14:anchorId="21FA1C69" wp14:editId="1320BE2A">
            <wp:extent cx="152435" cy="152435"/>
            <wp:effectExtent l="0" t="0" r="0" b="0"/>
            <wp:docPr id="100309" name="Imagen 1003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BG</w:t>
      </w:r>
    </w:p>
    <w:p w:rsidR="00F83F12" w:rsidRDefault="00F83F12"/>
    <w:p w:rsidR="00F83F12" w:rsidRDefault="001C6219">
      <w:pPr>
        <w:pStyle w:val="P68B1DB1-Normal4"/>
      </w:pPr>
      <w:r>
        <w:br/>
        <w:t>Pregunta 1 (incluidos los hechos e información pertinentes):</w:t>
      </w:r>
    </w:p>
    <w:p w:rsidR="00F83F12" w:rsidRDefault="001C6219">
      <w:r>
        <w:lastRenderedPageBreak/>
        <w:t>¿Podemos utilizar Leva búlgara en lugar de importes en euros para los costes simplificados con arreglo al artículo 94 del RDC en una propuesta a la Comisión de conformidad con los modelos establecidos en los anexos V y VI, como parte de la presentación del programa o de una solicitud de modificación?    </w:t>
      </w:r>
    </w:p>
    <w:p w:rsidR="00F83F12" w:rsidRDefault="00F83F12"/>
    <w:p w:rsidR="00F83F12" w:rsidRDefault="001C6219">
      <w:pPr>
        <w:pStyle w:val="P68B1DB1-Normal4"/>
      </w:pPr>
      <w:r>
        <w:t>Respuesta.</w:t>
      </w:r>
    </w:p>
    <w:p w:rsidR="00F83F12" w:rsidRDefault="001C6219">
      <w:r>
        <w:t>De conformidad con el artículo 87 del RDC, todos los importes establecidos en los programas, notificados o declarados a la Comisión por los Estados miembros, se expresarán en euros.</w:t>
      </w:r>
    </w:p>
    <w:p w:rsidR="00F83F12" w:rsidRDefault="001C6219">
      <w:r>
        <w:t>Tal como se establece en el artículo 94 del RDC, la propuesta presentada por un Estado miembro a la Comisión formará parte de la presentación del programa o de una solicitud de modificación del mismo. Se presentará de conformidad con las plantillas establecidas en los anexos V y VI, es decir, las plantillas de los programas. El apéndice 1 (Contribución de la Unión basada en OCS) forma parte de los anexos V y VI. Así pues, los importes financieros de la presente propuesta (apéndice 1) se expresarán en euros.</w:t>
      </w:r>
    </w:p>
    <w:p w:rsidR="00F83F12" w:rsidRDefault="00F83F12"/>
    <w:p w:rsidR="00F83F12" w:rsidRDefault="00F83F12"/>
    <w:p w:rsidR="00F83F12" w:rsidRDefault="001C6219">
      <w:pPr>
        <w:pStyle w:val="Ttulo1"/>
      </w:pPr>
      <w:bookmarkStart w:id="153" w:name="scroll-bookmark-153"/>
      <w:bookmarkStart w:id="154" w:name="scroll-bookmark-154"/>
      <w:bookmarkEnd w:id="153"/>
      <w:r>
        <w:t>QA00090 — ¿dónde mencionar los «beneficiarios» en el programa?</w:t>
      </w:r>
      <w:bookmarkEnd w:id="154"/>
    </w:p>
    <w:p w:rsidR="00F83F12" w:rsidRDefault="001C6219">
      <w:r>
        <w:rPr>
          <w:noProof/>
          <w:lang w:val="es-ES"/>
        </w:rPr>
        <w:drawing>
          <wp:inline distT="0" distB="0" distL="0" distR="0" wp14:anchorId="6A2C18D0" wp14:editId="38C0CF4F">
            <wp:extent cx="152435" cy="152435"/>
            <wp:effectExtent l="0" t="0" r="0" b="0"/>
            <wp:docPr id="100311" name="Imagen 1003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Considerando (60) y artículos 22, 38, 40 y 73 del RDC y modelo de </w:t>
      </w:r>
      <w:r w:rsidR="00835C87">
        <w:t>programa</w:t>
      </w:r>
      <w:r>
        <w:t xml:space="preserve"> del anexo V del RDC</w:t>
      </w:r>
    </w:p>
    <w:p w:rsidR="00F83F12" w:rsidRDefault="001C6219">
      <w:r>
        <w:rPr>
          <w:noProof/>
          <w:lang w:val="es-ES"/>
        </w:rPr>
        <w:drawing>
          <wp:inline distT="0" distB="0" distL="0" distR="0" wp14:anchorId="57DDEB2E" wp14:editId="7794299C">
            <wp:extent cx="152435" cy="152435"/>
            <wp:effectExtent l="0" t="0" r="0" b="0"/>
            <wp:docPr id="100313" name="Imagen 1003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br/>
        <w:t>Pregunta 1 (incluidos los hechos e información pertinentes):</w:t>
      </w:r>
    </w:p>
    <w:p w:rsidR="00F83F12" w:rsidRDefault="001C6219">
      <w:r>
        <w:t>Entendemos que no existe ningún requisito específico en el RDC de enumerar los beneficiarios a los que la AG pretende conceder subvenciones directamente, es decir, sin una convocatoria competitiva.</w:t>
      </w:r>
    </w:p>
    <w:p w:rsidR="00F83F12" w:rsidRDefault="00F83F12"/>
    <w:p w:rsidR="00F83F12" w:rsidRDefault="001C6219">
      <w:pPr>
        <w:pStyle w:val="P68B1DB1-Normal4"/>
      </w:pPr>
      <w:r>
        <w:t>Respuesta.</w:t>
      </w:r>
    </w:p>
    <w:p w:rsidR="00F83F12" w:rsidRDefault="001C6219">
      <w:r>
        <w:t>Correcto. Contrariamente al período de programación anterior, el Reglamento (UE) 2021/1060 no exige que la AG facilite información sobre los beneficiarios que deben recibir ayuda (es decir, los tipos de beneficiarios que deben recibir ayuda en virtud de cada objetivo específico) ni los principios rectores para la selección de las operaciones. El objetivo es simplificar el contenido del programa, por lo que disuadiría a los Estados miembros de incluir esta información en el programa.  Sin embargo, si la AG desea incluir información una lista de beneficiarios potenciales (o tipos de beneficiarios) en el programa, debe dejar claro en el texto que la información es «indicativa».</w:t>
      </w:r>
    </w:p>
    <w:p w:rsidR="00F83F12" w:rsidRDefault="00F83F12"/>
    <w:p w:rsidR="00F83F12" w:rsidRDefault="001C6219">
      <w:pPr>
        <w:pStyle w:val="P68B1DB1-Normal4"/>
      </w:pPr>
      <w:r>
        <w:t>Pregunta 2 (incluidos los hechos e información pertinentes):</w:t>
      </w:r>
    </w:p>
    <w:p w:rsidR="00F83F12" w:rsidRDefault="001C6219">
      <w:r>
        <w:t>Somos conscientes del considerando (60), segunda frase, del RDC, que es más probable que esté relacionado con el artículo 73 del RDC, «Selección de operaciones por parte de la autoridad de gestión», en particular su apartado 1:</w:t>
      </w:r>
    </w:p>
    <w:p w:rsidR="00F83F12" w:rsidRDefault="001C6219">
      <w:r>
        <w:t>«Los procedimientos de selección de operaciones pueden ser competitivos o no competitivos siempre que los criterios aplicados y los procedimientos utilizados sean no discriminatorios, inclusivos y transparentes y que las operaciones seleccionadas maximicen la contribución de la financiación de la Unión y estén en consonancia con los principios horizontales definidos en el presente Reglamento.»</w:t>
      </w:r>
    </w:p>
    <w:p w:rsidR="00F83F12" w:rsidRDefault="001C6219">
      <w:r>
        <w:t>¿Podrían confirmar si este considerando se refiere al artículo 73 y a la selección de operaciones por parte de la autoridad de gestión?</w:t>
      </w:r>
    </w:p>
    <w:p w:rsidR="00F83F12" w:rsidRDefault="001C6219">
      <w:pPr>
        <w:pStyle w:val="P68B1DB1-Normal4"/>
      </w:pPr>
      <w:r>
        <w:t>Respuesta.</w:t>
      </w:r>
    </w:p>
    <w:p w:rsidR="00F83F12" w:rsidRDefault="001C6219">
      <w:r>
        <w:t>En efecto, como se indica en la primera frase de dicho considerando, se refiere a la selección de operaciones por parte de la autoridad de gestión y proporciona la justificación del artículo 73 del RDC.</w:t>
      </w:r>
    </w:p>
    <w:p w:rsidR="00F83F12" w:rsidRDefault="001C6219">
      <w:pPr>
        <w:pStyle w:val="P68B1DB1-Normal4"/>
      </w:pPr>
      <w:r>
        <w:t>Pregunta 3 (incluidos los hechos e información pertinentes):</w:t>
      </w:r>
    </w:p>
    <w:p w:rsidR="00F83F12" w:rsidRDefault="001C6219">
      <w:r>
        <w:t xml:space="preserve">El artículo 40, apartado 2, letra a), del RDC trata sobre la metodología de selección y los criterios que debe adoptar el comité de seguimiento. En este contexto, también nos remitimos al artículo 38, apartado 2, del RDC: el reglamento interno del comité de seguimiento debe contener disposiciones sobre conflictos de intereses que puedan surgir, </w:t>
      </w:r>
      <w:r w:rsidR="002F3719">
        <w:t xml:space="preserve">ya que, </w:t>
      </w:r>
      <w:r>
        <w:t>los «beneficiarios designados» suelen ser agentes institucionales que pueden estar representados en el comité de seguimiento. ¿Podría también ser posible que la metodología de selección contenga la identificación de los beneficiarios designados, las partes del programa que aplicarán, así como la justificación conforme al artículo 73 del RDC, tal como se apoya en el considerando (60)?</w:t>
      </w:r>
    </w:p>
    <w:p w:rsidR="00F83F12" w:rsidRDefault="001C6219">
      <w:pPr>
        <w:pStyle w:val="P68B1DB1-Normal4"/>
      </w:pPr>
      <w:r>
        <w:t>Respuesta.</w:t>
      </w:r>
    </w:p>
    <w:p w:rsidR="00F83F12" w:rsidRDefault="001C6219">
      <w:r>
        <w:t>De conformidad con el artículo 40 del RDC, el comité de seguimiento aprueba la metodología de selección y los criterios de selección. Sin embargo, de conformidad con el artículo 73 del RDC, la autoridad de gestión es responsable de la selección de las operaciones. Dado que los miembros del comité de seguimiento pueden ser beneficiarios en el marco del programa supervisado, el reglamento interno del comité de seguimiento, así como los procedimientos de selección cuando sea necesario, deben ofrecer una solución práctica y transparente para estos casos.</w:t>
      </w:r>
    </w:p>
    <w:p w:rsidR="00F83F12" w:rsidRDefault="001C6219">
      <w:pPr>
        <w:pStyle w:val="P68B1DB1-Normal4"/>
      </w:pPr>
      <w:r>
        <w:t>Pregunta 4 (incluidos los hechos e información pertinentes):</w:t>
      </w:r>
    </w:p>
    <w:p w:rsidR="00F83F12" w:rsidRDefault="001C6219">
      <w:r>
        <w:t>Se ha mencionado que un posible lugar para enumerar los «beneficiarios designados» sería la lista de tipos de acciones dentro de cada OE/prioridad (la lista de tipos de acciones, también aprendida, es exhaustiva). ¿Es correcta esta afirmación?</w:t>
      </w:r>
    </w:p>
    <w:p w:rsidR="00F83F12" w:rsidRDefault="001C6219">
      <w:pPr>
        <w:pStyle w:val="P68B1DB1-Normal4"/>
      </w:pPr>
      <w:r>
        <w:t>Respuesta</w:t>
      </w:r>
    </w:p>
    <w:p w:rsidR="00F83F12" w:rsidRDefault="001C6219">
      <w:r>
        <w:t xml:space="preserve">En cuanto a los tipos de acciones a que se refiere el artículo 22 (3) (d) (i) del RDC, la lista es exhaustiva. Como se explica en la respuesta a la pregunta 1, el Reglamento (UE) 2021/1060, en particular el artículo 22, apartado 3, del RDC, ya no exige que los tipos de </w:t>
      </w:r>
      <w:r>
        <w:lastRenderedPageBreak/>
        <w:t>beneficiarios se identifiquen en el programa. Finalmente, si se facilita, la lista indicativa de beneficiarios potenciales podría citarse como ejemplos en la descripción de la lista (exhaustiva) de tipos de acciones o cuando la AG lo considere pertinente.</w:t>
      </w:r>
    </w:p>
    <w:p w:rsidR="00F83F12" w:rsidRDefault="00F83F12"/>
    <w:p w:rsidR="00F83F12" w:rsidRDefault="00F83F12"/>
    <w:p w:rsidR="00F83F12" w:rsidRDefault="001C6219">
      <w:pPr>
        <w:pStyle w:val="Ttulo1"/>
      </w:pPr>
      <w:bookmarkStart w:id="155" w:name="scroll-bookmark-155"/>
      <w:bookmarkStart w:id="156" w:name="scroll-bookmark-156"/>
      <w:bookmarkEnd w:id="155"/>
      <w:r>
        <w:t>QA00091 — Admisibilidad de las infraestructuras aeroportuarias en las regiones ultraperiféricas</w:t>
      </w:r>
      <w:bookmarkEnd w:id="156"/>
    </w:p>
    <w:p w:rsidR="00F83F12" w:rsidRDefault="001C6219">
      <w:r>
        <w:rPr>
          <w:noProof/>
          <w:lang w:val="es-ES"/>
        </w:rPr>
        <w:drawing>
          <wp:inline distT="0" distB="0" distL="0" distR="0" wp14:anchorId="0A0D4714" wp14:editId="3A6C720E">
            <wp:extent cx="152435" cy="152435"/>
            <wp:effectExtent l="0" t="0" r="0" b="0"/>
            <wp:docPr id="100315" name="Imagen 1003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letra e), del Reglamento FEDER/FC</w:t>
      </w:r>
    </w:p>
    <w:p w:rsidR="00F83F12" w:rsidRDefault="001C6219">
      <w:r>
        <w:rPr>
          <w:noProof/>
          <w:lang w:val="es-ES"/>
        </w:rPr>
        <w:drawing>
          <wp:inline distT="0" distB="0" distL="0" distR="0" wp14:anchorId="6D6047DE" wp14:editId="21B2061D">
            <wp:extent cx="152435" cy="152435"/>
            <wp:effectExtent l="0" t="0" r="0" b="0"/>
            <wp:docPr id="100317" name="Imagen 1003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br/>
        <w:t>Pregunta 1 (incluidos los hechos e información pertinentes):</w:t>
      </w:r>
    </w:p>
    <w:p w:rsidR="00F83F12" w:rsidRDefault="001C6219">
      <w:r>
        <w:t>El Reglamento (UE) 2021/1058, de 24 de junio de 2021, relativo al FEDER y al FC, establece exclusiones del ámbito de aplicación del FEDER y del FC en su artículo 7.</w:t>
      </w:r>
    </w:p>
    <w:p w:rsidR="00F83F12" w:rsidRDefault="001C6219">
      <w:r>
        <w:t>En concreto, en el artículo 7, letra e), determina que el FEDER y el FC no apoyarán «la inversión en infraestructuras aeroportuarias, excepto en el caso de las regiones ultraperiféricas o en los aeropuertos regionales existentes (...) en cualquiera de los casos siguientes:</w:t>
      </w:r>
    </w:p>
    <w:p w:rsidR="00F83F12" w:rsidRDefault="001C6219">
      <w:r>
        <w:t> I) en las medidas de mitigación del impacto ambiental; o</w:t>
      </w:r>
    </w:p>
    <w:p w:rsidR="00F83F12" w:rsidRDefault="001C6219">
      <w:r>
        <w:t>II) en los sistemas de protección, seguridad y gestión del tránsito aéreo resultantes de la investigación sobre la gestión del tránsito aéreo en el contexto del Cielo Único Europeo;».</w:t>
      </w:r>
    </w:p>
    <w:p w:rsidR="00F83F12" w:rsidRDefault="001C6219">
      <w:r>
        <w:t xml:space="preserve"> Las autoridades de Portugal solicitan confirmación de si las inversiones en infraestructuras aeroportuarias en el DO </w:t>
      </w:r>
      <w:r>
        <w:rPr>
          <w:b/>
          <w:u w:val="single"/>
        </w:rPr>
        <w:t>solo pueden optar a la financiación del FEDER/FC si se trata de inversiones en los incisos i) y ii)</w:t>
      </w:r>
      <w:r>
        <w:t xml:space="preserve">. Plantean esta duda, </w:t>
      </w:r>
      <w:r w:rsidR="002F3719">
        <w:t xml:space="preserve">ya que, </w:t>
      </w:r>
      <w:r>
        <w:t xml:space="preserve">consideran que la redacción del Reglamento podría sugerir que </w:t>
      </w:r>
      <w:r>
        <w:rPr>
          <w:i/>
        </w:rPr>
        <w:t>todas las</w:t>
      </w:r>
      <w:r>
        <w:t xml:space="preserve"> inversiones en aeropuertos de la O.R. son subvencionables y que las inversiones en aeropuertos regionales existentes estarían condicionadas a lo dispuesto en los incisos i) y ii).</w:t>
      </w:r>
    </w:p>
    <w:p w:rsidR="00F83F12" w:rsidRDefault="00F83F12"/>
    <w:p w:rsidR="00F83F12" w:rsidRDefault="001C6219">
      <w:pPr>
        <w:pStyle w:val="P68B1DB1-Normal4"/>
      </w:pPr>
      <w:r>
        <w:t>Respuesta.</w:t>
      </w:r>
    </w:p>
    <w:p w:rsidR="00F83F12" w:rsidRDefault="001C6219">
      <w:r>
        <w:t>El artículo 7, apartado 1, letra e), del FEDER/FC permite excepciones a la exclusión del ámbito de aplicación de la ayuda a las infraestructuras aeroportuarias en tres casos:</w:t>
      </w:r>
    </w:p>
    <w:p w:rsidR="00F83F12" w:rsidRDefault="001C6219">
      <w:r>
        <w:t>— En las regiones ultraperiféricas, independientemente del tráfico de pasajeros; o</w:t>
      </w:r>
    </w:p>
    <w:p w:rsidR="00F83F12" w:rsidRDefault="001C6219">
      <w:r>
        <w:t>— En los aeropuertos regionales, en las medidas de mitigación del impacto ambiental; o</w:t>
      </w:r>
    </w:p>
    <w:p w:rsidR="00F83F12" w:rsidRDefault="001C6219">
      <w:r>
        <w:t>— En los aeropuertos regionales, los sistemas de protección, seguridad y gestión del tráfico aéreo resultantes de SESAR.</w:t>
      </w:r>
    </w:p>
    <w:p w:rsidR="00F83F12" w:rsidRDefault="001C6219">
      <w:r>
        <w:lastRenderedPageBreak/>
        <w:t>En otras palabras,</w:t>
      </w:r>
    </w:p>
    <w:p w:rsidR="00F83F12" w:rsidRDefault="001C6219">
      <w:r>
        <w:t>— Todas las inversiones en aeropuertos de las regiones ultraperiféricas son subvencionables;</w:t>
      </w:r>
    </w:p>
    <w:p w:rsidR="00F83F12" w:rsidRDefault="001C6219">
      <w:r>
        <w:t>— Las limitaciones a que se refiere el artículo 7, apartado 1, letra e), incisos i) y ii), del Reglamento FEDER/FC solo son aplicables a los aeropuertos regionales existentes (fuera de las regiones ultraperiféricas).</w:t>
      </w:r>
    </w:p>
    <w:p w:rsidR="00F83F12" w:rsidRDefault="00F83F12"/>
    <w:p w:rsidR="00F83F12" w:rsidRDefault="00F83F12"/>
    <w:p w:rsidR="00F83F12" w:rsidRDefault="001C6219">
      <w:pPr>
        <w:pStyle w:val="Ttulo1"/>
      </w:pPr>
      <w:bookmarkStart w:id="157" w:name="scroll-bookmark-157"/>
      <w:bookmarkStart w:id="158" w:name="scroll-bookmark-158"/>
      <w:bookmarkEnd w:id="157"/>
      <w:r>
        <w:t>QA00092</w:t>
      </w:r>
      <w:r w:rsidR="00FC0FB1">
        <w:t xml:space="preserve"> - </w:t>
      </w:r>
      <w:r>
        <w:t>2</w:t>
      </w:r>
      <w:r w:rsidR="00FC0FB1">
        <w:t>º</w:t>
      </w:r>
      <w:r>
        <w:t xml:space="preserve"> Documento </w:t>
      </w:r>
      <w:r w:rsidR="00FC0FB1">
        <w:t xml:space="preserve">de FAQ </w:t>
      </w:r>
      <w:r>
        <w:t>sobre opciones de costes simplificados (OCS) en el período de programación 2021-2027</w:t>
      </w:r>
      <w:bookmarkEnd w:id="158"/>
    </w:p>
    <w:p w:rsidR="00F83F12" w:rsidRDefault="001C6219">
      <w:r>
        <w:rPr>
          <w:noProof/>
          <w:lang w:val="es-ES"/>
        </w:rPr>
        <w:drawing>
          <wp:inline distT="0" distB="0" distL="0" distR="0" wp14:anchorId="45A140C1" wp14:editId="563E0B1F">
            <wp:extent cx="152435" cy="152435"/>
            <wp:effectExtent l="0" t="0" r="0" b="0"/>
            <wp:docPr id="100319" name="Imagen 1003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F83F12" w:rsidRDefault="001C6219">
      <w:r>
        <w:rPr>
          <w:noProof/>
          <w:lang w:val="es-ES"/>
        </w:rPr>
        <w:drawing>
          <wp:inline distT="0" distB="0" distL="0" distR="0" wp14:anchorId="253D8A64" wp14:editId="44F2E7E8">
            <wp:extent cx="152435" cy="152435"/>
            <wp:effectExtent l="0" t="0" r="0" b="0"/>
            <wp:docPr id="100321" name="Imagen 1003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t>2</w:t>
      </w:r>
      <w:r w:rsidRPr="00767CF5">
        <w:t>P</w:t>
      </w:r>
      <w:r>
        <w:t xml:space="preserve"> Q: Documento sobre opciones de costes simplificados (OCS) en el período de programación 2021-2027 </w:t>
      </w:r>
    </w:p>
    <w:tbl>
      <w:tblPr>
        <w:tblStyle w:val="ScrollTableNormal"/>
        <w:tblW w:w="5000" w:type="pct"/>
        <w:tblLook w:val="0000" w:firstRow="0" w:lastRow="0" w:firstColumn="0" w:lastColumn="0" w:noHBand="0" w:noVBand="0"/>
      </w:tblPr>
      <w:tblGrid>
        <w:gridCol w:w="8494"/>
      </w:tblGrid>
      <w:tr w:rsidR="00F83F12">
        <w:tc>
          <w:tcPr>
            <w:tcW w:w="0" w:type="auto"/>
          </w:tcPr>
          <w:p w:rsidR="00F83F12" w:rsidRDefault="001C6219">
            <w:pPr>
              <w:pStyle w:val="P68B1DB1-Normal10"/>
              <w:spacing w:after="0"/>
              <w:jc w:val="left"/>
            </w:pPr>
            <w:r>
              <w:t>EXENCIÓN DE RESPONSABILIDAD: Este conjunto de respuestas fue elaborado por los servicios de la Comisión y expresa su opinión y no compromete a la Comisión Europea. Solo el Tribunal de Justicia de la Unión Europea es competente para formular interpretaciones vinculantes del Derecho de la Unión.</w:t>
            </w:r>
          </w:p>
        </w:tc>
      </w:tr>
    </w:tbl>
    <w:p w:rsidR="00F83F12" w:rsidRDefault="001C6219">
      <w:r>
        <w:t xml:space="preserve">NOTA: Las cuestiones relativas al cumplimiento de la contratación pública y las ayudas estatales en las operaciones de OCS ejecutadas de conformidad con el Reglamento (CE) no Art.94/53, así como a las verificaciones de la gestión y la auditoría a este respecto, se han extraído de este documento de la pregunta Q A, </w:t>
      </w:r>
      <w:r w:rsidR="002F3719">
        <w:t xml:space="preserve">ya que, </w:t>
      </w:r>
      <w:r>
        <w:t>serán objeto de un documento separado que elaborará la Comisión.</w:t>
      </w:r>
    </w:p>
    <w:p w:rsidR="00F83F12" w:rsidRDefault="00F83F12"/>
    <w:tbl>
      <w:tblPr>
        <w:tblStyle w:val="ScrollTableNormal"/>
        <w:tblW w:w="5000" w:type="pct"/>
        <w:tblLook w:val="00A0" w:firstRow="1" w:lastRow="0" w:firstColumn="1" w:lastColumn="0" w:noHBand="0" w:noVBand="0"/>
      </w:tblPr>
      <w:tblGrid>
        <w:gridCol w:w="318"/>
        <w:gridCol w:w="3964"/>
        <w:gridCol w:w="4212"/>
      </w:tblGrid>
      <w:tr w:rsidR="00F83F12">
        <w:tc>
          <w:tcPr>
            <w:tcW w:w="0" w:type="auto"/>
          </w:tcPr>
          <w:p w:rsidR="00F83F12" w:rsidRDefault="001C6219">
            <w:pPr>
              <w:pStyle w:val="P68B1DB1-Normal11"/>
              <w:spacing w:after="0"/>
              <w:jc w:val="left"/>
            </w:pPr>
            <w:r>
              <w:t> </w:t>
            </w:r>
          </w:p>
        </w:tc>
        <w:tc>
          <w:tcPr>
            <w:tcW w:w="0" w:type="auto"/>
          </w:tcPr>
          <w:p w:rsidR="00F83F12" w:rsidRDefault="001C6219">
            <w:pPr>
              <w:pStyle w:val="P68B1DB1-Normal11"/>
              <w:spacing w:after="0"/>
              <w:jc w:val="left"/>
            </w:pPr>
            <w:r>
              <w:t>Pregunta</w:t>
            </w:r>
          </w:p>
        </w:tc>
        <w:tc>
          <w:tcPr>
            <w:tcW w:w="0" w:type="auto"/>
          </w:tcPr>
          <w:p w:rsidR="00F83F12" w:rsidRDefault="001C6219">
            <w:pPr>
              <w:pStyle w:val="P68B1DB1-Normal11"/>
              <w:spacing w:after="0"/>
              <w:jc w:val="left"/>
            </w:pPr>
            <w:r>
              <w:t>Respuesta</w:t>
            </w:r>
          </w:p>
        </w:tc>
      </w:tr>
      <w:tr w:rsidR="00F83F12">
        <w:tc>
          <w:tcPr>
            <w:tcW w:w="0" w:type="auto"/>
            <w:gridSpan w:val="3"/>
          </w:tcPr>
          <w:p w:rsidR="00F83F12" w:rsidRDefault="001C6219">
            <w:pPr>
              <w:pStyle w:val="P68B1DB1-Normal11"/>
              <w:spacing w:after="0"/>
              <w:jc w:val="left"/>
            </w:pPr>
            <w:r>
              <w:t>Artículo 94 del RDC</w:t>
            </w:r>
          </w:p>
        </w:tc>
      </w:tr>
      <w:tr w:rsidR="00F83F12">
        <w:tc>
          <w:tcPr>
            <w:tcW w:w="0" w:type="auto"/>
          </w:tcPr>
          <w:p w:rsidR="00F83F12" w:rsidRDefault="001C6219">
            <w:pPr>
              <w:pStyle w:val="P68B1DB1-Normal12"/>
              <w:spacing w:after="0"/>
              <w:jc w:val="left"/>
            </w:pPr>
            <w:r>
              <w:t>1</w:t>
            </w:r>
          </w:p>
        </w:tc>
        <w:tc>
          <w:tcPr>
            <w:tcW w:w="0" w:type="auto"/>
          </w:tcPr>
          <w:p w:rsidR="00F83F12" w:rsidRDefault="001C6219">
            <w:pPr>
              <w:pStyle w:val="P68B1DB1-Normal12"/>
              <w:spacing w:after="0"/>
              <w:jc w:val="left"/>
            </w:pPr>
            <w:r>
              <w:t xml:space="preserve">¿Es correcto que no exista ya ningún acto delegado a que se refiere el artículo 88, apartado 4? Y, por consiguiente, la autoridad de gestión cumplimenta actualmente el anexo V relativo a cada opción de costes simplificados que desearía utilizar para reembolsar gastos por parte de la Comisión, </w:t>
            </w:r>
            <w:r w:rsidR="002F3719">
              <w:t xml:space="preserve">ya que, </w:t>
            </w:r>
            <w:r>
              <w:t>parece adecuado?</w:t>
            </w:r>
          </w:p>
        </w:tc>
        <w:tc>
          <w:tcPr>
            <w:tcW w:w="0" w:type="auto"/>
          </w:tcPr>
          <w:p w:rsidR="00F83F12" w:rsidRDefault="001C6219">
            <w:pPr>
              <w:pStyle w:val="P68B1DB1-Normal12"/>
              <w:spacing w:after="0"/>
              <w:jc w:val="left"/>
            </w:pPr>
            <w:r>
              <w:t>Si, es correcta. No existe ningún acto delegado.</w:t>
            </w:r>
          </w:p>
          <w:p w:rsidR="00F83F12" w:rsidRDefault="00F83F12">
            <w:pPr>
              <w:spacing w:after="0"/>
              <w:jc w:val="left"/>
            </w:pPr>
          </w:p>
          <w:p w:rsidR="00F83F12" w:rsidRDefault="001C6219">
            <w:pPr>
              <w:pStyle w:val="P68B1DB1-Normal12"/>
              <w:spacing w:after="0"/>
              <w:jc w:val="left"/>
            </w:pPr>
            <w:r>
              <w:t xml:space="preserve">El apéndice 1 debe cumplimentarse cuando el Estado miembro desee ser reembolsado por la Comisión sobre la base de OCS. La evaluación por parte de la autoridad de auditoría (AA) de las propuestas presentadas por los Estados miembros es una condición previa para incluir las OCS en el apéndice 1. La presentación del apéndice 1 no es necesaria si las OCS se aplican exclusivamente a nivel de los beneficiarios de conformidad con el artículo 53 del RDC y los Estados miembros declaran estos importes a la Comisión [véanse los artículos 63 (5) y 91 (4) (c) del RDC]. Tampoco es necesario cuando las OCS a escala de la Unión, sus importes y sus métodos </w:t>
            </w:r>
            <w:r>
              <w:lastRenderedPageBreak/>
              <w:t>de ajuste se definen mediante un acto delegado de conformidad con el artículo 94, apartado 4, del RDC.</w:t>
            </w:r>
          </w:p>
        </w:tc>
      </w:tr>
      <w:tr w:rsidR="00F83F12">
        <w:tc>
          <w:tcPr>
            <w:tcW w:w="0" w:type="auto"/>
          </w:tcPr>
          <w:p w:rsidR="00F83F12" w:rsidRDefault="001C6219">
            <w:pPr>
              <w:pStyle w:val="P68B1DB1-Normal12"/>
              <w:spacing w:after="0"/>
              <w:jc w:val="left"/>
            </w:pPr>
            <w:r>
              <w:lastRenderedPageBreak/>
              <w:t>2</w:t>
            </w:r>
          </w:p>
        </w:tc>
        <w:tc>
          <w:tcPr>
            <w:tcW w:w="0" w:type="auto"/>
          </w:tcPr>
          <w:p w:rsidR="00F83F12" w:rsidRDefault="001C6219">
            <w:pPr>
              <w:pStyle w:val="P68B1DB1-Normal12"/>
              <w:spacing w:after="0"/>
              <w:jc w:val="left"/>
            </w:pPr>
            <w:r>
              <w:t>¿Podrían aclarar el grado de «carácter vinculante» de la metodología de las OCS una vez aprobada a efectos del PO (ya sea el anexo V o el artículo 48) en relación con la totalidad del PO/eje prioritario/convocatoria?</w:t>
            </w:r>
          </w:p>
          <w:p w:rsidR="00F83F12" w:rsidRDefault="00F83F12">
            <w:pPr>
              <w:spacing w:after="0"/>
              <w:jc w:val="left"/>
            </w:pPr>
          </w:p>
          <w:p w:rsidR="00F83F12" w:rsidRDefault="001C6219">
            <w:pPr>
              <w:pStyle w:val="P68B1DB1-Normal12"/>
              <w:spacing w:after="0"/>
              <w:jc w:val="left"/>
            </w:pPr>
            <w:r>
              <w:t>Una vez aprobada la OCS (por ejemplo, costes unitarios para la gestión de proyectos), ¿es posible que no se aplique al mismo tipo/naturaleza de operación/gasto dentro de varios ejes prioritarios de un PO determinado (por lo que para un eje prioritario el coste unitario sería aplicable, y para otro eje prioritario, un enfoque basado en los costes reales?</w:t>
            </w:r>
          </w:p>
          <w:p w:rsidR="00F83F12" w:rsidRDefault="00F83F12">
            <w:pPr>
              <w:spacing w:after="0"/>
              <w:jc w:val="left"/>
            </w:pPr>
          </w:p>
        </w:tc>
        <w:tc>
          <w:tcPr>
            <w:tcW w:w="0" w:type="auto"/>
          </w:tcPr>
          <w:p w:rsidR="00F83F12" w:rsidRDefault="001C6219">
            <w:pPr>
              <w:pStyle w:val="P68B1DB1-Normal12"/>
              <w:spacing w:after="0"/>
              <w:jc w:val="left"/>
            </w:pPr>
            <w:r>
              <w:t>Por lo que se refiere a las OCS aprobadas en un programa, una vez aprobadas, pasan a ser obligatorias y no existe la posibilidad de que los tipos de operaciones en cuestión sean reembolsados a los Estados miembros por la Comisión sobre la base de los costes realmente soportados.</w:t>
            </w:r>
          </w:p>
          <w:p w:rsidR="00F83F12" w:rsidRDefault="00F83F12">
            <w:pPr>
              <w:spacing w:after="0"/>
              <w:jc w:val="left"/>
            </w:pPr>
          </w:p>
          <w:p w:rsidR="00F83F12" w:rsidRDefault="001C6219">
            <w:pPr>
              <w:pStyle w:val="P68B1DB1-Normal12"/>
              <w:spacing w:after="0"/>
              <w:jc w:val="left"/>
            </w:pPr>
            <w:r>
              <w:t>Las modalidades de reembolso por parte de la Comisión sobre la base de las OCS se refieren a los tipos específicos de operaciones, OCS e importes aprobados en la Decisión de la Comisión.</w:t>
            </w:r>
          </w:p>
          <w:p w:rsidR="00F83F12" w:rsidRDefault="00F83F12">
            <w:pPr>
              <w:spacing w:after="0"/>
              <w:jc w:val="left"/>
            </w:pPr>
          </w:p>
          <w:p w:rsidR="00F83F12" w:rsidRDefault="001C6219">
            <w:pPr>
              <w:pStyle w:val="P68B1DB1-Normal12"/>
              <w:spacing w:after="0"/>
              <w:jc w:val="left"/>
            </w:pPr>
            <w:r>
              <w:t xml:space="preserve">En el caso de las OCS aplicadas exclusivamente a nivel del beneficiario de conformidad con el artículo 53 del RDC: a) el apéndice 1 no debe cumplimentarse y b) la metodología de las OCS no es aprobada por la Comisión. Si el Estado miembro decide reembolsar al beneficiario sobre la base de OCS de conformidad con el artículo 53 del RDC, </w:t>
            </w:r>
            <w:r w:rsidR="002F3719">
              <w:t xml:space="preserve">ya que, </w:t>
            </w:r>
            <w:r>
              <w:t>las OCS deben definirse de antemano, su uso debe mencionarse en las convocatorias de propuestas dirigidas a los beneficiarios potenciales, a fin de garantizar el respeto del principio de transparencia e igualdad de trato.</w:t>
            </w:r>
          </w:p>
        </w:tc>
      </w:tr>
      <w:tr w:rsidR="00F83F12">
        <w:tc>
          <w:tcPr>
            <w:tcW w:w="0" w:type="auto"/>
          </w:tcPr>
          <w:p w:rsidR="00F83F12" w:rsidRDefault="001C6219">
            <w:pPr>
              <w:pStyle w:val="P68B1DB1-Normal12"/>
              <w:spacing w:after="0"/>
              <w:jc w:val="left"/>
            </w:pPr>
            <w:r>
              <w:t>3</w:t>
            </w:r>
          </w:p>
        </w:tc>
        <w:tc>
          <w:tcPr>
            <w:tcW w:w="0" w:type="auto"/>
          </w:tcPr>
          <w:p w:rsidR="00F83F12" w:rsidRDefault="001C6219">
            <w:pPr>
              <w:pStyle w:val="P68B1DB1-Normal12"/>
              <w:spacing w:after="0"/>
              <w:jc w:val="left"/>
            </w:pPr>
            <w:r>
              <w:t>¿Es posible empezar a utilizar la metodología de las OCS a nivel nacional si la metodología de las OCS aún no se ha incluido/aceptado en el anexo V del PO?</w:t>
            </w:r>
          </w:p>
          <w:p w:rsidR="00F83F12" w:rsidRDefault="00F83F12">
            <w:pPr>
              <w:spacing w:after="0"/>
              <w:jc w:val="left"/>
            </w:pPr>
          </w:p>
        </w:tc>
        <w:tc>
          <w:tcPr>
            <w:tcW w:w="0" w:type="auto"/>
          </w:tcPr>
          <w:p w:rsidR="00F83F12" w:rsidRDefault="001C6219">
            <w:pPr>
              <w:pStyle w:val="P68B1DB1-Normal12"/>
              <w:spacing w:after="0"/>
              <w:jc w:val="left"/>
            </w:pPr>
            <w:r>
              <w:t>Siempre es posible aplicar OCS a nivel de beneficiario en virtud del artículo 53 del RDC, que no requiere la aprobación de la Comisión.</w:t>
            </w:r>
          </w:p>
          <w:p w:rsidR="00F83F12" w:rsidRDefault="00F83F12">
            <w:pPr>
              <w:spacing w:after="0"/>
              <w:jc w:val="left"/>
            </w:pPr>
          </w:p>
          <w:p w:rsidR="00F83F12" w:rsidRDefault="001C6219">
            <w:pPr>
              <w:pStyle w:val="P68B1DB1-Normal12"/>
              <w:spacing w:after="0"/>
              <w:jc w:val="left"/>
            </w:pPr>
            <w:r>
              <w:t>En lo que respecta a las OCS con arreglo al artículo 94 del RDC, la Comisión empezará a reembolsar a los Estados miembros sobre la base de las OCS una vez aprobadas en un programa mediante una decisión por la que se apruebe el programa o su modificación. Por lo tanto, la autoridad de gestión (AG) solo puede incluir los importes acordados en las solicitudes de pago tras su determinación y aprobación en la decisión por la que se aprueba la modificación del programa por la que se introduce dicha forma de contribución de la Unión.</w:t>
            </w:r>
          </w:p>
          <w:p w:rsidR="00F83F12" w:rsidRDefault="00F83F12">
            <w:pPr>
              <w:spacing w:after="0"/>
              <w:jc w:val="left"/>
            </w:pPr>
          </w:p>
          <w:p w:rsidR="00F83F12" w:rsidRDefault="001C6219">
            <w:pPr>
              <w:pStyle w:val="P68B1DB1-Normal12"/>
              <w:spacing w:after="0"/>
              <w:jc w:val="left"/>
            </w:pPr>
            <w:r>
              <w:t>La Comisión también empezará a reembolsar la contribución de la Unión a un programa sobre la base de costes unitarios, sumas a tanto alzado y tipos fijos tras su aprobación en la decisión por la que se aprueba la modificación del programa.</w:t>
            </w:r>
          </w:p>
        </w:tc>
      </w:tr>
      <w:tr w:rsidR="00F83F12">
        <w:tc>
          <w:tcPr>
            <w:tcW w:w="0" w:type="auto"/>
          </w:tcPr>
          <w:p w:rsidR="00F83F12" w:rsidRDefault="001C6219">
            <w:pPr>
              <w:pStyle w:val="P68B1DB1-Normal12"/>
              <w:spacing w:after="0"/>
              <w:jc w:val="left"/>
            </w:pPr>
            <w:r>
              <w:t>4</w:t>
            </w:r>
          </w:p>
        </w:tc>
        <w:tc>
          <w:tcPr>
            <w:tcW w:w="0" w:type="auto"/>
          </w:tcPr>
          <w:p w:rsidR="00F83F12" w:rsidRDefault="001C6219">
            <w:pPr>
              <w:pStyle w:val="P68B1DB1-Normal12"/>
              <w:spacing w:after="0"/>
              <w:jc w:val="left"/>
            </w:pPr>
            <w:r>
              <w:t>¿Cuál es el importe mínimo de EUR que debe cubrir la metodología específica de las OCS para su inclusión en el anexo V del PO?</w:t>
            </w:r>
          </w:p>
          <w:p w:rsidR="00F83F12" w:rsidRDefault="00F83F12">
            <w:pPr>
              <w:spacing w:after="0"/>
              <w:jc w:val="left"/>
            </w:pPr>
          </w:p>
        </w:tc>
        <w:tc>
          <w:tcPr>
            <w:tcW w:w="0" w:type="auto"/>
          </w:tcPr>
          <w:p w:rsidR="00F83F12" w:rsidRDefault="001C6219">
            <w:pPr>
              <w:pStyle w:val="P68B1DB1-Normal12"/>
              <w:spacing w:after="0"/>
              <w:jc w:val="left"/>
            </w:pPr>
            <w:r>
              <w:t>El RDC no prevé un importe mínimo, por lo que los Estados miembros pueden incluir OCS en el apéndice 1 del programa, independientemente del importe que deba cubrirse.</w:t>
            </w:r>
          </w:p>
          <w:p w:rsidR="00F83F12" w:rsidRDefault="00F83F12">
            <w:pPr>
              <w:spacing w:after="0"/>
              <w:jc w:val="left"/>
            </w:pPr>
          </w:p>
          <w:p w:rsidR="00F83F12" w:rsidRDefault="001C6219">
            <w:pPr>
              <w:pStyle w:val="P68B1DB1-Normal12"/>
              <w:spacing w:after="0"/>
              <w:jc w:val="left"/>
            </w:pPr>
            <w:r>
              <w:t>Sin embargo, teniendo en cuenta los requisitos y el trabajo correspondiente de la AG para diseñar las OCS (incluidos los métodos de ajuste, la recogida de datos, etc.) y para que la AA las evalúe, se recomienda que los regímenes de OCS que cubran una cantidad considerable de contribución del programa y un número considerable de operaciones/beneficiarios se presenten para su aprobación en el anexo V.</w:t>
            </w:r>
          </w:p>
        </w:tc>
      </w:tr>
      <w:tr w:rsidR="00F83F12">
        <w:tc>
          <w:tcPr>
            <w:tcW w:w="0" w:type="auto"/>
          </w:tcPr>
          <w:p w:rsidR="00F83F12" w:rsidRDefault="001C6219">
            <w:pPr>
              <w:pStyle w:val="P68B1DB1-Normal12"/>
              <w:spacing w:after="0"/>
              <w:jc w:val="left"/>
            </w:pPr>
            <w:r>
              <w:lastRenderedPageBreak/>
              <w:t>5</w:t>
            </w:r>
          </w:p>
        </w:tc>
        <w:tc>
          <w:tcPr>
            <w:tcW w:w="0" w:type="auto"/>
          </w:tcPr>
          <w:p w:rsidR="00F83F12" w:rsidRDefault="001C6219">
            <w:pPr>
              <w:pStyle w:val="P68B1DB1-Normal12"/>
              <w:spacing w:after="0"/>
              <w:jc w:val="left"/>
            </w:pPr>
            <w:r>
              <w:t>Para facilitar a los Estados miembros, ¿sería posible crear OCS a escala de la UE aplicadas en virtud del artículo 88?</w:t>
            </w:r>
          </w:p>
        </w:tc>
        <w:tc>
          <w:tcPr>
            <w:tcW w:w="0" w:type="auto"/>
          </w:tcPr>
          <w:p w:rsidR="00F83F12" w:rsidRDefault="001C6219">
            <w:pPr>
              <w:pStyle w:val="P68B1DB1-Normal12"/>
              <w:spacing w:after="0"/>
              <w:jc w:val="left"/>
            </w:pPr>
            <w:r>
              <w:t>El artículo 94, apartado 4, del RDC prevé la posibilidad de que la Comisión establezca OCS a escala de la Unión mediante un acto delegado. La Comisión está estudiando esta posibilidad y ha puesto en marcha un estudio a este respecto.</w:t>
            </w:r>
          </w:p>
        </w:tc>
      </w:tr>
      <w:tr w:rsidR="00F83F12">
        <w:tc>
          <w:tcPr>
            <w:tcW w:w="0" w:type="auto"/>
          </w:tcPr>
          <w:p w:rsidR="00F83F12" w:rsidRDefault="001C6219">
            <w:pPr>
              <w:pStyle w:val="P68B1DB1-Normal12"/>
              <w:spacing w:after="0"/>
              <w:jc w:val="left"/>
            </w:pPr>
            <w:r>
              <w:t>6</w:t>
            </w:r>
          </w:p>
        </w:tc>
        <w:tc>
          <w:tcPr>
            <w:tcW w:w="0" w:type="auto"/>
          </w:tcPr>
          <w:p w:rsidR="00F83F12" w:rsidRDefault="001C6219">
            <w:pPr>
              <w:pStyle w:val="P68B1DB1-Normal12"/>
              <w:spacing w:after="0"/>
              <w:jc w:val="left"/>
            </w:pPr>
            <w:r>
              <w:t>¿Cómo se tratarán las modificaciones de los programas que puedan afectar a las OCS en la práctica y dar lugar a un proceso que requiere mucho tiempo?</w:t>
            </w:r>
          </w:p>
        </w:tc>
        <w:tc>
          <w:tcPr>
            <w:tcW w:w="0" w:type="auto"/>
          </w:tcPr>
          <w:p w:rsidR="00F83F12" w:rsidRDefault="001C6219">
            <w:pPr>
              <w:pStyle w:val="P68B1DB1-Normal12"/>
              <w:spacing w:after="0"/>
              <w:jc w:val="left"/>
            </w:pPr>
            <w:r>
              <w:t>Como ya se respondió en el documento de la pregunta Q A anterior, si las OCS se introducen en un programa con una solicitud de modificación del programa, se aplica el procedimiento normal de modificación de un programa. A fin de que la Comisión pueda adoptar rápidamente la modificación del programa, todos los documentos necesarios deben completarse debidamente e incluir una evaluación de la AA positiva. Los intercambios informales con la Comisión antes de la presentación de un programa o una solicitud de modificación podrían acelerar el proceso del procedimiento formal de modificación.</w:t>
            </w:r>
          </w:p>
        </w:tc>
      </w:tr>
      <w:tr w:rsidR="00F83F12">
        <w:tc>
          <w:tcPr>
            <w:tcW w:w="0" w:type="auto"/>
          </w:tcPr>
          <w:p w:rsidR="00F83F12" w:rsidRDefault="001C6219">
            <w:pPr>
              <w:pStyle w:val="P68B1DB1-Normal12"/>
              <w:spacing w:after="0"/>
              <w:jc w:val="left"/>
            </w:pPr>
            <w:r>
              <w:t>7</w:t>
            </w:r>
          </w:p>
        </w:tc>
        <w:tc>
          <w:tcPr>
            <w:tcW w:w="0" w:type="auto"/>
          </w:tcPr>
          <w:p w:rsidR="00F83F12" w:rsidRDefault="001C6219">
            <w:pPr>
              <w:pStyle w:val="P68B1DB1-Normal12"/>
              <w:spacing w:after="0"/>
              <w:jc w:val="left"/>
            </w:pPr>
            <w:r>
              <w:t>¿Qué Estados miembros tienen previsto utilizar OCS con arreglo al artículo 88 en el nivel superior (CE-EM) y un método de reembolso diferente en el nivel inferior (beneficiario AM)?</w:t>
            </w:r>
          </w:p>
        </w:tc>
        <w:tc>
          <w:tcPr>
            <w:tcW w:w="0" w:type="auto"/>
          </w:tcPr>
          <w:p w:rsidR="00F83F12" w:rsidRDefault="001C6219">
            <w:pPr>
              <w:pStyle w:val="P68B1DB1-Normal12"/>
              <w:spacing w:after="0"/>
              <w:jc w:val="left"/>
            </w:pPr>
            <w:r>
              <w:t>No disponemos de esta información.</w:t>
            </w:r>
          </w:p>
        </w:tc>
      </w:tr>
      <w:tr w:rsidR="00F83F12">
        <w:tc>
          <w:tcPr>
            <w:tcW w:w="0" w:type="auto"/>
          </w:tcPr>
          <w:p w:rsidR="00F83F12" w:rsidRDefault="001C6219">
            <w:pPr>
              <w:pStyle w:val="P68B1DB1-Normal12"/>
              <w:spacing w:after="0"/>
              <w:jc w:val="left"/>
            </w:pPr>
            <w:r>
              <w:t>8</w:t>
            </w:r>
          </w:p>
        </w:tc>
        <w:tc>
          <w:tcPr>
            <w:tcW w:w="0" w:type="auto"/>
          </w:tcPr>
          <w:p w:rsidR="00F83F12" w:rsidRDefault="001C6219">
            <w:pPr>
              <w:pStyle w:val="P68B1DB1-Normal12"/>
              <w:spacing w:after="0"/>
              <w:jc w:val="left"/>
            </w:pPr>
            <w:r>
              <w:t>¿Cuál sería la aprobación del anexo 1? ¿Se trata de una carta de aprobación separada? ¿O simplemente una decisión sobre la aprobación del programa? En términos de pista de auditoría.</w:t>
            </w:r>
          </w:p>
        </w:tc>
        <w:tc>
          <w:tcPr>
            <w:tcW w:w="0" w:type="auto"/>
          </w:tcPr>
          <w:p w:rsidR="00F83F12" w:rsidRDefault="001C6219">
            <w:pPr>
              <w:pStyle w:val="P68B1DB1-Normal12"/>
              <w:spacing w:after="0"/>
              <w:jc w:val="left"/>
            </w:pPr>
            <w:r>
              <w:t>El apéndice 1 de un programa se aprobará como parte del procedimiento de aprobación o modificación del programa: la decisión por la que se aprueba o modifica el programa incluirá también las OCS descritas en el apéndice 1.</w:t>
            </w: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4113"/>
        <w:gridCol w:w="3962"/>
      </w:tblGrid>
      <w:tr w:rsidR="00F83F12">
        <w:tc>
          <w:tcPr>
            <w:tcW w:w="0" w:type="auto"/>
            <w:gridSpan w:val="3"/>
          </w:tcPr>
          <w:p w:rsidR="00F83F12" w:rsidRDefault="001C6219">
            <w:pPr>
              <w:pStyle w:val="P68B1DB1-Normal11"/>
              <w:spacing w:after="0"/>
              <w:jc w:val="left"/>
            </w:pPr>
            <w:r>
              <w:t>ESTABLECIMIENTO/AJUSTE DE METODOLOGÍAS</w:t>
            </w:r>
          </w:p>
        </w:tc>
      </w:tr>
      <w:tr w:rsidR="00F83F12">
        <w:tc>
          <w:tcPr>
            <w:tcW w:w="0" w:type="auto"/>
          </w:tcPr>
          <w:p w:rsidR="00F83F12" w:rsidRDefault="001C6219">
            <w:pPr>
              <w:pStyle w:val="P68B1DB1-Normal12"/>
              <w:spacing w:after="0"/>
              <w:jc w:val="left"/>
            </w:pPr>
            <w:r>
              <w:t>9</w:t>
            </w:r>
          </w:p>
        </w:tc>
        <w:tc>
          <w:tcPr>
            <w:tcW w:w="0" w:type="auto"/>
          </w:tcPr>
          <w:p w:rsidR="00F83F12" w:rsidRDefault="001C6219">
            <w:pPr>
              <w:pStyle w:val="P68B1DB1-Normal12"/>
              <w:spacing w:after="0"/>
              <w:jc w:val="left"/>
            </w:pPr>
            <w:r>
              <w:t>¿La metodología del proyecto de presupuesto solo es adecuada para crear cantidades a tanto alzado que cubran todo el proyecto?</w:t>
            </w:r>
          </w:p>
          <w:p w:rsidR="00F83F12" w:rsidRDefault="00F83F12">
            <w:pPr>
              <w:spacing w:after="0"/>
              <w:jc w:val="left"/>
            </w:pPr>
          </w:p>
          <w:p w:rsidR="00F83F12" w:rsidRDefault="001C6219">
            <w:pPr>
              <w:pStyle w:val="P68B1DB1-Normal12"/>
              <w:spacing w:after="0"/>
              <w:jc w:val="left"/>
            </w:pPr>
            <w:r>
              <w:t>Teniendo en cuenta el riesgo que esto puede entrañar para las organizaciones comunitarias que participan en pequeños proyectos y FPP, ¿podría utilizarse la metodología del proyecto de presupuesto para crear otras OCS (por ejemplo, costes unitarios, tipos fijos, cantidades a tanto alzado aplicadas a elementos específicos de los proyectos, etc.)?</w:t>
            </w:r>
          </w:p>
          <w:p w:rsidR="00F83F12" w:rsidRDefault="00F83F12">
            <w:pPr>
              <w:spacing w:after="0"/>
              <w:jc w:val="left"/>
            </w:pPr>
          </w:p>
        </w:tc>
        <w:tc>
          <w:tcPr>
            <w:tcW w:w="0" w:type="auto"/>
          </w:tcPr>
          <w:p w:rsidR="00F83F12" w:rsidRDefault="001C6219">
            <w:pPr>
              <w:pStyle w:val="P68B1DB1-Normal12"/>
              <w:spacing w:after="0"/>
              <w:jc w:val="left"/>
            </w:pPr>
            <w:r>
              <w:t>Un proyecto de presupuesto no es un tipo de OCS, sino un método para establecer cantidades a tanto alzado, costes unitarios y tipos fijos. Véase la nota orientativa revisada sobre OCS (EGESIF 14-0017) (sección 4.3).</w:t>
            </w:r>
          </w:p>
          <w:p w:rsidR="00F83F12" w:rsidRDefault="00F83F12">
            <w:pPr>
              <w:spacing w:after="0"/>
              <w:jc w:val="left"/>
            </w:pPr>
          </w:p>
          <w:p w:rsidR="00F83F12" w:rsidRDefault="001C6219">
            <w:pPr>
              <w:pStyle w:val="P68B1DB1-Normal12"/>
              <w:spacing w:after="0"/>
              <w:jc w:val="left"/>
            </w:pPr>
            <w:r>
              <w:t>Los tipos fijos, las cantidades fijas únicas y los costes unitarios podrán basarse en un proyecto de presupuesto en relación con la totalidad o parte del presupuesto de la operación/proyecto.</w:t>
            </w:r>
          </w:p>
          <w:p w:rsidR="00F83F12" w:rsidRDefault="00F83F12">
            <w:pPr>
              <w:spacing w:after="0"/>
              <w:jc w:val="left"/>
            </w:pPr>
          </w:p>
          <w:p w:rsidR="00F83F12" w:rsidRDefault="001C6219">
            <w:pPr>
              <w:pStyle w:val="P68B1DB1-Normal12"/>
              <w:spacing w:after="0"/>
              <w:jc w:val="left"/>
            </w:pPr>
            <w:r>
              <w:lastRenderedPageBreak/>
              <w:t>A modo de ejemplo, en el caso de una operación compuesta por 5 actividades diferentes:</w:t>
            </w:r>
          </w:p>
          <w:p w:rsidR="00F83F12" w:rsidRDefault="001C6219">
            <w:pPr>
              <w:pStyle w:val="P68B1DB1-Normal12"/>
              <w:spacing w:after="0"/>
              <w:jc w:val="left"/>
            </w:pPr>
            <w:r>
              <w:t>— Las actividades 1 y 2 de la operación se reembolsan sobre la base de los costes reales o de otra OCS (por ejemplo, importes a tanto alzado procedentes de otra política de la UE)</w:t>
            </w:r>
          </w:p>
          <w:p w:rsidR="00F83F12" w:rsidRDefault="001C6219">
            <w:pPr>
              <w:pStyle w:val="P68B1DB1-Normal12"/>
              <w:spacing w:after="0"/>
              <w:jc w:val="left"/>
            </w:pPr>
            <w:r>
              <w:t>— Las actividades 3, 4 y 5 de la operación se reembolsan como costes unitarios establecidos sobre la base de un proyecto de presupuesto</w:t>
            </w:r>
          </w:p>
        </w:tc>
      </w:tr>
      <w:tr w:rsidR="00F83F12">
        <w:tc>
          <w:tcPr>
            <w:tcW w:w="0" w:type="auto"/>
          </w:tcPr>
          <w:p w:rsidR="00F83F12" w:rsidRDefault="001C6219">
            <w:pPr>
              <w:pStyle w:val="P68B1DB1-Normal12"/>
              <w:spacing w:after="0"/>
              <w:jc w:val="left"/>
            </w:pPr>
            <w:r>
              <w:lastRenderedPageBreak/>
              <w:t>10</w:t>
            </w:r>
          </w:p>
        </w:tc>
        <w:tc>
          <w:tcPr>
            <w:tcW w:w="0" w:type="auto"/>
          </w:tcPr>
          <w:p w:rsidR="00F83F12" w:rsidRDefault="001C6219">
            <w:pPr>
              <w:pStyle w:val="P68B1DB1-Normal12"/>
              <w:spacing w:after="0"/>
              <w:jc w:val="left"/>
            </w:pPr>
            <w:r>
              <w:t>Utilizando el método de cálculo del proyecto de presupuesto, ¿es necesario incluir cada cantidad a tanto alzado en el anexo V del PO, o debería armonizarse el enfoque global del proyecto de presupuesto con la CE? Puede darse una situación en la que habrá que añadir 100 importes a tanto alzado diferentes al anexo V.</w:t>
            </w:r>
          </w:p>
        </w:tc>
        <w:tc>
          <w:tcPr>
            <w:tcW w:w="0" w:type="auto"/>
          </w:tcPr>
          <w:p w:rsidR="00F83F12" w:rsidRDefault="001C6219">
            <w:pPr>
              <w:pStyle w:val="P68B1DB1-Normal12"/>
              <w:spacing w:after="0"/>
              <w:jc w:val="left"/>
            </w:pPr>
            <w:r>
              <w:t>No está claro qué se entiende por «enfoque global del proyecto de presupuesto armonizado con la CE». Sobre la base del artículo 94 (2) del RDC y del apéndice 1 del RDC, el Estado miembro debe presentar la información o los datos adecuados por tipo de operación. Esto significa que es posible presentar una propuesta de una cantidad a tanto alzado única basada en un único proyecto de presupuesto para reembolsar todas las operaciones del mismo tipo.</w:t>
            </w:r>
          </w:p>
        </w:tc>
      </w:tr>
      <w:tr w:rsidR="00F83F12">
        <w:tc>
          <w:tcPr>
            <w:tcW w:w="0" w:type="auto"/>
          </w:tcPr>
          <w:p w:rsidR="00F83F12" w:rsidRDefault="001C6219">
            <w:pPr>
              <w:pStyle w:val="P68B1DB1-Normal12"/>
              <w:spacing w:after="0"/>
              <w:jc w:val="left"/>
            </w:pPr>
            <w:r>
              <w:t>11</w:t>
            </w:r>
          </w:p>
        </w:tc>
        <w:tc>
          <w:tcPr>
            <w:tcW w:w="0" w:type="auto"/>
          </w:tcPr>
          <w:p w:rsidR="00F83F12" w:rsidRDefault="001C6219">
            <w:pPr>
              <w:pStyle w:val="P68B1DB1-Normal12"/>
              <w:spacing w:after="0"/>
              <w:jc w:val="left"/>
            </w:pPr>
            <w:r>
              <w:t>En el RDC se establece que los ajustes periódicos constituyen una buena práctica en el contexto de la ejecución plurianual de los programas para tener en cuenta los factores que afectan a los porcentajes y los importes. En nuestra opinión, la mejor solución es incluir el método para el ajuste automático de los importes de las unidades o los costes de los insumos que forman parte de la cantidad a tanto alzado en la metodología y evitar cambios periódicos en la metodología de las OCS.</w:t>
            </w:r>
          </w:p>
          <w:p w:rsidR="00F83F12" w:rsidRDefault="001C6219">
            <w:pPr>
              <w:pStyle w:val="P68B1DB1-Normal12"/>
              <w:spacing w:after="0"/>
              <w:jc w:val="left"/>
            </w:pPr>
            <w:r>
              <w:t>Nos preguntamos cómo tratarla, especialmente en el caso de importes o tipos que reflejen los precios de mercado o se basen en datos no estadísticos, como el análisis de los datos históricos. Se entiende por método de ajuste distinto del cambio periódico que refleja la indexación publicada por la Oficina Estadística o establecida por ley.</w:t>
            </w:r>
          </w:p>
          <w:p w:rsidR="00F83F12" w:rsidRDefault="001C6219">
            <w:pPr>
              <w:pStyle w:val="P68B1DB1-Normal12"/>
              <w:spacing w:after="0"/>
              <w:jc w:val="left"/>
            </w:pPr>
            <w:r>
              <w:t>¿Podemos establecerla en la metodología de manera general que, por ejemplo, la reevaluación del importe se lleve a cabo sobre la base del estudio de mercado real realizado anualmente? ¿Podrían facilitarnos algunos ejemplos de buenas prácticas sobre cómo puede fijarse este ajuste automático de los importes o porcentajes en la metodología?</w:t>
            </w:r>
          </w:p>
        </w:tc>
        <w:tc>
          <w:tcPr>
            <w:tcW w:w="0" w:type="auto"/>
          </w:tcPr>
          <w:p w:rsidR="00F83F12" w:rsidRDefault="001C6219">
            <w:pPr>
              <w:pStyle w:val="P68B1DB1-Normal12"/>
              <w:spacing w:after="0"/>
              <w:jc w:val="left"/>
            </w:pPr>
            <w:r>
              <w:t>En la parte B, sección 9, del apéndice 1, el EM puede incluir una descripción de un método de ajuste. Si el método de ajuste se incluye en la metodología, la aplicación del ajuste no se considerará una modificación de la metodología de las OCS.</w:t>
            </w:r>
          </w:p>
          <w:p w:rsidR="00F83F12" w:rsidRDefault="00F83F12">
            <w:pPr>
              <w:spacing w:after="0"/>
              <w:jc w:val="left"/>
            </w:pPr>
          </w:p>
          <w:p w:rsidR="00F83F12" w:rsidRDefault="001C6219">
            <w:pPr>
              <w:pStyle w:val="P68B1DB1-Normal12"/>
              <w:spacing w:after="0"/>
              <w:jc w:val="left"/>
            </w:pPr>
            <w:r>
              <w:t>La nota de orientación revisada sobre OCS (EGESIF 14-0017) menciona, por ejemplo, la vinculación del ajuste con la inflación, pero los Estados miembros son libres de establecer otros métodos de ajuste, siempre que estén documentados y justificados. El anexo V debe incluir detalles suficientes sobre el método de ajuste previsto para permitir a la autoridad de auditoría y a los servicios de la Comisión evaluar el régimen de OCS.</w:t>
            </w:r>
          </w:p>
          <w:p w:rsidR="00F83F12" w:rsidRDefault="00F83F12">
            <w:pPr>
              <w:spacing w:after="0"/>
              <w:jc w:val="left"/>
            </w:pPr>
          </w:p>
          <w:p w:rsidR="00F83F12" w:rsidRDefault="001C6219">
            <w:pPr>
              <w:pStyle w:val="P68B1DB1-Normal12"/>
              <w:spacing w:after="0"/>
              <w:jc w:val="left"/>
            </w:pPr>
            <w:r>
              <w:t>Los Estados miembros podrán decidir no incluir el método de ajuste en la metodología si consideran que las OCS no necesitarán ajustes durante el período de su aplicación.</w:t>
            </w:r>
          </w:p>
          <w:p w:rsidR="00F83F12" w:rsidRDefault="00F83F12">
            <w:pPr>
              <w:spacing w:after="0"/>
              <w:jc w:val="left"/>
            </w:pPr>
          </w:p>
          <w:p w:rsidR="00F83F12" w:rsidRDefault="001C6219">
            <w:pPr>
              <w:pStyle w:val="P68B1DB1-Normal12"/>
              <w:spacing w:after="0"/>
              <w:jc w:val="left"/>
            </w:pPr>
            <w:r>
              <w:t>Un estudio de mercado puede considerarse otra información objetiva y, por tanto, utilizarse para establecer OCS sobre la base del artículo 53, apartado 3, letra a), inciso i), del RDC. También podrá utilizarse para reevaluar periódicamente los importes; en tal caso, la metodología de este estudio de mercado debe estar claramente definida y ser objeto de auditoría.</w:t>
            </w:r>
          </w:p>
          <w:p w:rsidR="00F83F12" w:rsidRDefault="00F83F12">
            <w:pPr>
              <w:spacing w:after="0"/>
              <w:jc w:val="left"/>
            </w:pPr>
          </w:p>
          <w:p w:rsidR="00F83F12" w:rsidRDefault="001C6219">
            <w:pPr>
              <w:pStyle w:val="P68B1DB1-Normal12"/>
              <w:spacing w:after="0"/>
              <w:jc w:val="left"/>
            </w:pPr>
            <w:r>
              <w:lastRenderedPageBreak/>
              <w:t>Para consultar ejemplos del FSE (período 2014-2020), consúltese el Reglamento Delegado de la Comisión (UE) 2015/2195 de 9 de julio de 2015.</w:t>
            </w:r>
          </w:p>
        </w:tc>
      </w:tr>
      <w:tr w:rsidR="00F83F12">
        <w:tc>
          <w:tcPr>
            <w:tcW w:w="0" w:type="auto"/>
          </w:tcPr>
          <w:p w:rsidR="00F83F12" w:rsidRDefault="001C6219">
            <w:pPr>
              <w:pStyle w:val="P68B1DB1-Normal12"/>
              <w:spacing w:after="0"/>
              <w:jc w:val="left"/>
            </w:pPr>
            <w:r>
              <w:lastRenderedPageBreak/>
              <w:t>12</w:t>
            </w:r>
          </w:p>
        </w:tc>
        <w:tc>
          <w:tcPr>
            <w:tcW w:w="0" w:type="auto"/>
          </w:tcPr>
          <w:p w:rsidR="00F83F12" w:rsidRDefault="001C6219">
            <w:pPr>
              <w:pStyle w:val="P68B1DB1-Normal12"/>
              <w:spacing w:after="0"/>
              <w:jc w:val="left"/>
            </w:pPr>
            <w:r>
              <w:t>Al establecer la metodología de las OCS, se aconseja la cooperación con los «proveedores» oficiales de datos o se pide que se utilicen datos estadísticos, históricos u otros datos pertinentes (fuentes).</w:t>
            </w:r>
          </w:p>
          <w:p w:rsidR="00F83F12" w:rsidRDefault="001C6219">
            <w:pPr>
              <w:pStyle w:val="P68B1DB1-Normal12"/>
              <w:spacing w:after="0"/>
              <w:jc w:val="left"/>
            </w:pPr>
            <w:r>
              <w:t>Nos gustaría preguntarnos si se supone que obliga a la AG a recopilar dichos datos y evaluarlos con respecto a la posibilidad de presentar OCS actualizadas o nuevas o a la necesidad de futuras posibilidades de actualización del anexo V? Según nuestra experiencia anterior, si los proyectos u operaciones se basan en resultados o están orientados a los resultados, es necesario que la AG defina un marco sólido para la recogida, el registro, el almacenamiento o la evaluación de los datos.</w:t>
            </w:r>
          </w:p>
          <w:p w:rsidR="00F83F12" w:rsidRDefault="001C6219">
            <w:pPr>
              <w:pStyle w:val="P68B1DB1-Normal12"/>
              <w:spacing w:after="0"/>
              <w:jc w:val="left"/>
            </w:pPr>
            <w:r>
              <w:t>¿Puede la AA también evaluar este proceso y establecerse durante la evaluación ex ante?</w:t>
            </w:r>
          </w:p>
        </w:tc>
        <w:tc>
          <w:tcPr>
            <w:tcW w:w="0" w:type="auto"/>
          </w:tcPr>
          <w:p w:rsidR="00F83F12" w:rsidRDefault="001C6219">
            <w:pPr>
              <w:pStyle w:val="P68B1DB1-Normal12"/>
              <w:spacing w:after="0"/>
              <w:jc w:val="left"/>
            </w:pPr>
            <w:r>
              <w:t>Al presentar el apéndice 1, el Estado miembro deberá indicar en la parte C la fuente de los datos utilizados para calcular las OCS, facilitando información detallada sobre dónde proceden los datos producidos, recogidos y registrados, dónde se almacenan, las fechas límite y cómo se validan.</w:t>
            </w:r>
          </w:p>
          <w:p w:rsidR="00F83F12" w:rsidRDefault="00F83F12">
            <w:pPr>
              <w:spacing w:after="0"/>
              <w:jc w:val="left"/>
            </w:pPr>
          </w:p>
          <w:p w:rsidR="00F83F12" w:rsidRDefault="001C6219">
            <w:pPr>
              <w:pStyle w:val="P68B1DB1-Normal12"/>
              <w:spacing w:after="0"/>
              <w:jc w:val="left"/>
            </w:pPr>
            <w:r>
              <w:t>Además, si los Estados miembros desean ajustar las metodologías incluidas en el apéndice 1, deberán incluir una descripción del método de ajuste. Esto significa que la AG tendrá que disponer de datos para poder ajustar las metodologías.</w:t>
            </w:r>
          </w:p>
          <w:p w:rsidR="00F83F12" w:rsidRDefault="00F83F12">
            <w:pPr>
              <w:spacing w:after="0"/>
              <w:jc w:val="left"/>
            </w:pPr>
          </w:p>
          <w:p w:rsidR="00F83F12" w:rsidRDefault="001C6219">
            <w:pPr>
              <w:pStyle w:val="P68B1DB1-Normal12"/>
              <w:spacing w:after="0"/>
              <w:jc w:val="left"/>
            </w:pPr>
            <w:r>
              <w:t>La AA evaluará si los datos utilizados son fiables y pertinentes, tal como se prevé en la parte C, sección 4, del apéndice 1 del programa como parte de su evaluación de auditoría antes de la presentación del anexo V a la Comisión. </w:t>
            </w:r>
          </w:p>
        </w:tc>
      </w:tr>
      <w:tr w:rsidR="00F83F12">
        <w:tc>
          <w:tcPr>
            <w:tcW w:w="0" w:type="auto"/>
          </w:tcPr>
          <w:p w:rsidR="00F83F12" w:rsidRDefault="001C6219">
            <w:pPr>
              <w:pStyle w:val="P68B1DB1-Normal12"/>
              <w:spacing w:after="0"/>
              <w:jc w:val="left"/>
            </w:pPr>
            <w:r>
              <w:t>13</w:t>
            </w:r>
          </w:p>
        </w:tc>
        <w:tc>
          <w:tcPr>
            <w:tcW w:w="0" w:type="auto"/>
          </w:tcPr>
          <w:p w:rsidR="00F83F12" w:rsidRDefault="001C6219">
            <w:pPr>
              <w:pStyle w:val="P68B1DB1-Normal12"/>
              <w:spacing w:after="0"/>
              <w:jc w:val="left"/>
            </w:pPr>
            <w:r>
              <w:t>¿Prevé la Comisión alguna recomendación para que el Estado miembro cree espacio o plataforma para la informatización de las metodologías oficiales de las OCS, incluida la documentación justificativa o su evaluación a escala de los Estados miembros, tras la adopción por el Reglamento? ¿Es posible aplicar tal procedimiento a nivel nacional sin recomendarlo de la CE? ¿Cómo garantizar y mantener metodologías de seguimiento? Por ejemplo, ¿ajustes de las metodologías adoptadas en función de las necesidades de futuras verificaciones?</w:t>
            </w:r>
          </w:p>
        </w:tc>
        <w:tc>
          <w:tcPr>
            <w:tcW w:w="0" w:type="auto"/>
          </w:tcPr>
          <w:p w:rsidR="00F83F12" w:rsidRDefault="001C6219">
            <w:pPr>
              <w:pStyle w:val="P68B1DB1-Normal12"/>
              <w:spacing w:after="0"/>
              <w:jc w:val="left"/>
            </w:pPr>
            <w:r>
              <w:t>No existe tal requisito en el marco jurídico vigente de la UE en materia de OCS. La Comisión no tiene ninguna recomendación general al respecto. El Estado miembro podrá hacerlo si lo considera oportuno.</w:t>
            </w:r>
          </w:p>
          <w:p w:rsidR="00F83F12" w:rsidRDefault="00F83F12">
            <w:pPr>
              <w:spacing w:after="0"/>
              <w:jc w:val="left"/>
            </w:pPr>
          </w:p>
          <w:p w:rsidR="00F83F12" w:rsidRDefault="001C6219">
            <w:pPr>
              <w:pStyle w:val="P68B1DB1-Normal12"/>
              <w:spacing w:after="0"/>
              <w:jc w:val="left"/>
            </w:pPr>
            <w:r>
              <w:t>No obstante, se recuerda que debe garantizarse una pista de auditoría adecuada sobre el establecimiento de metodologías de OCS y su aplicación (véanse el artículo 69, apartado 6, del RDC y el anexo XIII, sección III, del RDC). La AG también tiene la obligación de registrar y almacenar electrónicamente los datos de cada operación [véanse el artículo 72, apartado 1, letra e), del RDC y el anexo XVII del RDC].</w:t>
            </w:r>
          </w:p>
        </w:tc>
      </w:tr>
      <w:tr w:rsidR="00F83F12">
        <w:tc>
          <w:tcPr>
            <w:tcW w:w="0" w:type="auto"/>
          </w:tcPr>
          <w:p w:rsidR="00F83F12" w:rsidRDefault="001C6219">
            <w:pPr>
              <w:pStyle w:val="P68B1DB1-Normal12"/>
              <w:spacing w:after="0"/>
              <w:jc w:val="left"/>
            </w:pPr>
            <w:r>
              <w:t>14</w:t>
            </w:r>
          </w:p>
        </w:tc>
        <w:tc>
          <w:tcPr>
            <w:tcW w:w="0" w:type="auto"/>
          </w:tcPr>
          <w:p w:rsidR="00F83F12" w:rsidRDefault="001C6219">
            <w:pPr>
              <w:pStyle w:val="P68B1DB1-Normal12"/>
              <w:spacing w:after="0"/>
              <w:jc w:val="left"/>
            </w:pPr>
            <w:r>
              <w:t>¿Es posible crear metodologías de OCS más universales, que la AG puede actualizar sin «ajustes» oficiales de la metodología de las OCS (por ejemplo, solo actualización de los importes básicos)? ¿Podría ser una actualización sin necesidad de una evaluación ex ante?</w:t>
            </w:r>
          </w:p>
          <w:p w:rsidR="00F83F12" w:rsidRDefault="00F83F12">
            <w:pPr>
              <w:spacing w:after="0"/>
              <w:jc w:val="left"/>
            </w:pPr>
          </w:p>
          <w:p w:rsidR="00F83F12" w:rsidRDefault="001C6219">
            <w:pPr>
              <w:pStyle w:val="P68B1DB1-Normal12"/>
              <w:spacing w:after="0"/>
              <w:jc w:val="left"/>
            </w:pPr>
            <w:r>
              <w:t>¿Cuál es el enfoque de las metodologías de OCS a medida desarrolladas, por ejemplo, para una sola convocatoria? ¿Se recomienda crear una metodología válida para un determinado período de tiempo o crear una metodología para un período más largo o incluso para todo el período de programación? En caso afirmativo, ¿cómo gestionar su actualización?</w:t>
            </w:r>
          </w:p>
        </w:tc>
        <w:tc>
          <w:tcPr>
            <w:tcW w:w="0" w:type="auto"/>
          </w:tcPr>
          <w:p w:rsidR="00F83F12" w:rsidRDefault="001C6219">
            <w:pPr>
              <w:pStyle w:val="P68B1DB1-Normal12"/>
              <w:spacing w:after="0"/>
              <w:jc w:val="left"/>
            </w:pPr>
            <w:r>
              <w:t>En el caso de las OCS con arreglo al artículo 94 del RDC, a fin de evitar la necesidad de modificaciones, el apéndice 1 del programa prevé la posibilidad de incluir una descripción de un método de ajuste en la parte B, sección 9. Si el Estado miembro incluye un método de este tipo, estará cubierto por la decisión por la que se apruebe el programa y no será necesario volver a evaluar la metodología.</w:t>
            </w:r>
          </w:p>
          <w:p w:rsidR="00F83F12" w:rsidRDefault="00F83F12">
            <w:pPr>
              <w:spacing w:after="0"/>
              <w:jc w:val="left"/>
            </w:pPr>
          </w:p>
          <w:p w:rsidR="00F83F12" w:rsidRDefault="001C6219">
            <w:pPr>
              <w:pStyle w:val="P68B1DB1-Normal12"/>
              <w:spacing w:after="0"/>
              <w:jc w:val="left"/>
            </w:pPr>
            <w:r>
              <w:t xml:space="preserve">Por lo que se refiere a las OCS aplicadas exclusivamente a nivel de beneficiario, la posibilidad de utilizar OCS a medida solo para una convocatoria siempre es posible en virtud </w:t>
            </w:r>
            <w:r>
              <w:lastRenderedPageBreak/>
              <w:t>del artículo 53 del RDC, que no requiere la aprobación de la Comisión. Se recomienda que la AG adapte las OCS al publicar una nueva convocatoria de propuestas para tener en cuenta una indexación o cambios económicos, por ejemplo, en los costes de la energía, los niveles salariales, etc. Además, se propone consagrar en la metodología algunas adaptaciones automáticas (basadas en la inflación o la evolución de los salarios, por ejemplo). Se recomienda que las OCS presentadas a la Comisión para su aprobación con arreglo al artículo 94 del RDC cubran una cantidad considerable de contribución del programa y un número considerable de operaciones.</w:t>
            </w:r>
          </w:p>
          <w:p w:rsidR="00F83F12" w:rsidRDefault="00F83F12">
            <w:pPr>
              <w:spacing w:after="0"/>
              <w:jc w:val="left"/>
            </w:pPr>
          </w:p>
          <w:p w:rsidR="00F83F12" w:rsidRDefault="001C6219">
            <w:pPr>
              <w:pStyle w:val="P68B1DB1-Normal12"/>
              <w:spacing w:after="0"/>
              <w:jc w:val="left"/>
            </w:pPr>
            <w:r>
              <w:t>Véase también la respuesta a la pregunta 18.</w:t>
            </w:r>
          </w:p>
          <w:p w:rsidR="00F83F12" w:rsidRDefault="00F83F12">
            <w:pPr>
              <w:spacing w:after="0"/>
              <w:jc w:val="left"/>
            </w:pPr>
          </w:p>
        </w:tc>
      </w:tr>
      <w:tr w:rsidR="00F83F12">
        <w:tc>
          <w:tcPr>
            <w:tcW w:w="0" w:type="auto"/>
          </w:tcPr>
          <w:p w:rsidR="00F83F12" w:rsidRDefault="001C6219">
            <w:pPr>
              <w:pStyle w:val="P68B1DB1-Normal12"/>
              <w:spacing w:after="0"/>
              <w:jc w:val="left"/>
            </w:pPr>
            <w:r>
              <w:lastRenderedPageBreak/>
              <w:t>15</w:t>
            </w:r>
          </w:p>
        </w:tc>
        <w:tc>
          <w:tcPr>
            <w:tcW w:w="0" w:type="auto"/>
          </w:tcPr>
          <w:p w:rsidR="00F83F12" w:rsidRDefault="001C6219">
            <w:pPr>
              <w:pStyle w:val="P68B1DB1-Normal12"/>
              <w:spacing w:after="0"/>
              <w:jc w:val="left"/>
            </w:pPr>
            <w:r>
              <w:t>¿Puede haber un solapamiento de algunas metodologías de OCS dentro del mismo programa, eje prioritario o convocatoria? ¿Cómo abordar la combinación de las OCS en el caso de las OCS adoptadas mediante un acto delegado en el sentido del artículo 88 y la metodología de las OCS establecida y aprobada por la AG y evaluada por la AA en el sentido del artículo 48?</w:t>
            </w:r>
          </w:p>
        </w:tc>
        <w:tc>
          <w:tcPr>
            <w:tcW w:w="0" w:type="auto"/>
          </w:tcPr>
          <w:p w:rsidR="00F83F12" w:rsidRDefault="001C6219">
            <w:pPr>
              <w:pStyle w:val="P68B1DB1-Normal12"/>
              <w:spacing w:after="0"/>
              <w:jc w:val="left"/>
            </w:pPr>
            <w:r>
              <w:t>Las metodologías aprobadas en un programa de conformidad con el artículo 94 del RDC también pueden utilizarse para las OCS aplicadas a nivel del beneficiario. En tal caso, no hay discrepancia entre las OCS utilizadas a ambos niveles (COM-EM y EM-beneficiario).</w:t>
            </w:r>
          </w:p>
          <w:p w:rsidR="00F83F12" w:rsidRDefault="00F83F12">
            <w:pPr>
              <w:spacing w:after="0"/>
              <w:jc w:val="left"/>
            </w:pPr>
          </w:p>
          <w:p w:rsidR="00F83F12" w:rsidRDefault="001C6219">
            <w:pPr>
              <w:pStyle w:val="P68B1DB1-Normal12"/>
              <w:spacing w:after="0"/>
              <w:jc w:val="left"/>
            </w:pPr>
            <w:r>
              <w:t>Es posible aplicar una OCS diferente en virtud del artículo 53 del RDC a la relación EM-beneficiario que la aplicada en virtud del artículo 94 del RDC entre COM — EM, aunque no se recomienda.</w:t>
            </w:r>
          </w:p>
          <w:p w:rsidR="00F83F12" w:rsidRDefault="00F83F12">
            <w:pPr>
              <w:spacing w:after="0"/>
              <w:jc w:val="left"/>
            </w:pPr>
          </w:p>
        </w:tc>
      </w:tr>
      <w:tr w:rsidR="00F83F12">
        <w:tc>
          <w:tcPr>
            <w:tcW w:w="0" w:type="auto"/>
          </w:tcPr>
          <w:p w:rsidR="00F83F12" w:rsidRDefault="001C6219">
            <w:pPr>
              <w:pStyle w:val="P68B1DB1-Normal12"/>
              <w:spacing w:after="0"/>
              <w:jc w:val="left"/>
            </w:pPr>
            <w:r>
              <w:t>16</w:t>
            </w:r>
          </w:p>
        </w:tc>
        <w:tc>
          <w:tcPr>
            <w:tcW w:w="0" w:type="auto"/>
          </w:tcPr>
          <w:p w:rsidR="00F83F12" w:rsidRDefault="001C6219">
            <w:pPr>
              <w:pStyle w:val="P68B1DB1-Normal12"/>
              <w:spacing w:after="0"/>
              <w:jc w:val="left"/>
            </w:pPr>
            <w:r>
              <w:t>Desearíamos obtener una explicación más detallada (preferiblemente dando ejemplos de enfoque de la CE) sobre cómo fijar el importe de las OCS (por ejemplo, el precio unitario), respetando al mismo tiempo el principio de «aproximación real» (que refleja los costes reales de la actividad/operación) y garantizando al mismo tiempo el cumplimiento de los principios de simplificación (es decir, cómo fijar el «importe aceptable» de la desviación estándar al calcular, por ejemplo, el coste unitario, garantizando el tratamiento suficiente de los valores extremos).</w:t>
            </w:r>
          </w:p>
        </w:tc>
        <w:tc>
          <w:tcPr>
            <w:tcW w:w="0" w:type="auto"/>
          </w:tcPr>
          <w:p w:rsidR="00F83F12" w:rsidRDefault="001C6219">
            <w:pPr>
              <w:pStyle w:val="P68B1DB1-Normal12"/>
              <w:spacing w:after="0"/>
              <w:jc w:val="left"/>
            </w:pPr>
            <w:r>
              <w:t>Al establecer las OCS, la AG podrá utilizar uno de los métodos enumerados en los artículos 53 (2) y 94 (2) del RDC. El cálculo de las OCS debe ser razonable y prudente, es decir, basarse en la realidad, no excesivo ni extremo, que refleje la situación del mercado. Al evaluar los datos con el fin de establecer las OCS, deben excluirse del cálculo valores extremos para respetar el principio de buena gestión financiera.</w:t>
            </w:r>
          </w:p>
          <w:p w:rsidR="00F83F12" w:rsidRDefault="00F83F12">
            <w:pPr>
              <w:spacing w:after="0"/>
              <w:jc w:val="left"/>
            </w:pPr>
          </w:p>
          <w:p w:rsidR="00F83F12" w:rsidRDefault="001C6219">
            <w:pPr>
              <w:pStyle w:val="P68B1DB1-Normal12"/>
              <w:spacing w:after="0"/>
              <w:jc w:val="left"/>
            </w:pPr>
            <w:r>
              <w:t>La AG debe poder explicar y justificar sus decisiones. Los importes deben adaptarse a condiciones o necesidades específicas. Por ejemplo, la ejecución de un proyecto puede costar más en una región remota que en una central, pues los costes de transporte serán más elevados. este elemento debe tenerse en cuenta a la hora de decidir una cantidad a tanto alzado o un importe que debe pagarse por proyectos similares en las dos regiones.</w:t>
            </w:r>
          </w:p>
        </w:tc>
      </w:tr>
      <w:tr w:rsidR="00F83F12">
        <w:tc>
          <w:tcPr>
            <w:tcW w:w="0" w:type="auto"/>
          </w:tcPr>
          <w:p w:rsidR="00F83F12" w:rsidRDefault="001C6219">
            <w:pPr>
              <w:pStyle w:val="P68B1DB1-Normal12"/>
              <w:spacing w:after="0"/>
              <w:jc w:val="left"/>
            </w:pPr>
            <w:r>
              <w:t>17</w:t>
            </w:r>
          </w:p>
        </w:tc>
        <w:tc>
          <w:tcPr>
            <w:tcW w:w="0" w:type="auto"/>
          </w:tcPr>
          <w:p w:rsidR="00F83F12" w:rsidRDefault="001C6219">
            <w:pPr>
              <w:pStyle w:val="P68B1DB1-Normal12"/>
              <w:spacing w:after="0"/>
              <w:jc w:val="left"/>
            </w:pPr>
            <w:r>
              <w:t xml:space="preserve">En el período de programación 2014-2020, muchas operaciones se financiaron en forma de OCS definidas a nivel nacional (de conformidad </w:t>
            </w:r>
            <w:r>
              <w:lastRenderedPageBreak/>
              <w:t>con el artículo 67 1303/2013) que se basaron en datos históricos verificados desde la perspectiva 2007-2013. Por lo tanto, los Estados miembros no disponen de datos más recientes sobre gastos verificados. ¿Es posible que, en estos casos, para definir las OCS con arreglo al artículo 88 del RDC, los datos de las operaciones de 2007-2013 se utilicen y adopten mediante tasas oficiales de inflación? A continuación, se utilizará la misma tasa de inflación para la adopción de las OCS con arreglo al artículo 88.</w:t>
            </w:r>
          </w:p>
        </w:tc>
        <w:tc>
          <w:tcPr>
            <w:tcW w:w="0" w:type="auto"/>
          </w:tcPr>
          <w:p w:rsidR="00F83F12" w:rsidRDefault="001C6219">
            <w:pPr>
              <w:pStyle w:val="P68B1DB1-Normal12"/>
              <w:spacing w:after="0"/>
              <w:jc w:val="left"/>
            </w:pPr>
            <w:r>
              <w:lastRenderedPageBreak/>
              <w:t xml:space="preserve">Podrá aceptarse el uso de «datos históricos verificados desde la perspectiva 2007-2013» si se demuestra que los importes siguen </w:t>
            </w:r>
            <w:r>
              <w:lastRenderedPageBreak/>
              <w:t>siendo pertinentes. Esto significa que las autoridades del programa deben asegurarse de que estos datos siguen siendo un indicador fiable de los costes reales y ajustarlos cuando sea necesario.</w:t>
            </w:r>
          </w:p>
          <w:p w:rsidR="00F83F12" w:rsidRDefault="00F83F12">
            <w:pPr>
              <w:spacing w:after="0"/>
              <w:jc w:val="left"/>
            </w:pPr>
          </w:p>
          <w:p w:rsidR="00F83F12" w:rsidRDefault="00F83F12">
            <w:pPr>
              <w:spacing w:after="0"/>
              <w:jc w:val="left"/>
            </w:pPr>
          </w:p>
        </w:tc>
      </w:tr>
      <w:tr w:rsidR="00F83F12">
        <w:tc>
          <w:tcPr>
            <w:tcW w:w="0" w:type="auto"/>
          </w:tcPr>
          <w:p w:rsidR="00F83F12" w:rsidRDefault="001C6219">
            <w:pPr>
              <w:pStyle w:val="P68B1DB1-Normal12"/>
              <w:spacing w:after="0"/>
              <w:jc w:val="left"/>
            </w:pPr>
            <w:r>
              <w:lastRenderedPageBreak/>
              <w:t>18</w:t>
            </w:r>
          </w:p>
        </w:tc>
        <w:tc>
          <w:tcPr>
            <w:tcW w:w="0" w:type="auto"/>
          </w:tcPr>
          <w:p w:rsidR="00F83F12" w:rsidRDefault="001C6219">
            <w:pPr>
              <w:pStyle w:val="P68B1DB1-Normal12"/>
              <w:spacing w:after="0"/>
              <w:jc w:val="left"/>
            </w:pPr>
            <w:r>
              <w:t>En caso de que los Estados miembros tengan previsto utilizar la metodología del período actual (14-20) y no se almacenen más datos históricos, ¿qué podría utilizarse como justificación para «demostrar» que el coste unitario/cantidad a tanto alzado sigue siendo adecuado?</w:t>
            </w:r>
          </w:p>
        </w:tc>
        <w:tc>
          <w:tcPr>
            <w:tcW w:w="0" w:type="auto"/>
          </w:tcPr>
          <w:p w:rsidR="00F83F12" w:rsidRDefault="001C6219">
            <w:pPr>
              <w:pStyle w:val="P68B1DB1-Normal12"/>
              <w:spacing w:after="0"/>
              <w:jc w:val="left"/>
            </w:pPr>
            <w:r>
              <w:t>Las metodologías del período de programación 2014-2020 pueden reutilizarse. En este caso, la AA debe comprobar si la metodología se adapta a la nueva legislación aplicable al período de programación 2021-2027 y si hay cambios que requieran una adaptación/actualización de la metodología.</w:t>
            </w:r>
          </w:p>
          <w:p w:rsidR="00F83F12" w:rsidRDefault="001C6219">
            <w:pPr>
              <w:pStyle w:val="P68B1DB1-Normal12"/>
              <w:spacing w:after="0"/>
              <w:jc w:val="left"/>
            </w:pPr>
            <w:r>
              <w:t>Véase también la respuesta a la pregunta 17.</w:t>
            </w:r>
          </w:p>
        </w:tc>
      </w:tr>
      <w:tr w:rsidR="00F83F12">
        <w:tc>
          <w:tcPr>
            <w:tcW w:w="0" w:type="auto"/>
          </w:tcPr>
          <w:p w:rsidR="00F83F12" w:rsidRDefault="001C6219">
            <w:pPr>
              <w:pStyle w:val="P68B1DB1-Normal12"/>
              <w:spacing w:after="0"/>
              <w:jc w:val="left"/>
            </w:pPr>
            <w:r>
              <w:t>19</w:t>
            </w:r>
          </w:p>
        </w:tc>
        <w:tc>
          <w:tcPr>
            <w:tcW w:w="0" w:type="auto"/>
          </w:tcPr>
          <w:p w:rsidR="00F83F12" w:rsidRDefault="001C6219">
            <w:pPr>
              <w:pStyle w:val="P68B1DB1-Normal12"/>
              <w:spacing w:after="0"/>
              <w:jc w:val="left"/>
            </w:pPr>
            <w:r>
              <w:t>Entendemos que, si la AA y la CE confirman la metodología de las OCS con arreglo al artículo 88, también puede utilizarse directamente con arreglo al artículo 48 (para los pagos a los beneficiarios). ¿O debería prepararse una metodología separada? Rogamos confirmación.</w:t>
            </w:r>
          </w:p>
        </w:tc>
        <w:tc>
          <w:tcPr>
            <w:tcW w:w="0" w:type="auto"/>
          </w:tcPr>
          <w:p w:rsidR="00F83F12" w:rsidRDefault="001C6219">
            <w:pPr>
              <w:pStyle w:val="P68B1DB1-Normal12"/>
              <w:spacing w:after="0"/>
              <w:jc w:val="left"/>
            </w:pPr>
            <w:r>
              <w:t>Es posible aplicar las mismas OCS en virtud del artículo 94 del RDC (nivel COM-EM) a la relación EM-beneficiario (artículo 53 del RDC). En tal caso, no es necesario elaborar una metodología separada.</w:t>
            </w:r>
          </w:p>
        </w:tc>
      </w:tr>
      <w:tr w:rsidR="00F83F12">
        <w:tc>
          <w:tcPr>
            <w:tcW w:w="0" w:type="auto"/>
          </w:tcPr>
          <w:p w:rsidR="00F83F12" w:rsidRDefault="001C6219">
            <w:pPr>
              <w:pStyle w:val="P68B1DB1-Normal12"/>
              <w:spacing w:after="0"/>
              <w:jc w:val="left"/>
            </w:pPr>
            <w:r>
              <w:t>20</w:t>
            </w:r>
          </w:p>
        </w:tc>
        <w:tc>
          <w:tcPr>
            <w:tcW w:w="0" w:type="auto"/>
          </w:tcPr>
          <w:p w:rsidR="00F83F12" w:rsidRDefault="001C6219">
            <w:pPr>
              <w:pStyle w:val="P68B1DB1-Normal12"/>
              <w:spacing w:after="0"/>
              <w:jc w:val="left"/>
            </w:pPr>
            <w:r>
              <w:t>Entendemos que los «datos históricos verificados de beneficiarios individuales» del artículo 48, apartado 2, letra a), inciso ii), se refieren a datos históricos de un único beneficiario cuando queremos definir las OCS para este beneficiario concreto a partir de sus datos históricos. Si preparamos la metodología para las OCS sobre la base de datos históricos de varios beneficiarios (por ejemplo, de anteriores convocatorias de propuestas), este método puede entenderse como datos estadísticos u otra información objetiva [artículo 48, apartado 2, letra a), inciso i)]. Por favor, confírmennos si nuestra interpretación es correcta.</w:t>
            </w:r>
          </w:p>
        </w:tc>
        <w:tc>
          <w:tcPr>
            <w:tcW w:w="0" w:type="auto"/>
          </w:tcPr>
          <w:p w:rsidR="00F83F12" w:rsidRDefault="001C6219">
            <w:pPr>
              <w:pStyle w:val="P68B1DB1-Normal12"/>
              <w:spacing w:after="0"/>
              <w:jc w:val="left"/>
            </w:pPr>
            <w:r>
              <w:t>De hecho, el artículo 53, apartado 3, letra a), inciso ii), del RDC se refiere a los datos históricos de un beneficiario individual cuando el Estado miembro desea definir las OCS para este beneficiario concreto a partir de sus datos históricos. Si se utilizan datos históricos de diferentes beneficiarios para establecer un importe de OCS para futuras convocatorias, este método de establecimiento de OCS está cubierto por el artículo 53, apartado 3, letra a), inciso i), del RDC.</w:t>
            </w:r>
          </w:p>
          <w:p w:rsidR="00F83F12" w:rsidRDefault="00F83F12">
            <w:pPr>
              <w:spacing w:after="0"/>
              <w:jc w:val="left"/>
            </w:pPr>
          </w:p>
          <w:p w:rsidR="00F83F12" w:rsidRDefault="001C6219">
            <w:pPr>
              <w:pStyle w:val="P68B1DB1-Normal12"/>
              <w:spacing w:after="0"/>
              <w:jc w:val="left"/>
            </w:pPr>
            <w:r>
              <w:t>Como se aclara en la sección 4.2.2.2 de la nota de orientación revisada sobre OCS (EGESIF 14-0017), los métodos basados en datos históricos verificados de beneficiarios individuales son, en particular, simplificaciones para los beneficiarios que ejecutarán muchos proyectos durante el período de programación.</w:t>
            </w:r>
          </w:p>
        </w:tc>
      </w:tr>
      <w:tr w:rsidR="00F83F12">
        <w:tc>
          <w:tcPr>
            <w:tcW w:w="0" w:type="auto"/>
          </w:tcPr>
          <w:p w:rsidR="00F83F12" w:rsidRDefault="001C6219">
            <w:pPr>
              <w:pStyle w:val="P68B1DB1-Normal12"/>
              <w:spacing w:after="0"/>
              <w:jc w:val="left"/>
            </w:pPr>
            <w:r>
              <w:t>21</w:t>
            </w:r>
          </w:p>
        </w:tc>
        <w:tc>
          <w:tcPr>
            <w:tcW w:w="0" w:type="auto"/>
          </w:tcPr>
          <w:p w:rsidR="00F83F12" w:rsidRDefault="001C6219">
            <w:pPr>
              <w:pStyle w:val="P68B1DB1-Normal12"/>
              <w:spacing w:after="0"/>
              <w:jc w:val="left"/>
            </w:pPr>
            <w:r>
              <w:t>1) tratamiento de datos: ¿cuál es la opinión de la Comisión sobre el número mínimo de datos necesarios para calcular un coste medio a tanto alzado?</w:t>
            </w:r>
          </w:p>
          <w:p w:rsidR="00F83F12" w:rsidRDefault="00F83F12">
            <w:pPr>
              <w:spacing w:after="0"/>
              <w:jc w:val="left"/>
            </w:pPr>
          </w:p>
          <w:p w:rsidR="00F83F12" w:rsidRDefault="001C6219">
            <w:pPr>
              <w:pStyle w:val="P68B1DB1-Normal12"/>
              <w:spacing w:after="0"/>
              <w:jc w:val="left"/>
            </w:pPr>
            <w:r>
              <w:t xml:space="preserve">2) utilización de estadísticas nacionales: ¿puede utilizarse un coste unitario estadístico medio basado en una población que cubra todas las </w:t>
            </w:r>
            <w:r>
              <w:lastRenderedPageBreak/>
              <w:t>categorías sociales de empleados en esta parte menor de esta población cuyo coste medio sea diferente?</w:t>
            </w:r>
          </w:p>
        </w:tc>
        <w:tc>
          <w:tcPr>
            <w:tcW w:w="0" w:type="auto"/>
          </w:tcPr>
          <w:p w:rsidR="00F83F12" w:rsidRDefault="001C6219">
            <w:pPr>
              <w:pStyle w:val="P68B1DB1-Normal12"/>
              <w:spacing w:after="0"/>
              <w:jc w:val="left"/>
            </w:pPr>
            <w:r>
              <w:lastRenderedPageBreak/>
              <w:t>1) no existe un requisito mínimo de datos. Las fuentes de los datos utilizados para el análisis y los cálculos, incluida una evaluación de la pertinencia de los datos para las operaciones previstas y una evaluación de la calidad de los datos, deben documentarse al crear OCS.</w:t>
            </w:r>
          </w:p>
          <w:p w:rsidR="00F83F12" w:rsidRDefault="001C6219">
            <w:pPr>
              <w:pStyle w:val="P68B1DB1-Normal12"/>
              <w:spacing w:after="0"/>
              <w:jc w:val="left"/>
            </w:pPr>
            <w:r>
              <w:t>Véase también la respuesta a la pregunta 28.</w:t>
            </w:r>
          </w:p>
          <w:p w:rsidR="00F83F12" w:rsidRDefault="00F83F12">
            <w:pPr>
              <w:spacing w:after="0"/>
              <w:jc w:val="left"/>
            </w:pPr>
          </w:p>
          <w:p w:rsidR="00F83F12" w:rsidRDefault="001C6219">
            <w:pPr>
              <w:pStyle w:val="P68B1DB1-Normal12"/>
              <w:spacing w:after="0"/>
              <w:jc w:val="left"/>
            </w:pPr>
            <w:r>
              <w:lastRenderedPageBreak/>
              <w:t>2) la cuestión no está clara. Se necesita más información para tener en cuenta todos los parámetros en cuestión.</w:t>
            </w:r>
          </w:p>
        </w:tc>
      </w:tr>
      <w:tr w:rsidR="00F83F12">
        <w:tc>
          <w:tcPr>
            <w:tcW w:w="0" w:type="auto"/>
          </w:tcPr>
          <w:p w:rsidR="00F83F12" w:rsidRDefault="001C6219">
            <w:pPr>
              <w:pStyle w:val="P68B1DB1-Normal12"/>
              <w:spacing w:after="0"/>
              <w:jc w:val="left"/>
            </w:pPr>
            <w:r>
              <w:lastRenderedPageBreak/>
              <w:t>22</w:t>
            </w:r>
          </w:p>
        </w:tc>
        <w:tc>
          <w:tcPr>
            <w:tcW w:w="0" w:type="auto"/>
          </w:tcPr>
          <w:p w:rsidR="00F83F12" w:rsidRDefault="001C6219">
            <w:pPr>
              <w:pStyle w:val="P68B1DB1-Normal12"/>
              <w:spacing w:after="0"/>
              <w:jc w:val="left"/>
            </w:pPr>
            <w:r>
              <w:t>En Luxemburgo, durante el confinamiento general, pero también posteriormente cuando se cerró la escuela, el Estado financió en gran medida (a través de la seguridad social) los costes de personal. Se concedió un permiso parental especial (uno de los dos progenitores estaba autorizado a permanecer en casa para cuidar de los niños con un coste totalmente cubierto por el Estado, sin limitación del tiempo, hasta el cierre de la escuela, ni siquiera parcialmente). Teniendo en cuenta que las OCS se aplicarán a partir de 2022 y no antes y que todos esperamos volver a algo más similar a la vida normal para entonces, nos gustaría simplemente omitir los datos de 2020 y utilizar los datos de 2016-2019 para establecer el tipo fijo. Estoy seguro de que no somos los únicos que tienen este problema y nos preguntamos si:</w:t>
            </w:r>
          </w:p>
          <w:p w:rsidR="00F83F12" w:rsidRDefault="001C6219">
            <w:pPr>
              <w:pStyle w:val="P68B1DB1-Normal12"/>
              <w:spacing w:after="0"/>
              <w:jc w:val="left"/>
            </w:pPr>
            <w:r>
              <w:t>1) el planteamiento propuesto sería aceptable desde el punto de vista de la CE (en particular, los auditores).</w:t>
            </w:r>
          </w:p>
          <w:p w:rsidR="00F83F12" w:rsidRDefault="001C6219">
            <w:pPr>
              <w:pStyle w:val="P68B1DB1-Normal12"/>
              <w:spacing w:after="0"/>
              <w:jc w:val="left"/>
            </w:pPr>
            <w:r>
              <w:t>2) el modo en que otros resuelven esta cuestión.</w:t>
            </w:r>
          </w:p>
        </w:tc>
        <w:tc>
          <w:tcPr>
            <w:tcW w:w="0" w:type="auto"/>
          </w:tcPr>
          <w:p w:rsidR="00F83F12" w:rsidRDefault="001C6219">
            <w:pPr>
              <w:pStyle w:val="P68B1DB1-Normal12"/>
              <w:spacing w:after="0"/>
              <w:jc w:val="left"/>
            </w:pPr>
            <w:r>
              <w:t>Los datos deben ser pertinentes para las OCS consideradas. Deben facilitarse las fuentes de los datos utilizados para el análisis y los cálculos, incluida una evaluación de la pertinencia de los datos para las operaciones previstas y una evaluación de la calidad de los datos. Por lo tanto, al establecer las OCS, los Estados miembros tienen la posibilidad de explicar por qué los datos de estos años no son pertinentes y excluirlos de la base de cálculo.  </w:t>
            </w:r>
          </w:p>
          <w:p w:rsidR="00F83F12" w:rsidRDefault="00F83F12">
            <w:pPr>
              <w:spacing w:after="0"/>
              <w:jc w:val="left"/>
            </w:pPr>
          </w:p>
          <w:p w:rsidR="00F83F12" w:rsidRDefault="001C6219">
            <w:pPr>
              <w:pStyle w:val="P68B1DB1-Normal12"/>
              <w:spacing w:after="0"/>
              <w:jc w:val="left"/>
            </w:pPr>
            <w:r>
              <w:t>En el ejemplo concreto, la pertinencia de los datos de los años COVID (2020-2021) para los gastos que comiencen en 2022 depende de cómo será la realidad social y económica en ese momento en particular, podría justificarse excluir los datos de 2020-2021 como no representativos para establecer las OCS en cuestión. </w:t>
            </w:r>
          </w:p>
        </w:tc>
      </w:tr>
      <w:tr w:rsidR="00F83F12">
        <w:tc>
          <w:tcPr>
            <w:tcW w:w="0" w:type="auto"/>
          </w:tcPr>
          <w:p w:rsidR="00F83F12" w:rsidRDefault="001C6219">
            <w:pPr>
              <w:pStyle w:val="P68B1DB1-Normal12"/>
              <w:spacing w:after="0"/>
              <w:jc w:val="left"/>
            </w:pPr>
            <w:r>
              <w:t>23</w:t>
            </w:r>
          </w:p>
        </w:tc>
        <w:tc>
          <w:tcPr>
            <w:tcW w:w="0" w:type="auto"/>
          </w:tcPr>
          <w:p w:rsidR="00F83F12" w:rsidRDefault="001C6219">
            <w:pPr>
              <w:pStyle w:val="P68B1DB1-Normal12"/>
              <w:spacing w:after="0"/>
              <w:jc w:val="left"/>
            </w:pPr>
            <w:r>
              <w:t>En caso de que se establezca una OCS sobre la base de un dictamen pericial en ausencia de datos históricos o estadísticos, la AA deberá verificar la competencia e independencia de los expertos, pero no los importes. ¿Confirma esta posición?</w:t>
            </w:r>
          </w:p>
        </w:tc>
        <w:tc>
          <w:tcPr>
            <w:tcW w:w="0" w:type="auto"/>
          </w:tcPr>
          <w:p w:rsidR="00F83F12" w:rsidRDefault="001C6219">
            <w:pPr>
              <w:pStyle w:val="P68B1DB1-Normal12"/>
              <w:spacing w:after="0"/>
              <w:jc w:val="left"/>
            </w:pPr>
            <w:r>
              <w:t>La AA verificará no solo la competencia y la independencia del experto, sino también si el juicio pericial está bien documentado, es coherente y es específico de las circunstancias particulares de cada caso.</w:t>
            </w:r>
          </w:p>
          <w:p w:rsidR="00F83F12" w:rsidRDefault="00F83F12">
            <w:pPr>
              <w:spacing w:after="0"/>
              <w:jc w:val="left"/>
            </w:pPr>
          </w:p>
        </w:tc>
      </w:tr>
      <w:tr w:rsidR="00F83F12">
        <w:tc>
          <w:tcPr>
            <w:tcW w:w="0" w:type="auto"/>
          </w:tcPr>
          <w:p w:rsidR="00F83F12" w:rsidRDefault="001C6219">
            <w:pPr>
              <w:pStyle w:val="P68B1DB1-Normal12"/>
              <w:spacing w:after="0"/>
              <w:jc w:val="left"/>
            </w:pPr>
            <w:r>
              <w:t>24</w:t>
            </w:r>
          </w:p>
        </w:tc>
        <w:tc>
          <w:tcPr>
            <w:tcW w:w="0" w:type="auto"/>
          </w:tcPr>
          <w:p w:rsidR="00F83F12" w:rsidRDefault="001C6219">
            <w:pPr>
              <w:pStyle w:val="P68B1DB1-Normal12"/>
              <w:spacing w:after="0"/>
              <w:jc w:val="left"/>
            </w:pPr>
            <w:r>
              <w:t>¿Puede la metodología de cálculo de los costes unitarios basarse en datos del presupuesto previsto a partir del formulario de solicitud en lugar de en solicitudes de pago aprobadas?</w:t>
            </w:r>
          </w:p>
        </w:tc>
        <w:tc>
          <w:tcPr>
            <w:tcW w:w="0" w:type="auto"/>
          </w:tcPr>
          <w:p w:rsidR="00F83F12" w:rsidRDefault="001C6219">
            <w:pPr>
              <w:pStyle w:val="P68B1DB1-Normal12"/>
              <w:spacing w:after="0"/>
              <w:jc w:val="left"/>
            </w:pPr>
            <w:r>
              <w:t xml:space="preserve">No, la metodología puede no basarse en datos del presupuesto previsto, </w:t>
            </w:r>
            <w:r w:rsidR="002F3719">
              <w:t xml:space="preserve">ya que, </w:t>
            </w:r>
            <w:r>
              <w:t>dichos datos no están certificados y su fiabilidad no está garantizada. </w:t>
            </w:r>
          </w:p>
        </w:tc>
      </w:tr>
      <w:tr w:rsidR="00F83F12">
        <w:tc>
          <w:tcPr>
            <w:tcW w:w="0" w:type="auto"/>
          </w:tcPr>
          <w:p w:rsidR="00F83F12" w:rsidRDefault="001C6219">
            <w:pPr>
              <w:pStyle w:val="P68B1DB1-Normal12"/>
              <w:spacing w:after="0"/>
              <w:jc w:val="left"/>
            </w:pPr>
            <w:r>
              <w:t>25</w:t>
            </w:r>
          </w:p>
        </w:tc>
        <w:tc>
          <w:tcPr>
            <w:tcW w:w="0" w:type="auto"/>
          </w:tcPr>
          <w:p w:rsidR="00F83F12" w:rsidRDefault="001C6219">
            <w:pPr>
              <w:pStyle w:val="P68B1DB1-Normal12"/>
              <w:spacing w:after="0"/>
              <w:jc w:val="left"/>
            </w:pPr>
            <w:r>
              <w:t>¿Cómo debemos garantizar la similitud de los proyectos para utilizar la pasta de copiar el método?</w:t>
            </w:r>
          </w:p>
        </w:tc>
        <w:tc>
          <w:tcPr>
            <w:tcW w:w="0" w:type="auto"/>
          </w:tcPr>
          <w:p w:rsidR="00F83F12" w:rsidRDefault="001C6219">
            <w:pPr>
              <w:pStyle w:val="P68B1DB1-Normal12"/>
              <w:spacing w:after="0"/>
              <w:jc w:val="left"/>
            </w:pPr>
            <w:r>
              <w:t>No hay ninguna indicación en el RDC de lo que se entiende por similitud de las operaciones. Corresponde a la AC apreciar si en un caso concreto se cumple el requisito de similitud.</w:t>
            </w:r>
          </w:p>
          <w:p w:rsidR="00F83F12" w:rsidRDefault="00F83F12">
            <w:pPr>
              <w:spacing w:after="0"/>
              <w:jc w:val="left"/>
            </w:pPr>
          </w:p>
          <w:p w:rsidR="00F83F12" w:rsidRDefault="001C6219">
            <w:pPr>
              <w:pStyle w:val="P68B1DB1-Normal12"/>
              <w:spacing w:after="0"/>
              <w:jc w:val="left"/>
            </w:pPr>
            <w:r>
              <w:t>Téngase en cuenta que deben tenerse en cuenta todos los elementos del método que puedan repercutir en el coste unitario/cantidad a tanto alzado/tipo fijo. Será necesario un análisis caso por caso. Véase también la sección 4.4 de la nota de orientación revisada sobre OCS (EGESIF 14-0017).</w:t>
            </w:r>
          </w:p>
        </w:tc>
      </w:tr>
      <w:tr w:rsidR="00F83F12">
        <w:tc>
          <w:tcPr>
            <w:tcW w:w="0" w:type="auto"/>
          </w:tcPr>
          <w:p w:rsidR="00F83F12" w:rsidRDefault="001C6219">
            <w:pPr>
              <w:pStyle w:val="P68B1DB1-Normal12"/>
              <w:spacing w:after="0"/>
              <w:jc w:val="left"/>
            </w:pPr>
            <w:r>
              <w:t>26</w:t>
            </w:r>
          </w:p>
        </w:tc>
        <w:tc>
          <w:tcPr>
            <w:tcW w:w="0" w:type="auto"/>
          </w:tcPr>
          <w:p w:rsidR="00F83F12" w:rsidRDefault="001C6219">
            <w:pPr>
              <w:pStyle w:val="P68B1DB1-Normal12"/>
              <w:spacing w:after="0"/>
              <w:jc w:val="left"/>
            </w:pPr>
            <w:r>
              <w:t>¿Las tarifas horarias medias basadas en datos históricos de los proyectos de I + D son una OCS del artículo 88 con la cantidad de horas gastadas como indicador/desencadenante? ¿Hay ejemplos de ello?</w:t>
            </w:r>
          </w:p>
        </w:tc>
        <w:tc>
          <w:tcPr>
            <w:tcW w:w="0" w:type="auto"/>
          </w:tcPr>
          <w:p w:rsidR="00F83F12" w:rsidRDefault="001C6219">
            <w:pPr>
              <w:pStyle w:val="P68B1DB1-Normal12"/>
              <w:spacing w:after="0"/>
              <w:jc w:val="left"/>
            </w:pPr>
            <w:r>
              <w:t>Pueden utilizarse medias, valores medianos u otros métodos estadísticamente sólidos para calcular las OCS.</w:t>
            </w:r>
          </w:p>
          <w:p w:rsidR="00F83F12" w:rsidRDefault="001C6219">
            <w:pPr>
              <w:pStyle w:val="P68B1DB1-Normal12"/>
              <w:spacing w:after="0"/>
              <w:jc w:val="left"/>
            </w:pPr>
            <w:r>
              <w:t>El indicador que dará lugar al reembolso será el de las horas.</w:t>
            </w:r>
          </w:p>
          <w:p w:rsidR="00F83F12" w:rsidRDefault="00F83F12">
            <w:pPr>
              <w:spacing w:after="0"/>
              <w:jc w:val="left"/>
            </w:pPr>
          </w:p>
          <w:p w:rsidR="00F83F12" w:rsidRDefault="001C6219">
            <w:pPr>
              <w:pStyle w:val="P68B1DB1-Normal12"/>
              <w:spacing w:after="0"/>
              <w:jc w:val="left"/>
            </w:pPr>
            <w:r>
              <w:t>Se recuerda que, al establecer las OCS, la AG puede utilizar uno de los métodos enumerados en el RDC (artículos 53 (2) o 94 (2) del RDC). Deben evaluarse las fuentes de los datos utilizados para el análisis y los cálculos, la pertinencia de los datos para las operaciones previstas y la calidad de los datos.</w:t>
            </w:r>
          </w:p>
        </w:tc>
      </w:tr>
      <w:tr w:rsidR="00F83F12">
        <w:tc>
          <w:tcPr>
            <w:tcW w:w="0" w:type="auto"/>
          </w:tcPr>
          <w:p w:rsidR="00F83F12" w:rsidRDefault="001C6219">
            <w:pPr>
              <w:pStyle w:val="P68B1DB1-Normal12"/>
              <w:spacing w:after="0"/>
              <w:jc w:val="left"/>
            </w:pPr>
            <w:r>
              <w:lastRenderedPageBreak/>
              <w:t>27</w:t>
            </w:r>
          </w:p>
        </w:tc>
        <w:tc>
          <w:tcPr>
            <w:tcW w:w="0" w:type="auto"/>
          </w:tcPr>
          <w:p w:rsidR="00F83F12" w:rsidRDefault="001C6219">
            <w:pPr>
              <w:pStyle w:val="P68B1DB1-Normal12"/>
              <w:spacing w:after="0"/>
              <w:jc w:val="left"/>
            </w:pPr>
            <w:r>
              <w:t>Ejemplos de buenas prácticas de metodologías que no se basan en estadísticas publicadas por la oficina nacional de estadística, sino en datos de estudios de mercado.</w:t>
            </w:r>
          </w:p>
        </w:tc>
        <w:tc>
          <w:tcPr>
            <w:tcW w:w="0" w:type="auto"/>
          </w:tcPr>
          <w:p w:rsidR="00F83F12" w:rsidRDefault="001C6219">
            <w:pPr>
              <w:pStyle w:val="P68B1DB1-Normal12"/>
              <w:spacing w:after="0"/>
              <w:jc w:val="left"/>
            </w:pPr>
            <w:r>
              <w:t>Estos ejemplos podrían ser el objetivo de los debates y el intercambio de experiencias entre los miembros de los profesionales de las OCS TN FEDER.</w:t>
            </w:r>
          </w:p>
        </w:tc>
      </w:tr>
      <w:tr w:rsidR="00F83F12">
        <w:tc>
          <w:tcPr>
            <w:tcW w:w="0" w:type="auto"/>
          </w:tcPr>
          <w:p w:rsidR="00F83F12" w:rsidRDefault="001C6219">
            <w:pPr>
              <w:pStyle w:val="P68B1DB1-Normal12"/>
              <w:spacing w:after="0"/>
              <w:jc w:val="left"/>
            </w:pPr>
            <w:r>
              <w:t>28</w:t>
            </w:r>
          </w:p>
        </w:tc>
        <w:tc>
          <w:tcPr>
            <w:tcW w:w="0" w:type="auto"/>
          </w:tcPr>
          <w:p w:rsidR="00F83F12" w:rsidRDefault="001C6219">
            <w:pPr>
              <w:pStyle w:val="P68B1DB1-Normal12"/>
              <w:spacing w:after="0"/>
              <w:jc w:val="left"/>
            </w:pPr>
            <w:r>
              <w:t>¿Cómo puede la AG/AA estar segura de que los datos utilizados para la metodología son fiables? ¿Cuál es el mínimo de datos que respaldan la SSCU o los importes a tanto alzado calculados?</w:t>
            </w:r>
          </w:p>
        </w:tc>
        <w:tc>
          <w:tcPr>
            <w:tcW w:w="0" w:type="auto"/>
          </w:tcPr>
          <w:p w:rsidR="00F83F12" w:rsidRDefault="001C6219">
            <w:pPr>
              <w:pStyle w:val="P68B1DB1-Normal12"/>
              <w:spacing w:after="0"/>
              <w:jc w:val="left"/>
            </w:pPr>
            <w:r>
              <w:t>No se requieren datos mínimos para calcular las OCS.</w:t>
            </w:r>
          </w:p>
          <w:p w:rsidR="00F83F12" w:rsidRDefault="00F83F12">
            <w:pPr>
              <w:spacing w:after="0"/>
              <w:jc w:val="left"/>
            </w:pPr>
          </w:p>
          <w:p w:rsidR="00F83F12" w:rsidRDefault="001C6219">
            <w:pPr>
              <w:pStyle w:val="P68B1DB1-Normal12"/>
              <w:spacing w:after="0"/>
              <w:jc w:val="left"/>
            </w:pPr>
            <w:r>
              <w:t>Los datos pueden extraerse de muchas fuentes. La fiabilidad de los datos utilizados dependerá de la fuente de datos utilizada. Por ejemplo, los datos procedentes de los institutos nacionales de estadística o de Eurostat pueden considerarse fiables. En el caso de algunas fuentes de datos, podrían ser necesarios controles más detallados para confirmar la fiabilidad de los datos. En algunos casos, el criterio profesional de la AA podría utilizarse para decidir si deben realizarse o no controles adicionales por muestreo (teniendo en cuenta cualquier información de que disponga la AA sobre el tipo de datos, el modo de compilación, los procedimientos internos de los organismos para aprobar la información facilitada, etc.).</w:t>
            </w:r>
          </w:p>
        </w:tc>
      </w:tr>
      <w:tr w:rsidR="00F83F12">
        <w:tc>
          <w:tcPr>
            <w:tcW w:w="0" w:type="auto"/>
          </w:tcPr>
          <w:p w:rsidR="00F83F12" w:rsidRDefault="001C6219">
            <w:pPr>
              <w:pStyle w:val="P68B1DB1-Normal12"/>
              <w:spacing w:after="0"/>
              <w:jc w:val="left"/>
            </w:pPr>
            <w:r>
              <w:t>29</w:t>
            </w:r>
          </w:p>
        </w:tc>
        <w:tc>
          <w:tcPr>
            <w:tcW w:w="0" w:type="auto"/>
          </w:tcPr>
          <w:p w:rsidR="00F83F12" w:rsidRDefault="001C6219">
            <w:pPr>
              <w:pStyle w:val="P68B1DB1-Normal12"/>
              <w:spacing w:after="0"/>
              <w:jc w:val="left"/>
            </w:pPr>
            <w:r>
              <w:t>¿Es posible utilizar dos tipos fijos diferentes para diferentes categorías de costes aplicados al mismo coste de base (por ejemplo, costes de personal)?</w:t>
            </w:r>
          </w:p>
        </w:tc>
        <w:tc>
          <w:tcPr>
            <w:tcW w:w="0" w:type="auto"/>
          </w:tcPr>
          <w:p w:rsidR="00F83F12" w:rsidRDefault="001C6219">
            <w:pPr>
              <w:pStyle w:val="P68B1DB1-Normal12"/>
              <w:spacing w:after="0"/>
              <w:jc w:val="left"/>
            </w:pPr>
            <w:r>
              <w:t>Sí, es posible. Por ejemplo, puede utilizarse un tipo fijo del x% de los costes de personal para calcular los costes indirectos y la misma base, es decir, los costes de personal también pueden utilizarse para calcular los demás costes directos de la operación en un porcentaje a tanto alzado.</w:t>
            </w:r>
          </w:p>
          <w:p w:rsidR="00F83F12" w:rsidRDefault="00F83F12">
            <w:pPr>
              <w:spacing w:after="0"/>
              <w:jc w:val="left"/>
            </w:pPr>
          </w:p>
          <w:p w:rsidR="00F83F12" w:rsidRDefault="001C6219">
            <w:pPr>
              <w:pStyle w:val="P68B1DB1-Normal12"/>
              <w:spacing w:after="0"/>
              <w:jc w:val="left"/>
            </w:pPr>
            <w:r>
              <w:t>Se llama la atención sobre la necesidad de que la base no incluya los costes que se cubrirán con el tipo fijo para evitar la doble financiación.</w:t>
            </w:r>
          </w:p>
        </w:tc>
      </w:tr>
      <w:tr w:rsidR="00F83F12">
        <w:tc>
          <w:tcPr>
            <w:tcW w:w="0" w:type="auto"/>
          </w:tcPr>
          <w:p w:rsidR="00F83F12" w:rsidRDefault="001C6219">
            <w:pPr>
              <w:pStyle w:val="P68B1DB1-Normal12"/>
              <w:spacing w:after="0"/>
              <w:jc w:val="left"/>
            </w:pPr>
            <w:r>
              <w:t>30</w:t>
            </w:r>
          </w:p>
        </w:tc>
        <w:tc>
          <w:tcPr>
            <w:tcW w:w="0" w:type="auto"/>
          </w:tcPr>
          <w:p w:rsidR="00F83F12" w:rsidRDefault="001C6219">
            <w:pPr>
              <w:pStyle w:val="P68B1DB1-Normal12"/>
              <w:spacing w:after="0"/>
              <w:jc w:val="left"/>
            </w:pPr>
            <w:r>
              <w:t>Sería necesario aclarar en mayor medida el uso de datos históricos en la preparación de metodologías. ¿Esto solo es aplicable a la hora de definir las OCS para un único beneficiario? Entendemos los datos «históricos» de más de un beneficiario como otra información objetiva o datos estadísticos.</w:t>
            </w:r>
          </w:p>
        </w:tc>
        <w:tc>
          <w:tcPr>
            <w:tcW w:w="0" w:type="auto"/>
          </w:tcPr>
          <w:p w:rsidR="00F83F12" w:rsidRDefault="001C6219">
            <w:pPr>
              <w:pStyle w:val="P68B1DB1-Normal12"/>
              <w:spacing w:after="0"/>
              <w:jc w:val="left"/>
            </w:pPr>
            <w:r>
              <w:t>Los datos históricos (tanto sobre proyectos u operaciones financiados con cargo al Fondo del RDC como a partir de diferentes fuentes) pueden considerarse datos estadísticos.</w:t>
            </w:r>
          </w:p>
        </w:tc>
      </w:tr>
      <w:tr w:rsidR="00F83F12">
        <w:tc>
          <w:tcPr>
            <w:tcW w:w="0" w:type="auto"/>
          </w:tcPr>
          <w:p w:rsidR="00F83F12" w:rsidRDefault="001C6219">
            <w:pPr>
              <w:pStyle w:val="P68B1DB1-Normal12"/>
              <w:spacing w:after="0"/>
              <w:jc w:val="left"/>
            </w:pPr>
            <w:r>
              <w:t>31</w:t>
            </w:r>
          </w:p>
        </w:tc>
        <w:tc>
          <w:tcPr>
            <w:tcW w:w="0" w:type="auto"/>
          </w:tcPr>
          <w:p w:rsidR="00F83F12" w:rsidRDefault="001C6219">
            <w:pPr>
              <w:pStyle w:val="P68B1DB1-Normal12"/>
              <w:spacing w:after="0"/>
              <w:jc w:val="left"/>
            </w:pPr>
            <w:r>
              <w:t>¿Cómo utilizar los conocimientos ya disponibles sobre los precios de mercado de bienes o servicios (específicos)? ¿Está disponible tal cosa (mapas de mercado) en algún lugar?</w:t>
            </w:r>
          </w:p>
        </w:tc>
        <w:tc>
          <w:tcPr>
            <w:tcW w:w="0" w:type="auto"/>
          </w:tcPr>
          <w:p w:rsidR="00F83F12" w:rsidRDefault="001C6219">
            <w:pPr>
              <w:pStyle w:val="P68B1DB1-Normal12"/>
              <w:spacing w:after="0"/>
              <w:jc w:val="left"/>
            </w:pPr>
            <w:r>
              <w:t>La Comisión no dispone de esta información.</w:t>
            </w:r>
          </w:p>
        </w:tc>
      </w:tr>
      <w:tr w:rsidR="00F83F12">
        <w:tc>
          <w:tcPr>
            <w:tcW w:w="0" w:type="auto"/>
          </w:tcPr>
          <w:p w:rsidR="00F83F12" w:rsidRDefault="001C6219">
            <w:pPr>
              <w:pStyle w:val="P68B1DB1-Normal12"/>
              <w:spacing w:after="0"/>
              <w:jc w:val="left"/>
            </w:pPr>
            <w:r>
              <w:lastRenderedPageBreak/>
              <w:t>32</w:t>
            </w:r>
          </w:p>
        </w:tc>
        <w:tc>
          <w:tcPr>
            <w:tcW w:w="0" w:type="auto"/>
          </w:tcPr>
          <w:p w:rsidR="00F83F12" w:rsidRDefault="001C6219">
            <w:pPr>
              <w:pStyle w:val="P68B1DB1-Normal12"/>
              <w:spacing w:after="0"/>
              <w:jc w:val="left"/>
            </w:pPr>
            <w:r>
              <w:t>¿Puede adoptar un régimen nacional (no en total, solo una parte del mismo) si esta parte se utilizará en su totalidad (pero no en la propia metodología)? Por ejemplo, el régimen nacional cubre diferentes tipos de costes (salarios, costes materiales, etc.), pero solo la parte de la metodología nacional que cubre los salarios se utilizará en la metodología de las OCS?</w:t>
            </w:r>
          </w:p>
        </w:tc>
        <w:tc>
          <w:tcPr>
            <w:tcW w:w="0" w:type="auto"/>
          </w:tcPr>
          <w:p w:rsidR="00F83F12" w:rsidRDefault="001C6219">
            <w:pPr>
              <w:pStyle w:val="P68B1DB1-Normal12"/>
              <w:spacing w:after="0"/>
              <w:jc w:val="left"/>
            </w:pPr>
            <w:r>
              <w:t>En el ejemplo específico utilizado, parece que desea crear una OCS de conformidad con las normas de aplicación de las OCS correspondientes aplicadas en virtud de un régimen financiado íntegramente por el Estado miembro para un tipo similar de operación). Si el régimen nacional establece OCS para varias categorías de costes, pero solo desea utilizar las OCS establecidas para una de las categorías de costes incluidas en el régimen, es posible hacerlo.</w:t>
            </w:r>
          </w:p>
          <w:p w:rsidR="00F83F12" w:rsidRDefault="00F83F12">
            <w:pPr>
              <w:spacing w:after="0"/>
              <w:jc w:val="left"/>
            </w:pPr>
          </w:p>
          <w:p w:rsidR="00F83F12" w:rsidRDefault="001C6219">
            <w:pPr>
              <w:pStyle w:val="P68B1DB1-Normal12"/>
              <w:spacing w:after="0"/>
              <w:jc w:val="left"/>
            </w:pPr>
            <w:r>
              <w:t>Sin embargo, al reutilizar el método nacional existente, debe asegurarse de que:</w:t>
            </w:r>
          </w:p>
          <w:p w:rsidR="00F83F12" w:rsidRDefault="001C6219">
            <w:pPr>
              <w:pStyle w:val="P68B1DB1-Normal12"/>
              <w:numPr>
                <w:ilvl w:val="0"/>
                <w:numId w:val="53"/>
              </w:numPr>
              <w:spacing w:after="0"/>
              <w:jc w:val="left"/>
            </w:pPr>
            <w:r>
              <w:t>el método se reutiliza en su totalidad para esta OCS específica establecida en virtud del régimen nacional (por ejemplo, y cuando proceda, gastos subvencionables, ámbito de aplicación) y no solo para su resultado (cantidad a tanto alzado de X EUR);</w:t>
            </w:r>
          </w:p>
          <w:p w:rsidR="00F83F12" w:rsidRDefault="001C6219">
            <w:pPr>
              <w:pStyle w:val="P68B1DB1-Normal12"/>
              <w:numPr>
                <w:ilvl w:val="0"/>
                <w:numId w:val="53"/>
              </w:numPr>
              <w:spacing w:after="0"/>
              <w:jc w:val="left"/>
            </w:pPr>
            <w:r>
              <w:t>normalmente se aplica a la misma zona geográfica o a una zona más pequeña (si se aplica una metodología en una sola región, puede ser reutilizada por la región de que se trate, pero no por otra región de este Estado miembro en el que no sea aplicable la metodología nacional);</w:t>
            </w:r>
          </w:p>
          <w:p w:rsidR="00F83F12" w:rsidRDefault="001C6219">
            <w:pPr>
              <w:pStyle w:val="P68B1DB1-Normal12"/>
              <w:numPr>
                <w:ilvl w:val="0"/>
                <w:numId w:val="53"/>
              </w:numPr>
              <w:spacing w:after="0"/>
              <w:jc w:val="left"/>
            </w:pPr>
            <w:r>
              <w:t>el método se aplica a un tipo de operación similar;</w:t>
            </w:r>
          </w:p>
          <w:p w:rsidR="00F83F12" w:rsidRDefault="001C6219">
            <w:pPr>
              <w:pStyle w:val="P68B1DB1-Normal12"/>
              <w:numPr>
                <w:ilvl w:val="0"/>
                <w:numId w:val="53"/>
              </w:numPr>
              <w:spacing w:after="0"/>
              <w:jc w:val="left"/>
            </w:pPr>
            <w:r>
              <w:t>se hace referencia al método y a la justificación de que se utiliza para operaciones apoyadas por fuentes nacionales.</w:t>
            </w:r>
          </w:p>
        </w:tc>
      </w:tr>
      <w:tr w:rsidR="00F83F12">
        <w:tc>
          <w:tcPr>
            <w:tcW w:w="0" w:type="auto"/>
          </w:tcPr>
          <w:p w:rsidR="00F83F12" w:rsidRDefault="001C6219">
            <w:pPr>
              <w:pStyle w:val="P68B1DB1-Normal12"/>
              <w:spacing w:after="0"/>
              <w:jc w:val="left"/>
            </w:pPr>
            <w:r>
              <w:t>33</w:t>
            </w:r>
          </w:p>
        </w:tc>
        <w:tc>
          <w:tcPr>
            <w:tcW w:w="0" w:type="auto"/>
          </w:tcPr>
          <w:p w:rsidR="00F83F12" w:rsidRDefault="001C6219">
            <w:pPr>
              <w:pStyle w:val="P68B1DB1-Normal12"/>
              <w:spacing w:after="0"/>
              <w:jc w:val="left"/>
            </w:pPr>
            <w:r>
              <w:t>Al establecer la metodología para los costes unitarios, ¿es correcto incluir un tipo fijo en el cálculo de los costes unitarios, o es necesario desarrollar otra metodología?</w:t>
            </w:r>
          </w:p>
        </w:tc>
        <w:tc>
          <w:tcPr>
            <w:tcW w:w="0" w:type="auto"/>
          </w:tcPr>
          <w:p w:rsidR="00F83F12" w:rsidRDefault="001C6219">
            <w:pPr>
              <w:pStyle w:val="P68B1DB1-Normal12"/>
              <w:spacing w:after="0"/>
              <w:jc w:val="left"/>
            </w:pPr>
            <w:r>
              <w:t>La cuestión no está clara.</w:t>
            </w:r>
          </w:p>
        </w:tc>
      </w:tr>
      <w:tr w:rsidR="00F83F12">
        <w:tc>
          <w:tcPr>
            <w:tcW w:w="0" w:type="auto"/>
          </w:tcPr>
          <w:p w:rsidR="00F83F12" w:rsidRDefault="001C6219">
            <w:pPr>
              <w:pStyle w:val="P68B1DB1-Normal12"/>
              <w:spacing w:after="0"/>
              <w:jc w:val="left"/>
            </w:pPr>
            <w:r>
              <w:t>34</w:t>
            </w:r>
          </w:p>
        </w:tc>
        <w:tc>
          <w:tcPr>
            <w:tcW w:w="0" w:type="auto"/>
          </w:tcPr>
          <w:p w:rsidR="00F83F12" w:rsidRDefault="001C6219">
            <w:pPr>
              <w:pStyle w:val="P68B1DB1-Normal12"/>
              <w:spacing w:after="0"/>
              <w:jc w:val="left"/>
            </w:pPr>
            <w:r>
              <w:t>¿Qué documentación deberíamos tener en el expediente de la propuesta cuando utilizamos el proyecto de presupuesto?</w:t>
            </w:r>
          </w:p>
        </w:tc>
        <w:tc>
          <w:tcPr>
            <w:tcW w:w="0" w:type="auto"/>
          </w:tcPr>
          <w:p w:rsidR="00F83F12" w:rsidRDefault="001C6219">
            <w:pPr>
              <w:pStyle w:val="P68B1DB1-Normal12"/>
              <w:spacing w:after="0"/>
              <w:jc w:val="left"/>
            </w:pPr>
            <w:r>
              <w:t>Todos los documentos justificativos relacionados con el cálculo o la justificación de los costes de todas las categorías del proyecto de presupuesto. Además, el documento que contiene el propio presupuesto (es decir, el proyecto de presupuesto) debe ser archivado por la autoridad de gestión como documento justificativo de las OCS utilizadas.</w:t>
            </w:r>
          </w:p>
        </w:tc>
      </w:tr>
      <w:tr w:rsidR="00F83F12">
        <w:tc>
          <w:tcPr>
            <w:tcW w:w="0" w:type="auto"/>
          </w:tcPr>
          <w:p w:rsidR="00F83F12" w:rsidRDefault="001C6219">
            <w:pPr>
              <w:pStyle w:val="P68B1DB1-Normal12"/>
              <w:spacing w:after="0"/>
              <w:jc w:val="left"/>
            </w:pPr>
            <w:r>
              <w:t>35</w:t>
            </w:r>
          </w:p>
        </w:tc>
        <w:tc>
          <w:tcPr>
            <w:tcW w:w="0" w:type="auto"/>
          </w:tcPr>
          <w:p w:rsidR="00F83F12" w:rsidRDefault="001C6219">
            <w:pPr>
              <w:pStyle w:val="P68B1DB1-Normal12"/>
              <w:spacing w:after="0"/>
              <w:jc w:val="left"/>
            </w:pPr>
            <w:r>
              <w:t>A la hora de diseñar las OCS, ¿deberíamos comprobar todos los documentos como fuentes primarias de datos o basta con utilizar los datos que nos proporcionará la institución responsable de la recogida de datos y de la exactitud de los datos facilitados?</w:t>
            </w:r>
          </w:p>
        </w:tc>
        <w:tc>
          <w:tcPr>
            <w:tcW w:w="0" w:type="auto"/>
          </w:tcPr>
          <w:p w:rsidR="00F83F12" w:rsidRDefault="001C6219">
            <w:pPr>
              <w:pStyle w:val="P68B1DB1-Normal12"/>
              <w:spacing w:after="0"/>
              <w:jc w:val="left"/>
            </w:pPr>
            <w:r>
              <w:t xml:space="preserve">En caso de que la AA considere que la fuente de datos es fiable (por ejemplo, datos procedentes de los institutos nacionales de estadística), el control se centrará en la verificación de que los datos realmente introducidos en el cálculo corresponden a los </w:t>
            </w:r>
            <w:r>
              <w:lastRenderedPageBreak/>
              <w:t>datos fuente y de que son admisibles y pertinentes para el régimen de OCS. En el caso de algunas fuentes de datos, podrían ser necesarios controles más detallados para confirmar la fiabilidad o exactitud de los datos.</w:t>
            </w:r>
          </w:p>
          <w:p w:rsidR="00F83F12" w:rsidRDefault="00F83F12">
            <w:pPr>
              <w:spacing w:after="0"/>
              <w:jc w:val="left"/>
            </w:pPr>
          </w:p>
          <w:p w:rsidR="00F83F12" w:rsidRDefault="001C6219">
            <w:pPr>
              <w:pStyle w:val="P68B1DB1-Normal12"/>
              <w:spacing w:after="0"/>
              <w:jc w:val="left"/>
            </w:pPr>
            <w:r>
              <w:t>Un caso concreto merece especial atención: es cuando los datos procedentes de fuentes fiables (por ejemplo, informes publicados y bases de datos oficiales de internet) no se utilizan directamente como tales (generados automáticamente a partir de la base de datos de la fuente), sino que se compilan manualmente de forma unificada. En tales casos, sería una buena práctica comparar (por muestreo) si las cifras recopiladas se ajustan a los informes oficiales. Sin embargo, dado que esto no siempre será fácil de hacer en la práctica, las AA pueden utilizar su criterio profesional para decidir si debe llevarse a cabo un control adicional por muestreo o no teniendo en cuenta cualquier información de que disponga la AA sobre el tipo de datos, la forma de compilación, los procedimientos internos de dicho organismo para aprobar la información facilitada, etc.</w:t>
            </w:r>
          </w:p>
        </w:tc>
      </w:tr>
      <w:tr w:rsidR="00F83F12">
        <w:tc>
          <w:tcPr>
            <w:tcW w:w="0" w:type="auto"/>
          </w:tcPr>
          <w:p w:rsidR="00F83F12" w:rsidRDefault="001C6219">
            <w:pPr>
              <w:pStyle w:val="P68B1DB1-Normal12"/>
              <w:spacing w:after="0"/>
              <w:jc w:val="left"/>
            </w:pPr>
            <w:r>
              <w:lastRenderedPageBreak/>
              <w:t>36</w:t>
            </w:r>
          </w:p>
        </w:tc>
        <w:tc>
          <w:tcPr>
            <w:tcW w:w="0" w:type="auto"/>
          </w:tcPr>
          <w:p w:rsidR="00F83F12" w:rsidRDefault="001C6219">
            <w:pPr>
              <w:pStyle w:val="P68B1DB1-Normal12"/>
              <w:spacing w:after="0"/>
              <w:jc w:val="left"/>
            </w:pPr>
            <w:r>
              <w:t>Método FeV: ¿es correcto que la AG combine diferentes fuentes de información para establecer su metodología? Por ejemplo, «dictamen pericial» y «otra información objetiva».</w:t>
            </w:r>
          </w:p>
        </w:tc>
        <w:tc>
          <w:tcPr>
            <w:tcW w:w="0" w:type="auto"/>
          </w:tcPr>
          <w:p w:rsidR="00F83F12" w:rsidRDefault="001C6219">
            <w:pPr>
              <w:pStyle w:val="P68B1DB1-Normal12"/>
              <w:spacing w:after="0"/>
              <w:jc w:val="left"/>
            </w:pPr>
            <w:r>
              <w:t>El objetivo de la metodología es establecer una OCS. Los artículos 53 (3) (a) (i)] y 94 (2) (a) (i) del RDC se refieren a «otra información objetiva» y «opinión de expertos» junto al uso de datos estadísticos.</w:t>
            </w:r>
          </w:p>
          <w:p w:rsidR="00F83F12" w:rsidRDefault="00F83F12">
            <w:pPr>
              <w:spacing w:after="0"/>
              <w:jc w:val="left"/>
            </w:pPr>
          </w:p>
          <w:p w:rsidR="00F83F12" w:rsidRDefault="001C6219">
            <w:pPr>
              <w:pStyle w:val="P68B1DB1-Normal12"/>
              <w:spacing w:after="0"/>
              <w:jc w:val="left"/>
            </w:pPr>
            <w:r>
              <w:t xml:space="preserve">En relación con el ejemplo dado, si se dispone de datos procedentes de una fuente, que se consideran objetivos, y la metodología puede establecerse utilizando esta fuente, no queda claro por qué también sería necesario un juicio pericial para establecer la OCS, </w:t>
            </w:r>
            <w:r w:rsidR="002F3719">
              <w:t xml:space="preserve">ya que, </w:t>
            </w:r>
            <w:r>
              <w:t>puede utilizarse un juicio pericial cuando no se dispone de información objetiva. Del mismo modo, lo mismo sucede con los demás métodos. Sin embargo, no se excluye jurídicamente una combinación.</w:t>
            </w:r>
          </w:p>
        </w:tc>
      </w:tr>
      <w:tr w:rsidR="00F83F12">
        <w:tc>
          <w:tcPr>
            <w:tcW w:w="0" w:type="auto"/>
          </w:tcPr>
          <w:p w:rsidR="00F83F12" w:rsidRDefault="001C6219">
            <w:pPr>
              <w:pStyle w:val="P68B1DB1-Normal12"/>
              <w:spacing w:after="0"/>
              <w:jc w:val="left"/>
            </w:pPr>
            <w:r>
              <w:t>37</w:t>
            </w:r>
          </w:p>
        </w:tc>
        <w:tc>
          <w:tcPr>
            <w:tcW w:w="0" w:type="auto"/>
          </w:tcPr>
          <w:p w:rsidR="00F83F12" w:rsidRDefault="001C6219">
            <w:pPr>
              <w:pStyle w:val="P68B1DB1-Normal12"/>
              <w:spacing w:after="0"/>
              <w:jc w:val="left"/>
            </w:pPr>
            <w:r>
              <w:t>Teniendo en cuenta los datos utilizados para crear/calcular las OCS, ¿cuál es la influencia de la actual pandemia? Por ejemplo, los costes de viaje varían mucho entre el año 2020 y los años anteriores. Se trata de una desviación bastante grande. Debe considerarse la posibilidad de excluir los datos de los años posteriores a 2019 porque no son representativos de una evaluación. Debe adaptarse el ámbito de aplicación.</w:t>
            </w:r>
          </w:p>
        </w:tc>
        <w:tc>
          <w:tcPr>
            <w:tcW w:w="0" w:type="auto"/>
          </w:tcPr>
          <w:p w:rsidR="00F83F12" w:rsidRDefault="001C6219">
            <w:pPr>
              <w:pStyle w:val="P68B1DB1-Normal12"/>
              <w:spacing w:after="0"/>
              <w:jc w:val="left"/>
            </w:pPr>
            <w:r>
              <w:t>En caso de que la AG considere (y la AA esté de acuerdo) que determinados datos no son representativos (valores atípicos), puede retirarlos de la base, pero debe facilitarse una justificación sólida.</w:t>
            </w:r>
          </w:p>
          <w:p w:rsidR="00F83F12" w:rsidRDefault="001C6219">
            <w:pPr>
              <w:pStyle w:val="P68B1DB1-Normal12"/>
              <w:spacing w:after="0"/>
              <w:jc w:val="left"/>
            </w:pPr>
            <w:r>
              <w:t>Véase también la respuesta a la pregunta 22.</w:t>
            </w:r>
          </w:p>
          <w:p w:rsidR="00F83F12" w:rsidRDefault="00F83F12">
            <w:pPr>
              <w:spacing w:after="0"/>
              <w:jc w:val="left"/>
            </w:pPr>
          </w:p>
        </w:tc>
      </w:tr>
      <w:tr w:rsidR="00F83F12">
        <w:tc>
          <w:tcPr>
            <w:tcW w:w="0" w:type="auto"/>
          </w:tcPr>
          <w:p w:rsidR="00F83F12" w:rsidRDefault="001C6219">
            <w:pPr>
              <w:pStyle w:val="P68B1DB1-Normal12"/>
              <w:spacing w:after="0"/>
              <w:jc w:val="left"/>
            </w:pPr>
            <w:r>
              <w:t>38</w:t>
            </w:r>
          </w:p>
        </w:tc>
        <w:tc>
          <w:tcPr>
            <w:tcW w:w="0" w:type="auto"/>
          </w:tcPr>
          <w:p w:rsidR="00F83F12" w:rsidRDefault="001C6219">
            <w:pPr>
              <w:pStyle w:val="P68B1DB1-Normal12"/>
              <w:spacing w:after="0"/>
              <w:jc w:val="left"/>
            </w:pPr>
            <w:r>
              <w:t xml:space="preserve">¿Puede utilizarse el artículo 50, apartado 2, aunque se disponga de dichos datos históricos </w:t>
            </w:r>
            <w:r>
              <w:lastRenderedPageBreak/>
              <w:t>con arreglo al artículo 50.4 (con fecha de 12 meses o más)?</w:t>
            </w:r>
          </w:p>
        </w:tc>
        <w:tc>
          <w:tcPr>
            <w:tcW w:w="0" w:type="auto"/>
          </w:tcPr>
          <w:p w:rsidR="00F83F12" w:rsidRDefault="001C6219">
            <w:pPr>
              <w:pStyle w:val="P68B1DB1-Normal12"/>
              <w:spacing w:after="0"/>
              <w:jc w:val="left"/>
            </w:pPr>
            <w:r>
              <w:lastRenderedPageBreak/>
              <w:t xml:space="preserve">La cuestión no está clara. Téngase en cuenta que el RDC se refiere al cálculo de la tarifa </w:t>
            </w:r>
            <w:r>
              <w:lastRenderedPageBreak/>
              <w:t>horaria utilizando el «último» coste bruto de empleo anual documentado. El término «más reciente» del artículo 55, apartado 2, del RDC significa que los datos utilizados deben ser lo suficientemente recientes, es decir, indicativos de los costes reales de personal. Esto significa que un método de cálculo basado en datos históricos del beneficiario no es pertinente.</w:t>
            </w:r>
          </w:p>
        </w:tc>
      </w:tr>
      <w:tr w:rsidR="00F83F12">
        <w:tc>
          <w:tcPr>
            <w:tcW w:w="0" w:type="auto"/>
          </w:tcPr>
          <w:p w:rsidR="00F83F12" w:rsidRDefault="001C6219">
            <w:pPr>
              <w:pStyle w:val="P68B1DB1-Normal12"/>
              <w:spacing w:after="0"/>
              <w:jc w:val="left"/>
            </w:pPr>
            <w:r>
              <w:lastRenderedPageBreak/>
              <w:t>39</w:t>
            </w:r>
          </w:p>
        </w:tc>
        <w:tc>
          <w:tcPr>
            <w:tcW w:w="0" w:type="auto"/>
          </w:tcPr>
          <w:p w:rsidR="00F83F12" w:rsidRDefault="001C6219">
            <w:pPr>
              <w:pStyle w:val="P68B1DB1-Normal12"/>
              <w:spacing w:after="0"/>
              <w:jc w:val="left"/>
            </w:pPr>
            <w:r>
              <w:t>¿Cómo tendrá que llevarse a cabo la actualización de las OCS y con quién debemos tenerlo en cuenta, si está prevista la indexación, y la modificamos en función de las condiciones de ajuste previstas?</w:t>
            </w:r>
          </w:p>
        </w:tc>
        <w:tc>
          <w:tcPr>
            <w:tcW w:w="0" w:type="auto"/>
          </w:tcPr>
          <w:p w:rsidR="00F83F12" w:rsidRDefault="001C6219">
            <w:pPr>
              <w:pStyle w:val="P68B1DB1-Normal12"/>
              <w:spacing w:after="0"/>
              <w:jc w:val="left"/>
            </w:pPr>
            <w:r>
              <w:t>Pueden preverse actualizaciones (ajustes, como la indexación) al establecer la metodología y, en el caso de las OCS con arreglo al artículo 94 del RDC, descritas en el apéndice 1. A continuación, los ajustes seguirán el patrón aprobado con el programa. Cualquier desviación de la misma se considerará irregular, siempre que no se acuerde con la Comisión en una modificación del programa que modifique el régimen de OCS aprobado.</w:t>
            </w:r>
          </w:p>
        </w:tc>
      </w:tr>
      <w:tr w:rsidR="00F83F12">
        <w:tc>
          <w:tcPr>
            <w:tcW w:w="0" w:type="auto"/>
            <w:gridSpan w:val="3"/>
          </w:tcPr>
          <w:p w:rsidR="00F83F12" w:rsidRDefault="001C6219">
            <w:pPr>
              <w:pStyle w:val="P68B1DB1-Normal11"/>
              <w:spacing w:after="0"/>
              <w:jc w:val="left"/>
            </w:pPr>
            <w:r>
              <w:t>APÉNDICE 1</w:t>
            </w:r>
          </w:p>
        </w:tc>
      </w:tr>
      <w:tr w:rsidR="00F83F12">
        <w:tc>
          <w:tcPr>
            <w:tcW w:w="0" w:type="auto"/>
          </w:tcPr>
          <w:p w:rsidR="00F83F12" w:rsidRDefault="001C6219">
            <w:pPr>
              <w:pStyle w:val="P68B1DB1-Normal12"/>
              <w:spacing w:after="0"/>
              <w:jc w:val="left"/>
            </w:pPr>
            <w:r>
              <w:t>40</w:t>
            </w:r>
          </w:p>
        </w:tc>
        <w:tc>
          <w:tcPr>
            <w:tcW w:w="0" w:type="auto"/>
          </w:tcPr>
          <w:p w:rsidR="00F83F12" w:rsidRDefault="001C6219">
            <w:pPr>
              <w:pStyle w:val="P68B1DB1-Normal12"/>
              <w:spacing w:after="0"/>
              <w:jc w:val="left"/>
            </w:pPr>
            <w:r>
              <w:t>El apéndice 2 tiene una carga inferior a la del apéndice 1, dado que la sección C del apéndice 1 no está incluida en el apéndice 2. En estas circunstancias, ¿comprobarán los auditores y la Comisión las fuentes utilizadas y el método de cálculo adoptado antes de aprobar una OCS basada en la FNLTC?)</w:t>
            </w:r>
          </w:p>
        </w:tc>
        <w:tc>
          <w:tcPr>
            <w:tcW w:w="0" w:type="auto"/>
          </w:tcPr>
          <w:p w:rsidR="00F83F12" w:rsidRDefault="001C6219">
            <w:pPr>
              <w:pStyle w:val="P68B1DB1-Normal12"/>
              <w:spacing w:after="0"/>
              <w:jc w:val="left"/>
            </w:pPr>
            <w:r>
              <w:t>Sobre la base del artículo 95 del RDC, la Comisión aprobará el régimen y el importe global para su aplicación. Además, como se especifica en el considerando 34 del RDC: «debe garantizarse el respeto del principio de buena gestión financiera. En particular, por lo que se refiere a la idoneidad de los importes vinculados al cumplimiento de las condiciones respectivas o a la consecución de resultados, la Comisión y el Estado miembro deben velar por que los recursos empleados sean adecuados para las inversiones realizadas».</w:t>
            </w:r>
          </w:p>
          <w:p w:rsidR="00F83F12" w:rsidRDefault="00F83F12">
            <w:pPr>
              <w:spacing w:after="0"/>
              <w:jc w:val="left"/>
            </w:pPr>
          </w:p>
          <w:p w:rsidR="00F83F12" w:rsidRDefault="001C6219">
            <w:pPr>
              <w:pStyle w:val="P68B1DB1-Normal12"/>
              <w:spacing w:after="0"/>
              <w:jc w:val="left"/>
            </w:pPr>
            <w:r>
              <w:t xml:space="preserve">Esto significa que la Comisión debe acordar con los Estados miembros que el importe global vinculado al cumplimiento de las condiciones/resultados es adecuado. Esto implica un diálogo con los Estados miembros, </w:t>
            </w:r>
            <w:r w:rsidR="002F3719">
              <w:t xml:space="preserve">ya que, </w:t>
            </w:r>
            <w:r>
              <w:t>ambos tienen la responsabilidad de garantizar el respeto de la buena gestión financiera. El diálogo incluirá la presentación y el debate del método de cálculo que conduzca a un acuerdo global sobre los recursos empleados para la aplicación del régimen.</w:t>
            </w:r>
          </w:p>
        </w:tc>
      </w:tr>
      <w:tr w:rsidR="00F83F12">
        <w:tc>
          <w:tcPr>
            <w:tcW w:w="0" w:type="auto"/>
          </w:tcPr>
          <w:p w:rsidR="00F83F12" w:rsidRDefault="001C6219">
            <w:pPr>
              <w:pStyle w:val="P68B1DB1-Normal12"/>
              <w:spacing w:after="0"/>
              <w:jc w:val="left"/>
            </w:pPr>
            <w:r>
              <w:t>41</w:t>
            </w:r>
          </w:p>
        </w:tc>
        <w:tc>
          <w:tcPr>
            <w:tcW w:w="0" w:type="auto"/>
          </w:tcPr>
          <w:p w:rsidR="00F83F12" w:rsidRDefault="001C6219">
            <w:pPr>
              <w:pStyle w:val="P68B1DB1-Normal12"/>
              <w:spacing w:after="0"/>
              <w:jc w:val="left"/>
            </w:pPr>
            <w:r>
              <w:t>¿Es posible cumplimentar el anexo V, apéndice 1, con métodos de OCS que se prevé aplicar entre la AG y el beneficiario? Nos ayudaría con seguridad jurídica y, por supuesto, estaría precedida de una evaluación de la AA.</w:t>
            </w:r>
          </w:p>
          <w:p w:rsidR="00F83F12" w:rsidRDefault="00F83F12">
            <w:pPr>
              <w:spacing w:after="0"/>
              <w:jc w:val="left"/>
            </w:pPr>
          </w:p>
        </w:tc>
        <w:tc>
          <w:tcPr>
            <w:tcW w:w="0" w:type="auto"/>
          </w:tcPr>
          <w:p w:rsidR="00F83F12" w:rsidRDefault="001C6219">
            <w:pPr>
              <w:pStyle w:val="P68B1DB1-Normal12"/>
              <w:spacing w:after="0"/>
              <w:jc w:val="left"/>
            </w:pPr>
            <w:r>
              <w:t>El apéndice 1 debe utilizarse para las OCS con arreglo al artículo 94 del RDC (nivel COM-EM). Sin embargo, en caso de que la AG tenga previsto aplicar las mismas OCS a nivel de Estado miembro beneficiario (artículo 53 del RDC) también puede hacerlo.</w:t>
            </w:r>
          </w:p>
          <w:p w:rsidR="00F83F12" w:rsidRDefault="001C6219">
            <w:pPr>
              <w:pStyle w:val="P68B1DB1-Normal12"/>
              <w:spacing w:after="0"/>
              <w:jc w:val="left"/>
            </w:pPr>
            <w:r>
              <w:t>Véanse también las respuestas a las preguntas 15 y 19.</w:t>
            </w:r>
          </w:p>
        </w:tc>
      </w:tr>
      <w:tr w:rsidR="00F83F12">
        <w:tc>
          <w:tcPr>
            <w:tcW w:w="0" w:type="auto"/>
          </w:tcPr>
          <w:p w:rsidR="00F83F12" w:rsidRDefault="001C6219">
            <w:pPr>
              <w:pStyle w:val="P68B1DB1-Normal12"/>
              <w:spacing w:after="0"/>
              <w:jc w:val="left"/>
            </w:pPr>
            <w:r>
              <w:lastRenderedPageBreak/>
              <w:t>42</w:t>
            </w:r>
          </w:p>
        </w:tc>
        <w:tc>
          <w:tcPr>
            <w:tcW w:w="0" w:type="auto"/>
          </w:tcPr>
          <w:p w:rsidR="00F83F12" w:rsidRDefault="001C6219">
            <w:pPr>
              <w:pStyle w:val="P68B1DB1-Normal12"/>
              <w:spacing w:after="0"/>
              <w:jc w:val="left"/>
            </w:pPr>
            <w:r>
              <w:t>1) ¿es aceptable indicar en el apéndice 1 del anexo V del RDC las OCS ejecutadas de conformidad con el artículo 48 del RDC, incluidas las opciones listas para su uso o las OCS a escala de la UE del acto delegado de la CE?  </w:t>
            </w:r>
          </w:p>
          <w:p w:rsidR="00F83F12" w:rsidRDefault="00F83F12">
            <w:pPr>
              <w:spacing w:after="0"/>
              <w:jc w:val="left"/>
            </w:pPr>
          </w:p>
          <w:p w:rsidR="00F83F12" w:rsidRDefault="001C6219">
            <w:pPr>
              <w:pStyle w:val="P68B1DB1-Normal12"/>
              <w:spacing w:after="0"/>
              <w:jc w:val="left"/>
            </w:pPr>
            <w:r>
              <w:t>(2) ¿Está obligada a indicar en el apéndice 1 del anexo V del RDC un tipo fijo del 7 % de conformidad con el artículo 49 (1) (a) del RDC, que se considera un cumplimiento de la obligación de uso obligatorio de OCS (artículo 48, apartado 1, del RDC)?</w:t>
            </w:r>
          </w:p>
        </w:tc>
        <w:tc>
          <w:tcPr>
            <w:tcW w:w="0" w:type="auto"/>
          </w:tcPr>
          <w:p w:rsidR="00F83F12" w:rsidRDefault="001C6219">
            <w:pPr>
              <w:pStyle w:val="P68B1DB1-Normal12"/>
              <w:spacing w:after="0"/>
              <w:jc w:val="left"/>
            </w:pPr>
            <w:r>
              <w:t>1) no, las OCS que se ejecutarán exclusivamente de conformidad con el artículo 53 del RDC no se incluirán en el apéndice 1. Sin embargo, es posible que la misma OCS aplicada como modo de reembolso entre COM-EM también se aplique al Estado miembro beneficiario (artículo 53 del RDC). Además, las OCS a escala de la Unión que se establecerán mediante un acto delegado de conformidad con el artículo 94, apartado 4, del RDC tampoco tendrán que incluirse en el apéndice 1.</w:t>
            </w:r>
          </w:p>
          <w:p w:rsidR="00F83F12" w:rsidRDefault="00F83F12">
            <w:pPr>
              <w:spacing w:after="0"/>
              <w:jc w:val="left"/>
            </w:pPr>
          </w:p>
          <w:p w:rsidR="00F83F12" w:rsidRDefault="001C6219">
            <w:pPr>
              <w:pStyle w:val="P68B1DB1-Normal12"/>
              <w:spacing w:after="0"/>
              <w:jc w:val="left"/>
            </w:pPr>
            <w:r>
              <w:t>2) no, fuera de las opciones de almacenamiento mencionadas en los artículos 54 a 56 del RDC no deben incluirse en absoluto en el apéndice 1. Su seguridad jurídica está garantizada por las disposiciones del RDC (los Estados miembros no están obligados a confirmar que estos tipos son sustitutivos fiables de los costes de sus operaciones).</w:t>
            </w:r>
          </w:p>
        </w:tc>
      </w:tr>
      <w:tr w:rsidR="00F83F12">
        <w:tc>
          <w:tcPr>
            <w:tcW w:w="0" w:type="auto"/>
          </w:tcPr>
          <w:p w:rsidR="00F83F12" w:rsidRDefault="001C6219">
            <w:pPr>
              <w:pStyle w:val="P68B1DB1-Normal12"/>
              <w:spacing w:after="0"/>
              <w:jc w:val="left"/>
            </w:pPr>
            <w:r>
              <w:t>43</w:t>
            </w:r>
          </w:p>
        </w:tc>
        <w:tc>
          <w:tcPr>
            <w:tcW w:w="0" w:type="auto"/>
          </w:tcPr>
          <w:p w:rsidR="00F83F12" w:rsidRDefault="001C6219">
            <w:pPr>
              <w:pStyle w:val="P68B1DB1-Normal12"/>
              <w:spacing w:after="0"/>
              <w:jc w:val="left"/>
            </w:pPr>
            <w:r>
              <w:t>¿Puede utilizarse la misma plantilla utilizada para las OCS de conformidad con el artículo 88 también para la metodología de las OCS de conformidad con el artículo 48?</w:t>
            </w:r>
          </w:p>
          <w:p w:rsidR="00F83F12" w:rsidRDefault="00F83F12">
            <w:pPr>
              <w:spacing w:after="0"/>
              <w:jc w:val="left"/>
            </w:pPr>
          </w:p>
        </w:tc>
        <w:tc>
          <w:tcPr>
            <w:tcW w:w="0" w:type="auto"/>
          </w:tcPr>
          <w:p w:rsidR="00F83F12" w:rsidRDefault="001C6219">
            <w:pPr>
              <w:pStyle w:val="P68B1DB1-Normal12"/>
              <w:spacing w:after="0"/>
              <w:jc w:val="left"/>
            </w:pPr>
            <w:r>
              <w:t xml:space="preserve">No, el apéndice 1 solo se utiliza para las OCS en virtud del artículo 94 del RDC como modo de reembolso entre COM-EM y no es aplicable en el caso de las OCS con arreglo al artículo 53 del RDC (EM/beneficiario), </w:t>
            </w:r>
            <w:r w:rsidR="002F3719">
              <w:t xml:space="preserve">ya que, </w:t>
            </w:r>
            <w:r>
              <w:t>dichas OCS no se aprobarán en el marco del programa.</w:t>
            </w:r>
          </w:p>
          <w:p w:rsidR="00F83F12" w:rsidRDefault="00F83F12">
            <w:pPr>
              <w:spacing w:after="0"/>
              <w:jc w:val="left"/>
            </w:pPr>
          </w:p>
          <w:p w:rsidR="00F83F12" w:rsidRDefault="001C6219">
            <w:pPr>
              <w:pStyle w:val="P68B1DB1-Normal12"/>
              <w:spacing w:after="0"/>
              <w:jc w:val="left"/>
            </w:pPr>
            <w:r>
              <w:t>Véase también la aclaración de la pregunta 42.</w:t>
            </w:r>
          </w:p>
        </w:tc>
      </w:tr>
      <w:tr w:rsidR="00F83F12">
        <w:tc>
          <w:tcPr>
            <w:tcW w:w="0" w:type="auto"/>
          </w:tcPr>
          <w:p w:rsidR="00F83F12" w:rsidRDefault="001C6219">
            <w:pPr>
              <w:pStyle w:val="P68B1DB1-Normal12"/>
              <w:spacing w:after="0"/>
              <w:jc w:val="left"/>
            </w:pPr>
            <w:r>
              <w:t>44</w:t>
            </w:r>
          </w:p>
        </w:tc>
        <w:tc>
          <w:tcPr>
            <w:tcW w:w="0" w:type="auto"/>
          </w:tcPr>
          <w:p w:rsidR="00F83F12" w:rsidRDefault="001C6219">
            <w:pPr>
              <w:pStyle w:val="P68B1DB1-Normal12"/>
              <w:spacing w:after="0"/>
              <w:jc w:val="left"/>
            </w:pPr>
            <w:r>
              <w:t>Pregunta relacionada con el artículo 88 y los artículos 49 a 51? ¿Existe algún documento similar al anexo V, apéndice 1, que el Estado miembro debe cumplimentar y enviar a la CE o nada de lo que sea necesario?</w:t>
            </w:r>
          </w:p>
        </w:tc>
        <w:tc>
          <w:tcPr>
            <w:tcW w:w="0" w:type="auto"/>
          </w:tcPr>
          <w:p w:rsidR="00F83F12" w:rsidRDefault="001C6219">
            <w:pPr>
              <w:pStyle w:val="P68B1DB1-Normal12"/>
              <w:spacing w:after="0"/>
              <w:jc w:val="left"/>
            </w:pPr>
            <w:r>
              <w:t>No, las OCS que se aplicarán de conformidad con el artículo 53 del RDC no son aprobadas por la Comisión y, por consiguiente, no existe un modelo que presentar.</w:t>
            </w:r>
          </w:p>
          <w:p w:rsidR="00F83F12" w:rsidRDefault="00F83F12">
            <w:pPr>
              <w:spacing w:after="0"/>
              <w:jc w:val="left"/>
            </w:pPr>
          </w:p>
        </w:tc>
      </w:tr>
      <w:tr w:rsidR="00F83F12">
        <w:tc>
          <w:tcPr>
            <w:tcW w:w="0" w:type="auto"/>
          </w:tcPr>
          <w:p w:rsidR="00F83F12" w:rsidRDefault="001C6219">
            <w:pPr>
              <w:pStyle w:val="P68B1DB1-Normal12"/>
              <w:spacing w:after="0"/>
              <w:jc w:val="left"/>
            </w:pPr>
            <w:r>
              <w:t>45</w:t>
            </w:r>
          </w:p>
        </w:tc>
        <w:tc>
          <w:tcPr>
            <w:tcW w:w="0" w:type="auto"/>
          </w:tcPr>
          <w:p w:rsidR="00F83F12" w:rsidRDefault="001C6219">
            <w:pPr>
              <w:pStyle w:val="P68B1DB1-Normal12"/>
              <w:spacing w:after="0"/>
              <w:jc w:val="left"/>
            </w:pPr>
            <w:r>
              <w:t>LV: en lo que respecta a los proyectos de menos de 200 k- lo que la Comisión esperaría de los Estados miembros en relación con las metodologías en estos proyectos y si estas metodologías deberían incluirse en el anexo 5, dado que podría haber un gran número de metodologías</w:t>
            </w:r>
          </w:p>
        </w:tc>
        <w:tc>
          <w:tcPr>
            <w:tcW w:w="0" w:type="auto"/>
          </w:tcPr>
          <w:p w:rsidR="00F83F12" w:rsidRDefault="001C6219">
            <w:pPr>
              <w:pStyle w:val="P68B1DB1-Normal12"/>
              <w:spacing w:after="0"/>
              <w:jc w:val="left"/>
            </w:pPr>
            <w:r>
              <w:t>Véanse las respuestas a las preguntas 41 a 44.</w:t>
            </w:r>
          </w:p>
        </w:tc>
      </w:tr>
      <w:tr w:rsidR="00F83F12">
        <w:tc>
          <w:tcPr>
            <w:tcW w:w="0" w:type="auto"/>
          </w:tcPr>
          <w:p w:rsidR="00F83F12" w:rsidRDefault="001C6219">
            <w:pPr>
              <w:pStyle w:val="P68B1DB1-Normal12"/>
              <w:spacing w:after="0"/>
              <w:jc w:val="left"/>
            </w:pPr>
            <w:r>
              <w:t>46</w:t>
            </w:r>
          </w:p>
        </w:tc>
        <w:tc>
          <w:tcPr>
            <w:tcW w:w="0" w:type="auto"/>
          </w:tcPr>
          <w:p w:rsidR="00F83F12" w:rsidRDefault="001C6219">
            <w:pPr>
              <w:pStyle w:val="P68B1DB1-Normal12"/>
              <w:spacing w:after="0"/>
              <w:jc w:val="left"/>
            </w:pPr>
            <w:r>
              <w:t>Una guía práctica paso a paso/ejemplo de cómo un Estado miembro completa el apéndice I.</w:t>
            </w:r>
          </w:p>
        </w:tc>
        <w:tc>
          <w:tcPr>
            <w:tcW w:w="0" w:type="auto"/>
          </w:tcPr>
          <w:p w:rsidR="00F83F12" w:rsidRDefault="001C6219">
            <w:pPr>
              <w:spacing w:after="0"/>
              <w:jc w:val="left"/>
            </w:pPr>
            <w:r>
              <w:rPr>
                <w:rFonts w:ascii="Calibri" w:hAnsi="Calibri" w:cs="Calibri"/>
                <w:sz w:val="20"/>
              </w:rPr>
              <w:t>Este ejercicio se ha llevado a cabo en varias reuniones, especialmente en reuniones de profesionales del OCS del FEDER del FEDER</w:t>
            </w:r>
            <w:hyperlink r:id="rId464" w:anchor="1" w:history="1">
              <w:r>
                <w:rPr>
                  <w:rStyle w:val="Hipervnculo"/>
                  <w:rFonts w:ascii="Calibri" w:hAnsi="Calibri" w:cs="Calibri"/>
                  <w:sz w:val="20"/>
                </w:rPr>
                <w:t>[opciones de costes simplificados — Política regional — Comisión Europea (europa.eu)]</w:t>
              </w:r>
            </w:hyperlink>
            <w:r>
              <w:rPr>
                <w:rFonts w:ascii="Calibri" w:hAnsi="Calibri" w:cs="Calibri"/>
                <w:sz w:val="20"/>
              </w:rPr>
              <w:t>, así como en reuniones de la RET sobre simplificación para las autoridades del FSE.</w:t>
            </w:r>
          </w:p>
        </w:tc>
      </w:tr>
      <w:tr w:rsidR="00F83F12">
        <w:tc>
          <w:tcPr>
            <w:tcW w:w="0" w:type="auto"/>
          </w:tcPr>
          <w:p w:rsidR="00F83F12" w:rsidRDefault="001C6219">
            <w:pPr>
              <w:pStyle w:val="P68B1DB1-Normal12"/>
              <w:spacing w:after="0"/>
              <w:jc w:val="left"/>
            </w:pPr>
            <w:r>
              <w:t>47</w:t>
            </w:r>
          </w:p>
        </w:tc>
        <w:tc>
          <w:tcPr>
            <w:tcW w:w="0" w:type="auto"/>
          </w:tcPr>
          <w:p w:rsidR="00F83F12" w:rsidRDefault="001C6219">
            <w:pPr>
              <w:pStyle w:val="P68B1DB1-Normal12"/>
              <w:spacing w:after="0"/>
              <w:jc w:val="left"/>
            </w:pPr>
            <w:r>
              <w:t>¿Debe rellenarse la parte B del apéndice I varias veces si la metodología seleccionada aplica porcentajes diferentes en función del tamaño del proyecto pertinente?</w:t>
            </w:r>
          </w:p>
        </w:tc>
        <w:tc>
          <w:tcPr>
            <w:tcW w:w="0" w:type="auto"/>
          </w:tcPr>
          <w:p w:rsidR="00F83F12" w:rsidRDefault="001C6219">
            <w:pPr>
              <w:pStyle w:val="P68B1DB1-Normal12"/>
              <w:spacing w:after="0"/>
              <w:jc w:val="left"/>
            </w:pPr>
            <w:r>
              <w:t xml:space="preserve">En el caso de las operaciones que abarcan varias OCS que cubren diferentes categorías de costes, diferentes proyectos o fases sucesivas de una operación, deben rellenarse </w:t>
            </w:r>
            <w:r>
              <w:lastRenderedPageBreak/>
              <w:t>los campos 3 a 11 de la parte B del apéndice 1 para cada indicador que dé lugar al reembolso.</w:t>
            </w:r>
          </w:p>
        </w:tc>
      </w:tr>
      <w:tr w:rsidR="00F83F12">
        <w:tc>
          <w:tcPr>
            <w:tcW w:w="0" w:type="auto"/>
          </w:tcPr>
          <w:p w:rsidR="00F83F12" w:rsidRDefault="001C6219">
            <w:pPr>
              <w:pStyle w:val="P68B1DB1-Normal12"/>
              <w:spacing w:after="0"/>
              <w:jc w:val="left"/>
            </w:pPr>
            <w:r>
              <w:lastRenderedPageBreak/>
              <w:t>48</w:t>
            </w:r>
          </w:p>
        </w:tc>
        <w:tc>
          <w:tcPr>
            <w:tcW w:w="0" w:type="auto"/>
          </w:tcPr>
          <w:p w:rsidR="00F83F12" w:rsidRDefault="001C6219">
            <w:pPr>
              <w:pStyle w:val="P68B1DB1-Normal12"/>
              <w:spacing w:after="0"/>
              <w:jc w:val="left"/>
            </w:pPr>
            <w:r>
              <w:t>Cómo cumplimentar la primera parte del apéndice I en lo que respecta a las operaciones que utilizan diferentes OCS para cumplir acciones individuales.</w:t>
            </w:r>
          </w:p>
        </w:tc>
        <w:tc>
          <w:tcPr>
            <w:tcW w:w="0" w:type="auto"/>
          </w:tcPr>
          <w:p w:rsidR="00F83F12" w:rsidRDefault="001C6219">
            <w:pPr>
              <w:pStyle w:val="P68B1DB1-Normal12"/>
              <w:spacing w:after="0"/>
              <w:jc w:val="left"/>
            </w:pPr>
            <w:r>
              <w:t>En el apéndice 1 solo deben incluirse las OCS utilizadas para el reembolso por la Comisión a los Estados miembros, que deben calcularse sobre la base de la metodología indicada en el artículo 94, apartado 2, del RDC. La forma en que se reembolsará a los beneficiarios (OCS o costes realmente contraídos y pagados) es irrelevante a efectos del apéndice 1. A efectos de simplificación, la Comisión recomienda el uso de las mismas OCS como modo de reembolso entre COM-EM y a nivel EM-beneficiario.</w:t>
            </w:r>
          </w:p>
          <w:p w:rsidR="00F83F12" w:rsidRDefault="00F83F12">
            <w:pPr>
              <w:spacing w:after="0"/>
              <w:jc w:val="left"/>
            </w:pP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2928"/>
        <w:gridCol w:w="5147"/>
      </w:tblGrid>
      <w:tr w:rsidR="00F83F12">
        <w:tc>
          <w:tcPr>
            <w:tcW w:w="0" w:type="auto"/>
            <w:gridSpan w:val="3"/>
          </w:tcPr>
          <w:p w:rsidR="00F83F12" w:rsidRDefault="001C6219">
            <w:pPr>
              <w:pStyle w:val="P68B1DB1-Normal11"/>
              <w:spacing w:after="0"/>
              <w:jc w:val="left"/>
            </w:pPr>
            <w:r>
              <w:t>Evaluación previa de las OCS</w:t>
            </w:r>
          </w:p>
        </w:tc>
      </w:tr>
      <w:tr w:rsidR="00F83F12">
        <w:tc>
          <w:tcPr>
            <w:tcW w:w="0" w:type="auto"/>
          </w:tcPr>
          <w:p w:rsidR="00F83F12" w:rsidRDefault="001C6219">
            <w:pPr>
              <w:pStyle w:val="P68B1DB1-Normal12"/>
              <w:spacing w:after="0"/>
              <w:jc w:val="left"/>
            </w:pPr>
            <w:r>
              <w:t>49</w:t>
            </w:r>
          </w:p>
        </w:tc>
        <w:tc>
          <w:tcPr>
            <w:tcW w:w="0" w:type="auto"/>
          </w:tcPr>
          <w:p w:rsidR="00F83F12" w:rsidRDefault="001C6219">
            <w:pPr>
              <w:pStyle w:val="P68B1DB1-Normal12"/>
              <w:spacing w:after="0"/>
              <w:jc w:val="left"/>
            </w:pPr>
            <w:r>
              <w:t>¿Está previsto que todas las OCS para el período de financiación 2021-2027 sean aprobadas y certificadas por la autoridad de auditoría (o solo las que deban presentarse junto con el programa operativo)?</w:t>
            </w:r>
          </w:p>
          <w:p w:rsidR="00F83F12" w:rsidRDefault="00F83F12">
            <w:pPr>
              <w:spacing w:after="0"/>
              <w:jc w:val="left"/>
            </w:pPr>
          </w:p>
        </w:tc>
        <w:tc>
          <w:tcPr>
            <w:tcW w:w="0" w:type="auto"/>
          </w:tcPr>
          <w:p w:rsidR="00F83F12" w:rsidRDefault="001C6219">
            <w:pPr>
              <w:pStyle w:val="P68B1DB1-Normal12"/>
              <w:spacing w:after="0"/>
              <w:jc w:val="left"/>
            </w:pPr>
            <w:r>
              <w:t>Las OCS incluidas en el programa (artículo 94 del RDC) deben ser evaluadas por la AA antes de presentarlo a la Comisión. La AA no aprueba la OCS. La aprobación la lleva a cabo la Comisión, en el marco de la adopción del programa.</w:t>
            </w:r>
          </w:p>
          <w:p w:rsidR="00F83F12" w:rsidRDefault="00F83F12">
            <w:pPr>
              <w:spacing w:after="0"/>
              <w:jc w:val="left"/>
            </w:pPr>
          </w:p>
          <w:p w:rsidR="00F83F12" w:rsidRDefault="001C6219">
            <w:pPr>
              <w:pStyle w:val="P68B1DB1-Normal12"/>
              <w:spacing w:after="0"/>
              <w:jc w:val="left"/>
            </w:pPr>
            <w:r>
              <w:t>Las OCS en virtud del artículo 53 del RDC están sujetas a la evaluación periódica de riesgos de la AA (que abarca tanto las auditorías de sistemas como las auditorías de operaciones). Dependiendo de esta evaluación de riesgos, la AA puede prever una evaluación temprana (ex ante), una auditoría de sistemas o incluir un control de la metodología al auditar su muestra para las auditorías de operaciones.</w:t>
            </w:r>
          </w:p>
        </w:tc>
      </w:tr>
      <w:tr w:rsidR="00F83F12">
        <w:tc>
          <w:tcPr>
            <w:tcW w:w="0" w:type="auto"/>
          </w:tcPr>
          <w:p w:rsidR="00F83F12" w:rsidRDefault="001C6219">
            <w:pPr>
              <w:pStyle w:val="P68B1DB1-Normal12"/>
              <w:spacing w:after="0"/>
              <w:jc w:val="left"/>
            </w:pPr>
            <w:r>
              <w:t>50</w:t>
            </w:r>
          </w:p>
        </w:tc>
        <w:tc>
          <w:tcPr>
            <w:tcW w:w="0" w:type="auto"/>
          </w:tcPr>
          <w:p w:rsidR="00F83F12" w:rsidRDefault="001C6219">
            <w:pPr>
              <w:pStyle w:val="P68B1DB1-Normal12"/>
              <w:spacing w:after="0"/>
              <w:jc w:val="left"/>
            </w:pPr>
            <w:r>
              <w:t>Dado el carácter voluntario de las OCS y el carácter no vinculante de la evaluación ex ante de la metodología de las OCS basada en el artículo 48 del AA, ¿es posible imponer a la AG la obligación de utilizar esta herramienta?</w:t>
            </w:r>
          </w:p>
          <w:p w:rsidR="00F83F12" w:rsidRDefault="00F83F12">
            <w:pPr>
              <w:spacing w:after="0"/>
              <w:jc w:val="left"/>
            </w:pPr>
          </w:p>
        </w:tc>
        <w:tc>
          <w:tcPr>
            <w:tcW w:w="0" w:type="auto"/>
          </w:tcPr>
          <w:p w:rsidR="00F83F12" w:rsidRDefault="001C6219">
            <w:pPr>
              <w:pStyle w:val="P68B1DB1-Normal12"/>
              <w:spacing w:after="0"/>
              <w:jc w:val="left"/>
            </w:pPr>
            <w:r>
              <w:t>La evaluación AA ex ante de las metodologías de OCS desarrolladas en virtud del artículo 53 del RDC no es obligatoria (tampoco era obligatoria en el período de programación 2014-2020).</w:t>
            </w:r>
          </w:p>
          <w:p w:rsidR="00F83F12" w:rsidRDefault="00F83F12">
            <w:pPr>
              <w:spacing w:after="0"/>
              <w:jc w:val="left"/>
            </w:pPr>
          </w:p>
          <w:p w:rsidR="00F83F12" w:rsidRDefault="001C6219">
            <w:pPr>
              <w:pStyle w:val="P68B1DB1-Normal12"/>
              <w:spacing w:after="0"/>
              <w:jc w:val="left"/>
            </w:pPr>
            <w:r>
              <w:t>Por lo que se refiere a la necesidad de una evaluación de auditoría ex ante del artículo 53 del RDC, véase la respuesta a la pregunta 49. La necesidad de una auditoría temprana se decidirá con la evaluación general del riesgo de auditoría y el plan de auditoría de la AA, que tendrá en cuenta las características de todas las medidas financiadas en el marco del programa.</w:t>
            </w:r>
          </w:p>
        </w:tc>
      </w:tr>
      <w:tr w:rsidR="00F83F12">
        <w:tc>
          <w:tcPr>
            <w:tcW w:w="0" w:type="auto"/>
          </w:tcPr>
          <w:p w:rsidR="00F83F12" w:rsidRDefault="001C6219">
            <w:pPr>
              <w:pStyle w:val="P68B1DB1-Normal12"/>
              <w:spacing w:after="0"/>
              <w:jc w:val="left"/>
            </w:pPr>
            <w:r>
              <w:t>51</w:t>
            </w:r>
          </w:p>
        </w:tc>
        <w:tc>
          <w:tcPr>
            <w:tcW w:w="0" w:type="auto"/>
          </w:tcPr>
          <w:p w:rsidR="00F83F12" w:rsidRDefault="001C6219">
            <w:pPr>
              <w:pStyle w:val="P68B1DB1-Normal12"/>
              <w:spacing w:after="0"/>
              <w:jc w:val="left"/>
            </w:pPr>
            <w:r>
              <w:t>¿Es posible realizar conjuntamente la evaluación ex ante de la metodología de las OCS (fuera del anexo V) sobre la base del artículo 48, con los representantes/auditores de la CE? En tal caso, ¿qué organismo lleva a cabo la evaluación ex ante «oficialmente»? ¿Es AA o CE?</w:t>
            </w:r>
          </w:p>
          <w:p w:rsidR="00F83F12" w:rsidRDefault="00F83F12">
            <w:pPr>
              <w:spacing w:after="0"/>
              <w:jc w:val="left"/>
            </w:pPr>
          </w:p>
        </w:tc>
        <w:tc>
          <w:tcPr>
            <w:tcW w:w="0" w:type="auto"/>
          </w:tcPr>
          <w:p w:rsidR="00F83F12" w:rsidRDefault="001C6219">
            <w:pPr>
              <w:pStyle w:val="P68B1DB1-Normal12"/>
              <w:spacing w:after="0"/>
              <w:jc w:val="left"/>
            </w:pPr>
            <w:r>
              <w:t>Mientras que en el período de programación 2014-2020 la Comisión ofreció esta posibilidad, por el momento no se prevén auditorías conjuntas centradas en las OCS para el período de programación 2021-2027.</w:t>
            </w:r>
          </w:p>
          <w:p w:rsidR="00F83F12" w:rsidRDefault="001C6219">
            <w:pPr>
              <w:pStyle w:val="P68B1DB1-Normal12"/>
              <w:spacing w:after="0"/>
              <w:jc w:val="left"/>
            </w:pPr>
            <w:r>
              <w:t>En el caso de las OCS con arreglo al artículo 94 del RDC, la Comisión aprobará el programa, incluidas las metodologías de OCS desarrolladas. Como parte del proceso de aprobación, se revisan las OCS, incluida la evaluación ex ante facilitada por la AA.</w:t>
            </w:r>
          </w:p>
          <w:p w:rsidR="00F83F12" w:rsidRDefault="001C6219">
            <w:pPr>
              <w:pStyle w:val="P68B1DB1-Normal12"/>
              <w:spacing w:after="0"/>
              <w:jc w:val="left"/>
            </w:pPr>
            <w:r>
              <w:t xml:space="preserve">Los servicios de la Comisión están disponibles en caso de preguntas y solicitudes de interpretación, tanto para las </w:t>
            </w:r>
            <w:r>
              <w:lastRenderedPageBreak/>
              <w:t>autoridades de gestión como para las autoridades de auditoría.</w:t>
            </w:r>
          </w:p>
        </w:tc>
      </w:tr>
      <w:tr w:rsidR="00F83F12">
        <w:tc>
          <w:tcPr>
            <w:tcW w:w="0" w:type="auto"/>
          </w:tcPr>
          <w:p w:rsidR="00F83F12" w:rsidRDefault="001C6219">
            <w:pPr>
              <w:pStyle w:val="P68B1DB1-Normal12"/>
              <w:spacing w:after="0"/>
              <w:jc w:val="left"/>
            </w:pPr>
            <w:r>
              <w:lastRenderedPageBreak/>
              <w:t>52</w:t>
            </w:r>
          </w:p>
        </w:tc>
        <w:tc>
          <w:tcPr>
            <w:tcW w:w="0" w:type="auto"/>
          </w:tcPr>
          <w:p w:rsidR="00F83F12" w:rsidRDefault="001C6219">
            <w:pPr>
              <w:pStyle w:val="P68B1DB1-Normal12"/>
              <w:spacing w:after="0"/>
              <w:jc w:val="left"/>
            </w:pPr>
            <w:r>
              <w:t>¿Dónde se encuentra la línea fronteriza entre la metodología de las OCS y otros documentos justificativos? ¿La evaluación ex ante de la AA debe centrarse únicamente en la metodología o debe referirse también al contexto más amplio de la operación, por ejemplo, el contenido de la operación, el grupo destinatario, los beneficiarios, las actividades, la publicidad, las ayudas estatales, la recopilación de datos, la contratación pública, la protección de datos personales, etc.?</w:t>
            </w:r>
          </w:p>
        </w:tc>
        <w:tc>
          <w:tcPr>
            <w:tcW w:w="0" w:type="auto"/>
          </w:tcPr>
          <w:p w:rsidR="00F83F12" w:rsidRDefault="001C6219">
            <w:pPr>
              <w:pStyle w:val="P68B1DB1-Normal12"/>
              <w:spacing w:after="0"/>
              <w:jc w:val="left"/>
            </w:pPr>
            <w:r>
              <w:t>En el caso de las OCS desarrolladas en virtud del artículo 94 del RDC, el apéndice 1 requiere la información necesaria para evaluar la metodología (detalles sobre el funcionamiento, posibles incentivos o problemas perversos, etc.). La AA debe evaluar toda la documentación pertinente para la OCS propuesta. </w:t>
            </w:r>
          </w:p>
        </w:tc>
      </w:tr>
      <w:tr w:rsidR="00F83F12">
        <w:tc>
          <w:tcPr>
            <w:tcW w:w="0" w:type="auto"/>
          </w:tcPr>
          <w:p w:rsidR="00F83F12" w:rsidRDefault="001C6219">
            <w:pPr>
              <w:pStyle w:val="P68B1DB1-Normal12"/>
              <w:spacing w:after="0"/>
              <w:jc w:val="left"/>
            </w:pPr>
            <w:r>
              <w:t>53</w:t>
            </w:r>
          </w:p>
        </w:tc>
        <w:tc>
          <w:tcPr>
            <w:tcW w:w="0" w:type="auto"/>
          </w:tcPr>
          <w:p w:rsidR="00F83F12" w:rsidRDefault="001C6219">
            <w:pPr>
              <w:pStyle w:val="P68B1DB1-Normal12"/>
              <w:spacing w:after="0"/>
              <w:jc w:val="left"/>
            </w:pPr>
            <w:r>
              <w:t>¿En qué medida deberían reevaluarse las metodologías ya utilizadas?</w:t>
            </w:r>
          </w:p>
        </w:tc>
        <w:tc>
          <w:tcPr>
            <w:tcW w:w="0" w:type="auto"/>
          </w:tcPr>
          <w:p w:rsidR="00F83F12" w:rsidRDefault="001C6219">
            <w:pPr>
              <w:pStyle w:val="P68B1DB1-Normal12"/>
              <w:spacing w:after="0"/>
              <w:jc w:val="left"/>
            </w:pPr>
            <w:r>
              <w:t xml:space="preserve">Tal como exige el RDC, las metodologías para las OCS con arreglo al artículo 94 del RDC deben ser evaluadas por la AA. Incluso si se utilizan metodologías, deben volver a confirmarse, </w:t>
            </w:r>
            <w:r w:rsidR="002F3719">
              <w:t xml:space="preserve">ya que, </w:t>
            </w:r>
            <w:r>
              <w:t>pueden existir elementos que deban actualizarse para que las OCS sigan constituyendo un indicador fiable de los costes reales. La evaluación de la AA debe presentarse junto con el apéndice 1.</w:t>
            </w:r>
          </w:p>
          <w:p w:rsidR="00F83F12" w:rsidRDefault="001C6219">
            <w:pPr>
              <w:pStyle w:val="P68B1DB1-Normal12"/>
              <w:spacing w:after="0"/>
              <w:jc w:val="left"/>
            </w:pPr>
            <w:r>
              <w:t>Como se aclara en la lista de comprobación de las OCS de la Comisión:</w:t>
            </w:r>
          </w:p>
          <w:p w:rsidR="00F83F12" w:rsidRDefault="001C6219">
            <w:pPr>
              <w:pStyle w:val="P68B1DB1-Normal12"/>
              <w:spacing w:after="0"/>
              <w:jc w:val="left"/>
            </w:pPr>
            <w:r>
              <w:t>«Téngase en cuenta que, de conformidad con el artículo 49 del RDC, cuando un Estado miembro haya calculado un tipo fijo para los costes indirectos sobre la base de los costes directos subvencionables de conformidad con el artículo 67, apartado 5, letra a), del Reglamento (UE) n.º 1303/2013 (método de cálculo justo, equitativo y verificable), dicho tipo fijo podrá utilizarse para una operación similar para el período de programación 2021-2027.</w:t>
            </w:r>
          </w:p>
          <w:p w:rsidR="00F83F12" w:rsidRDefault="001C6219">
            <w:pPr>
              <w:pStyle w:val="P68B1DB1-Normal12"/>
              <w:spacing w:after="0"/>
              <w:jc w:val="left"/>
            </w:pPr>
            <w:r>
              <w:t>En caso de que la AG considere que cualquier otra metodología de OCS desarrollada para el período 2014-2020 también es pertinente para el período 2021-2027 (no hay cambios importantes ni cambios jurídicos que requieran un cambio de metodología), la AA puede basarse en la garantía obtenida con dicha metodología en sus auditorías anteriores. En tal caso, el análisis adicional de la AA para las OCS 2021-2027 podría limitarse (en particular, para garantizar que la antigua metodología se ajusta al nuevo marco jurídico y confirmar que no hay cambios importantes que requieran un cambio de metodología).»</w:t>
            </w:r>
          </w:p>
          <w:p w:rsidR="00F83F12" w:rsidRDefault="001C6219">
            <w:pPr>
              <w:spacing w:after="0"/>
              <w:jc w:val="left"/>
            </w:pPr>
            <w:r>
              <w:rPr>
                <w:rFonts w:ascii="Calibri" w:hAnsi="Calibri" w:cs="Calibri"/>
                <w:sz w:val="20"/>
              </w:rPr>
              <w:t xml:space="preserve">En el caso del FSE, esto se aplica, en particular, a los costes unitarios y las cantidades a tanto alzado adoptados mediante un acto delegado (véase el </w:t>
            </w:r>
            <w:hyperlink r:id="rId465" w:history="1">
              <w:r>
                <w:rPr>
                  <w:rStyle w:val="Hipervnculo"/>
                  <w:rFonts w:ascii="Calibri" w:hAnsi="Calibri" w:cs="Calibri"/>
                  <w:sz w:val="20"/>
                </w:rPr>
                <w:t>Reglamento Delegado de la Comisión (UE) 2015/2195 de 9 de julio de 2015,</w:t>
              </w:r>
            </w:hyperlink>
            <w:r>
              <w:rPr>
                <w:rFonts w:ascii="Calibri" w:hAnsi="Calibri" w:cs="Calibri"/>
                <w:sz w:val="20"/>
              </w:rPr>
              <w:t xml:space="preserve"> modificado en 9 ocasiones — https-//ec.europa.eu/esf/main.jsp?catId=1490&amp;langId=en</w:t>
            </w:r>
            <w:hyperlink r:id="rId466" w:history="1">
              <w:r>
                <w:rPr>
                  <w:rStyle w:val="Hipervnculo"/>
                  <w:rFonts w:ascii="Calibri" w:hAnsi="Calibri" w:cs="Calibri"/>
                  <w:sz w:val="20"/>
                </w:rPr>
                <w:t>)</w:t>
              </w:r>
            </w:hyperlink>
            <w:r>
              <w:rPr>
                <w:rFonts w:ascii="Calibri" w:hAnsi="Calibri" w:cs="Calibri"/>
                <w:sz w:val="20"/>
              </w:rPr>
              <w:t>.</w:t>
            </w:r>
          </w:p>
          <w:p w:rsidR="00F83F12" w:rsidRDefault="00F83F12">
            <w:pPr>
              <w:spacing w:after="0"/>
              <w:jc w:val="left"/>
            </w:pP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4003"/>
        <w:gridCol w:w="4072"/>
      </w:tblGrid>
      <w:tr w:rsidR="00F83F12">
        <w:tc>
          <w:tcPr>
            <w:tcW w:w="0" w:type="auto"/>
            <w:gridSpan w:val="3"/>
          </w:tcPr>
          <w:p w:rsidR="00F83F12" w:rsidRDefault="001C6219">
            <w:pPr>
              <w:pStyle w:val="P68B1DB1-Normal11"/>
              <w:spacing w:after="0"/>
              <w:jc w:val="left"/>
            </w:pPr>
            <w:r>
              <w:lastRenderedPageBreak/>
              <w:t>Auditoría de las OCS</w:t>
            </w:r>
          </w:p>
        </w:tc>
      </w:tr>
      <w:tr w:rsidR="00F83F12">
        <w:tc>
          <w:tcPr>
            <w:tcW w:w="0" w:type="auto"/>
          </w:tcPr>
          <w:p w:rsidR="00F83F12" w:rsidRDefault="001C6219">
            <w:pPr>
              <w:pStyle w:val="P68B1DB1-Normal12"/>
              <w:spacing w:after="0"/>
              <w:jc w:val="left"/>
            </w:pPr>
            <w:r>
              <w:t>54</w:t>
            </w:r>
          </w:p>
        </w:tc>
        <w:tc>
          <w:tcPr>
            <w:tcW w:w="0" w:type="auto"/>
          </w:tcPr>
          <w:p w:rsidR="00F83F12" w:rsidRDefault="001C6219">
            <w:pPr>
              <w:pStyle w:val="P68B1DB1-Normal12"/>
              <w:spacing w:after="0"/>
              <w:jc w:val="left"/>
            </w:pPr>
            <w:r>
              <w:t>¿Cuál es el alcance del papel de la AA en la preparación y aprobación de OCS a medida (costes unitarios, tipos fijos, etc.) y en la prestación de seguridad y garantías a los socios del proyecto antes de incurrir en costes? En los programas actuales, el papel de la AA se ha centrado en la auditoría de las OCS, pero esto ha creado varios problemas.</w:t>
            </w:r>
          </w:p>
        </w:tc>
        <w:tc>
          <w:tcPr>
            <w:tcW w:w="0" w:type="auto"/>
          </w:tcPr>
          <w:p w:rsidR="00F83F12" w:rsidRDefault="001C6219">
            <w:pPr>
              <w:pStyle w:val="P68B1DB1-Normal12"/>
              <w:spacing w:after="0"/>
              <w:jc w:val="left"/>
            </w:pPr>
            <w:r>
              <w:t>La decisión y la responsabilidad del desarrollo de un régimen de OCS recae en la AG, no en la AA. Por lo que se refiere a las OCS con arreglo al artículo [94 del RDC], antes de la presentación del programa a la Comisión, la AA llevará a cabo una evaluación de la metodología de cálculo, los importes y las disposiciones para garantizar la verificación, la calidad, la recogida y el almacenamiento de los datos. La Comisión revisará esta evaluación junto con la metodología de las OCS presentada y aprobará las OCS como parte del programa.</w:t>
            </w:r>
          </w:p>
          <w:p w:rsidR="00F83F12" w:rsidRDefault="00F83F12">
            <w:pPr>
              <w:spacing w:after="0"/>
              <w:jc w:val="left"/>
            </w:pPr>
          </w:p>
          <w:p w:rsidR="00F83F12" w:rsidRDefault="001C6219">
            <w:pPr>
              <w:pStyle w:val="P68B1DB1-Normal12"/>
              <w:spacing w:after="0"/>
              <w:jc w:val="left"/>
            </w:pPr>
            <w:r>
              <w:t>Por lo que se refiere a las OCS con arreglo al artículo 53 del RDC, véase la respuesta a la pregunta 49.</w:t>
            </w:r>
          </w:p>
        </w:tc>
      </w:tr>
      <w:tr w:rsidR="00F83F12">
        <w:tc>
          <w:tcPr>
            <w:tcW w:w="0" w:type="auto"/>
          </w:tcPr>
          <w:p w:rsidR="00F83F12" w:rsidRDefault="001C6219">
            <w:pPr>
              <w:pStyle w:val="P68B1DB1-Normal12"/>
              <w:spacing w:after="0"/>
              <w:jc w:val="left"/>
            </w:pPr>
            <w:r>
              <w:t>55</w:t>
            </w:r>
          </w:p>
        </w:tc>
        <w:tc>
          <w:tcPr>
            <w:tcW w:w="0" w:type="auto"/>
          </w:tcPr>
          <w:p w:rsidR="00F83F12" w:rsidRDefault="001C6219">
            <w:pPr>
              <w:pStyle w:val="P68B1DB1-Normal12"/>
              <w:spacing w:after="0"/>
              <w:jc w:val="left"/>
            </w:pPr>
            <w:r>
              <w:t>¿Puede la Comisión presentar una lista de control actualizada sobre cómo se llevarán a cabo las auditorías?</w:t>
            </w:r>
          </w:p>
          <w:p w:rsidR="00F83F12" w:rsidRDefault="00F83F12">
            <w:pPr>
              <w:spacing w:after="0"/>
              <w:jc w:val="left"/>
            </w:pPr>
          </w:p>
        </w:tc>
        <w:tc>
          <w:tcPr>
            <w:tcW w:w="0" w:type="auto"/>
          </w:tcPr>
          <w:p w:rsidR="00F83F12" w:rsidRDefault="001C6219">
            <w:pPr>
              <w:pStyle w:val="P68B1DB1-Normal12"/>
              <w:spacing w:after="0"/>
              <w:jc w:val="left"/>
            </w:pPr>
            <w:r>
              <w:t>La Comisión compartió su proyecto de lista de control de las OCS para el período de programación 2021-2027 con las autoridades de auditoría el 15/12/2020. La versión final se distribuyó en la reunión con las autoridades de auditoría de 12/03/2021. También se compartió con las autoridades de gestión en la</w:t>
            </w:r>
            <w:r w:rsidRPr="00767CF5">
              <w:t>8.a</w:t>
            </w:r>
            <w:r>
              <w:t xml:space="preserve"> reunión de la red transnacional de profesionales del FEDER/FC (Opciones de costes simplificados — Política regional — Comisión Europea (europa.eu)).</w:t>
            </w:r>
          </w:p>
        </w:tc>
      </w:tr>
      <w:tr w:rsidR="00F83F12">
        <w:tc>
          <w:tcPr>
            <w:tcW w:w="0" w:type="auto"/>
          </w:tcPr>
          <w:p w:rsidR="00F83F12" w:rsidRDefault="001C6219">
            <w:pPr>
              <w:pStyle w:val="P68B1DB1-Normal12"/>
              <w:spacing w:after="0"/>
              <w:jc w:val="left"/>
            </w:pPr>
            <w:r>
              <w:t>56</w:t>
            </w:r>
          </w:p>
        </w:tc>
        <w:tc>
          <w:tcPr>
            <w:tcW w:w="0" w:type="auto"/>
          </w:tcPr>
          <w:p w:rsidR="00F83F12" w:rsidRDefault="001C6219">
            <w:pPr>
              <w:pStyle w:val="P68B1DB1-Normal12"/>
              <w:spacing w:after="0"/>
              <w:jc w:val="left"/>
            </w:pPr>
            <w:r>
              <w:t>Si en la lista de control de la Comisión existen requisitos mínimos de preguntas que la AA debe abordar, ¿cuál podría ser el máximo, por ejemplo: en caso de que se utilicen los datos estadísticos, la AA podría, en realidad, basarse en ellos?</w:t>
            </w:r>
          </w:p>
        </w:tc>
        <w:tc>
          <w:tcPr>
            <w:tcW w:w="0" w:type="auto"/>
          </w:tcPr>
          <w:p w:rsidR="00F83F12" w:rsidRDefault="001C6219">
            <w:pPr>
              <w:pStyle w:val="P68B1DB1-Normal12"/>
              <w:spacing w:after="0"/>
              <w:jc w:val="left"/>
            </w:pPr>
            <w:r>
              <w:t>Véase la respuesta a las preguntas 58 y 59.</w:t>
            </w:r>
          </w:p>
        </w:tc>
      </w:tr>
      <w:tr w:rsidR="00F83F12">
        <w:tc>
          <w:tcPr>
            <w:tcW w:w="0" w:type="auto"/>
          </w:tcPr>
          <w:p w:rsidR="00F83F12" w:rsidRDefault="001C6219">
            <w:pPr>
              <w:pStyle w:val="P68B1DB1-Normal12"/>
              <w:spacing w:after="0"/>
              <w:jc w:val="left"/>
            </w:pPr>
            <w:r>
              <w:t>57</w:t>
            </w:r>
          </w:p>
        </w:tc>
        <w:tc>
          <w:tcPr>
            <w:tcW w:w="0" w:type="auto"/>
          </w:tcPr>
          <w:p w:rsidR="00F83F12" w:rsidRDefault="001C6219">
            <w:pPr>
              <w:pStyle w:val="P68B1DB1-Normal12"/>
              <w:spacing w:after="0"/>
              <w:jc w:val="left"/>
            </w:pPr>
            <w:r>
              <w:t>¿Cuáles son las lecciones extraídas de la reunión técnica de la Unidad de Auditoría de la CE y las autoridades de auditoría?</w:t>
            </w:r>
          </w:p>
        </w:tc>
        <w:tc>
          <w:tcPr>
            <w:tcW w:w="0" w:type="auto"/>
          </w:tcPr>
          <w:p w:rsidR="00F83F12" w:rsidRDefault="001C6219">
            <w:pPr>
              <w:pStyle w:val="P68B1DB1-Normal12"/>
              <w:spacing w:after="0"/>
              <w:jc w:val="left"/>
            </w:pPr>
            <w:r>
              <w:t xml:space="preserve">En las reuniones técnicas de 15/12/2020 y 12/03/2021, la AA y la Comisión acordaron el trabajo mínimo de auditoría que debía realizarse para las OCS en virtud del artículo 94 del RDC. Estas reuniones técnicas se centraron en la lista de comprobación de la metodología que debe aplicarse durante la evaluación de las OCS con arreglo al artículo 94 del RDC (y otros trabajos de auditoría para las OCS) y en el modelo de evaluación que debe incluirse en los programas de la parte C, sección 5, del apéndice 1. Aunque la lista de control y el modelo no son jurídicamente vinculantes ni obligatorios, se recomienda encarecidamente a las autoridades de auditoría que las utilicen (o que las traten como requisitos mínimos) para acelerar la evaluación y la aprobación de las OCS por parte de la Comisión. En particular, la utilización del modelo de evaluación dará lugar a una reducción o ausencia de la necesidad de solicitar a las autoridades de auditoría </w:t>
            </w:r>
            <w:r>
              <w:lastRenderedPageBreak/>
              <w:t>confirmaciones adicionales en relación con el alcance del trabajo de auditoría y las conclusiones alcanzadas.</w:t>
            </w:r>
          </w:p>
        </w:tc>
      </w:tr>
      <w:tr w:rsidR="00F83F12">
        <w:tc>
          <w:tcPr>
            <w:tcW w:w="0" w:type="auto"/>
          </w:tcPr>
          <w:p w:rsidR="00F83F12" w:rsidRDefault="001C6219">
            <w:pPr>
              <w:pStyle w:val="P68B1DB1-Normal12"/>
              <w:spacing w:after="0"/>
              <w:jc w:val="left"/>
            </w:pPr>
            <w:r>
              <w:lastRenderedPageBreak/>
              <w:t>58</w:t>
            </w:r>
          </w:p>
        </w:tc>
        <w:tc>
          <w:tcPr>
            <w:tcW w:w="0" w:type="auto"/>
          </w:tcPr>
          <w:p w:rsidR="00F83F12" w:rsidRDefault="001C6219">
            <w:pPr>
              <w:pStyle w:val="P68B1DB1-Normal12"/>
              <w:spacing w:after="0"/>
              <w:jc w:val="left"/>
            </w:pPr>
            <w:r>
              <w:t>¿Es obligatorio que la AA siga la lista de comprobación y el modelo para la evaluación de la auditoría? ¿Deben respetarse los requisitos mínimos? ¿Podrían/deberían añadirse otras preguntas?</w:t>
            </w:r>
          </w:p>
        </w:tc>
        <w:tc>
          <w:tcPr>
            <w:tcW w:w="0" w:type="auto"/>
          </w:tcPr>
          <w:p w:rsidR="00F83F12" w:rsidRDefault="001C6219">
            <w:pPr>
              <w:pStyle w:val="P68B1DB1-Normal12"/>
              <w:spacing w:after="0"/>
              <w:jc w:val="left"/>
            </w:pPr>
            <w:r>
              <w:t>La Comisión y las autoridades de auditoría acordaron la lista de control y el modelo para la evaluación de auditoría durante la reunión técnica de 12/03/2021. No son jurídicamente vinculantes; sin embargo, si no se siguen, la Comisión puede solicitar información adicional para garantizar que se han verificado todos los requisitos legales y poder aprobar el régimen de OCS con arreglo al artículo 94 del RDC.</w:t>
            </w:r>
          </w:p>
          <w:p w:rsidR="00F83F12" w:rsidRDefault="00F83F12">
            <w:pPr>
              <w:spacing w:after="0"/>
              <w:jc w:val="left"/>
            </w:pPr>
          </w:p>
          <w:p w:rsidR="00F83F12" w:rsidRDefault="001C6219">
            <w:pPr>
              <w:pStyle w:val="P68B1DB1-Normal12"/>
              <w:spacing w:after="0"/>
              <w:jc w:val="left"/>
            </w:pPr>
            <w:r>
              <w:t>Para las dos preguntas restantes, véase la respuesta a la pregunta 59.</w:t>
            </w:r>
          </w:p>
        </w:tc>
      </w:tr>
      <w:tr w:rsidR="00F83F12">
        <w:tc>
          <w:tcPr>
            <w:tcW w:w="0" w:type="auto"/>
          </w:tcPr>
          <w:p w:rsidR="00F83F12" w:rsidRDefault="001C6219">
            <w:pPr>
              <w:pStyle w:val="P68B1DB1-Normal12"/>
              <w:spacing w:after="0"/>
              <w:jc w:val="left"/>
            </w:pPr>
            <w:r>
              <w:t>59</w:t>
            </w:r>
          </w:p>
        </w:tc>
        <w:tc>
          <w:tcPr>
            <w:tcW w:w="0" w:type="auto"/>
          </w:tcPr>
          <w:p w:rsidR="00F83F12" w:rsidRDefault="001C6219">
            <w:pPr>
              <w:pStyle w:val="P68B1DB1-Normal12"/>
              <w:spacing w:after="0"/>
              <w:jc w:val="left"/>
            </w:pPr>
            <w:r>
              <w:t xml:space="preserve">¿Puede completar la lista de control elaborada por la Comisión la AA del Estado miembro durante la evaluación de una OCS, </w:t>
            </w:r>
            <w:r w:rsidR="002F3719">
              <w:t xml:space="preserve">ya que, </w:t>
            </w:r>
            <w:r>
              <w:t>actualmente su formato es demasiado general</w:t>
            </w:r>
          </w:p>
        </w:tc>
        <w:tc>
          <w:tcPr>
            <w:tcW w:w="0" w:type="auto"/>
          </w:tcPr>
          <w:p w:rsidR="00F83F12" w:rsidRDefault="001C6219">
            <w:pPr>
              <w:pStyle w:val="P68B1DB1-Normal12"/>
              <w:spacing w:after="0"/>
              <w:jc w:val="left"/>
            </w:pPr>
            <w:r>
              <w:t>La lista de control se acuerda entre las autoridades de auditoría y la Comisión como base mínima para la evaluación. Las autoridades de auditoría pueden seguir desarrollándolo para satisfacer sus necesidades.</w:t>
            </w:r>
          </w:p>
        </w:tc>
      </w:tr>
      <w:tr w:rsidR="00F83F12">
        <w:tc>
          <w:tcPr>
            <w:tcW w:w="0" w:type="auto"/>
          </w:tcPr>
          <w:p w:rsidR="00F83F12" w:rsidRDefault="001C6219">
            <w:pPr>
              <w:pStyle w:val="P68B1DB1-Normal12"/>
              <w:spacing w:after="0"/>
              <w:jc w:val="left"/>
            </w:pPr>
            <w:r>
              <w:t>60</w:t>
            </w:r>
          </w:p>
        </w:tc>
        <w:tc>
          <w:tcPr>
            <w:tcW w:w="0" w:type="auto"/>
          </w:tcPr>
          <w:p w:rsidR="00F83F12" w:rsidRDefault="001C6219">
            <w:pPr>
              <w:pStyle w:val="P68B1DB1-Normal12"/>
              <w:spacing w:after="0"/>
              <w:jc w:val="left"/>
            </w:pPr>
            <w:r>
              <w:t>Lista de comprobación — sección 1.2, (vii) — AT — para los programas Interreg es obligatorio utilizar una cantidad a tanto alzado para la asistencia técnica, en caso de que la AA siga comprobando este extremo (parte 1 de la lista de comprobación, que se refiere a la metodología de las OCS y no a la aplicación)</w:t>
            </w:r>
          </w:p>
        </w:tc>
        <w:tc>
          <w:tcPr>
            <w:tcW w:w="0" w:type="auto"/>
          </w:tcPr>
          <w:p w:rsidR="00F83F12" w:rsidRDefault="001C6219">
            <w:pPr>
              <w:pStyle w:val="P68B1DB1-Normal12"/>
              <w:spacing w:after="0"/>
              <w:jc w:val="left"/>
            </w:pPr>
            <w:r>
              <w:t>No, no debería hacerlo.</w:t>
            </w:r>
          </w:p>
        </w:tc>
      </w:tr>
      <w:tr w:rsidR="00F83F12">
        <w:tc>
          <w:tcPr>
            <w:tcW w:w="0" w:type="auto"/>
          </w:tcPr>
          <w:p w:rsidR="00F83F12" w:rsidRDefault="001C6219">
            <w:pPr>
              <w:pStyle w:val="P68B1DB1-Normal12"/>
              <w:spacing w:after="0"/>
              <w:jc w:val="left"/>
            </w:pPr>
            <w:r>
              <w:t>61</w:t>
            </w:r>
          </w:p>
        </w:tc>
        <w:tc>
          <w:tcPr>
            <w:tcW w:w="0" w:type="auto"/>
          </w:tcPr>
          <w:p w:rsidR="00F83F12" w:rsidRDefault="001C6219">
            <w:pPr>
              <w:pStyle w:val="P68B1DB1-Normal12"/>
              <w:spacing w:after="0"/>
              <w:jc w:val="left"/>
            </w:pPr>
            <w:r>
              <w:t>¿Necesita la AA elaborar un informe de evaluación por separado para cada método de OCS evaluado? En caso de que la AA haya evaluado varias OCS simultáneamente, puede presentarse un único informe de evaluación</w:t>
            </w:r>
          </w:p>
        </w:tc>
        <w:tc>
          <w:tcPr>
            <w:tcW w:w="0" w:type="auto"/>
          </w:tcPr>
          <w:p w:rsidR="00F83F12" w:rsidRDefault="001C6219">
            <w:pPr>
              <w:pStyle w:val="P68B1DB1-Normal12"/>
              <w:spacing w:after="0"/>
              <w:jc w:val="left"/>
            </w:pPr>
            <w:r>
              <w:t>La pregunta no aclara si está previsto que las OCS en cuestión se presenten a la Comisión para su aprobación con arreglo al artículo 94 del RDC o al artículo 53 del RDC sin presentarlas a la Comisión para su aprobación.</w:t>
            </w:r>
          </w:p>
          <w:p w:rsidR="00F83F12" w:rsidRDefault="001C6219">
            <w:pPr>
              <w:pStyle w:val="P68B1DB1-Normal12"/>
              <w:numPr>
                <w:ilvl w:val="0"/>
                <w:numId w:val="54"/>
              </w:numPr>
              <w:spacing w:after="0"/>
              <w:jc w:val="left"/>
            </w:pPr>
            <w:r>
              <w:t>En el caso de las OCS con arreglo al artículo 94 del RDC: La AA puede preparar una evaluación (pero incluir detalles para cada metodología). Las preguntas de la lista de comprobación deben duplicarse por metodología.</w:t>
            </w:r>
          </w:p>
          <w:p w:rsidR="00F83F12" w:rsidRDefault="001C6219">
            <w:pPr>
              <w:pStyle w:val="P68B1DB1-Normal12"/>
              <w:numPr>
                <w:ilvl w:val="0"/>
                <w:numId w:val="54"/>
              </w:numPr>
              <w:spacing w:after="0"/>
              <w:jc w:val="left"/>
            </w:pPr>
            <w:r>
              <w:t>En el caso de las OCS con arreglo al artículo 53 del RDC: La AA llevará a cabo su auditoría de sistemas o auditoría de operaciones en un momento determinado y también podrá emitir un informe por sistema/auditoría de operaciones que abarque todas las OCS afectadas. Una vez más, si se están evaluando varios métodos de OCS, las preguntas de la lista de comprobación deben duplicarse por metodología.</w:t>
            </w:r>
          </w:p>
        </w:tc>
      </w:tr>
      <w:tr w:rsidR="00F83F12">
        <w:tc>
          <w:tcPr>
            <w:tcW w:w="0" w:type="auto"/>
          </w:tcPr>
          <w:p w:rsidR="00F83F12" w:rsidRDefault="001C6219">
            <w:pPr>
              <w:pStyle w:val="P68B1DB1-Normal12"/>
              <w:spacing w:after="0"/>
              <w:jc w:val="left"/>
            </w:pPr>
            <w:r>
              <w:t>62</w:t>
            </w:r>
          </w:p>
        </w:tc>
        <w:tc>
          <w:tcPr>
            <w:tcW w:w="0" w:type="auto"/>
          </w:tcPr>
          <w:p w:rsidR="00F83F12" w:rsidRDefault="001C6219">
            <w:pPr>
              <w:pStyle w:val="P68B1DB1-Normal12"/>
              <w:spacing w:after="0"/>
              <w:jc w:val="left"/>
            </w:pPr>
            <w:r>
              <w:t>¿Quién será el destinatario de los informes de evaluación de la AA y se le exigirá que presente sus informes de evaluación por separado en el SFC?</w:t>
            </w:r>
          </w:p>
        </w:tc>
        <w:tc>
          <w:tcPr>
            <w:tcW w:w="0" w:type="auto"/>
          </w:tcPr>
          <w:p w:rsidR="00F83F12" w:rsidRDefault="001C6219">
            <w:pPr>
              <w:pStyle w:val="P68B1DB1-Normal12"/>
              <w:spacing w:after="0"/>
              <w:jc w:val="left"/>
            </w:pPr>
            <w:r>
              <w:t xml:space="preserve">Esperamos que el modelo cumplimentado para la evaluación de auditoría se presente junto con el documento del programa. Por lo tanto, las autoridades de gestión presentarán la evaluación ex ante de los regímenes de OCS a </w:t>
            </w:r>
            <w:r>
              <w:lastRenderedPageBreak/>
              <w:t>través de SFC en la fase de presentación del programa.</w:t>
            </w:r>
          </w:p>
        </w:tc>
      </w:tr>
      <w:tr w:rsidR="00F83F12">
        <w:tc>
          <w:tcPr>
            <w:tcW w:w="0" w:type="auto"/>
          </w:tcPr>
          <w:p w:rsidR="00F83F12" w:rsidRDefault="001C6219">
            <w:pPr>
              <w:pStyle w:val="P68B1DB1-Normal12"/>
              <w:spacing w:after="0"/>
              <w:jc w:val="left"/>
            </w:pPr>
            <w:r>
              <w:lastRenderedPageBreak/>
              <w:t>63</w:t>
            </w:r>
          </w:p>
        </w:tc>
        <w:tc>
          <w:tcPr>
            <w:tcW w:w="0" w:type="auto"/>
          </w:tcPr>
          <w:p w:rsidR="00F83F12" w:rsidRDefault="001C6219">
            <w:pPr>
              <w:pStyle w:val="P68B1DB1-Normal12"/>
              <w:spacing w:after="0"/>
              <w:jc w:val="left"/>
            </w:pPr>
            <w:r>
              <w:t>¿Es obligatorio auditar todas las metodologías de OCS desarrolladas con arreglo al artículo 48 o durante el desarrollo?</w:t>
            </w:r>
          </w:p>
        </w:tc>
        <w:tc>
          <w:tcPr>
            <w:tcW w:w="0" w:type="auto"/>
          </w:tcPr>
          <w:p w:rsidR="00F83F12" w:rsidRDefault="001C6219">
            <w:pPr>
              <w:pStyle w:val="P68B1DB1-Normal12"/>
              <w:spacing w:after="0"/>
              <w:jc w:val="left"/>
            </w:pPr>
            <w:r>
              <w:t>No, dependerá de la evaluación de riesgos de la AA y del plan de auditoría resultante.</w:t>
            </w:r>
          </w:p>
        </w:tc>
      </w:tr>
      <w:tr w:rsidR="00F83F12">
        <w:tc>
          <w:tcPr>
            <w:tcW w:w="0" w:type="auto"/>
          </w:tcPr>
          <w:p w:rsidR="00F83F12" w:rsidRDefault="001C6219">
            <w:pPr>
              <w:pStyle w:val="P68B1DB1-Normal12"/>
              <w:spacing w:after="0"/>
              <w:jc w:val="left"/>
            </w:pPr>
            <w:r>
              <w:t>64</w:t>
            </w:r>
          </w:p>
        </w:tc>
        <w:tc>
          <w:tcPr>
            <w:tcW w:w="0" w:type="auto"/>
          </w:tcPr>
          <w:p w:rsidR="00F83F12" w:rsidRDefault="001C6219">
            <w:pPr>
              <w:pStyle w:val="P68B1DB1-Normal12"/>
              <w:spacing w:after="0"/>
              <w:jc w:val="left"/>
            </w:pPr>
            <w:r>
              <w:t>¿Cuál será el impacto si, por ejemplo, utilizamos el tipo fijo y la actividad no se ejecutará, cómo calcular el porcentaje de error para las correcciones financieras?</w:t>
            </w:r>
          </w:p>
        </w:tc>
        <w:tc>
          <w:tcPr>
            <w:tcW w:w="0" w:type="auto"/>
          </w:tcPr>
          <w:p w:rsidR="00F83F12" w:rsidRDefault="001C6219">
            <w:pPr>
              <w:pStyle w:val="P68B1DB1-Normal12"/>
              <w:spacing w:after="0"/>
              <w:jc w:val="left"/>
            </w:pPr>
            <w:r>
              <w:t>De la cuestión de si la operación o una actividad dentro de la misma no se lleva a cabo en su totalidad no queda claro. Si no se ejecuta la operación en su totalidad, ello dará lugar a una corrección financiera del importe total afectado. Si se trata de una actividad no ejecutada, el importe correspondiente a la actividad no ejecutada no será subvencionable.</w:t>
            </w:r>
          </w:p>
          <w:p w:rsidR="00F83F12" w:rsidRDefault="001C6219">
            <w:pPr>
              <w:pStyle w:val="P68B1DB1-Normal12"/>
              <w:spacing w:after="0"/>
              <w:jc w:val="left"/>
            </w:pPr>
            <w:r>
              <w:t>La tasa de error se calculará como es habitual.</w:t>
            </w:r>
          </w:p>
        </w:tc>
      </w:tr>
      <w:tr w:rsidR="00F83F12">
        <w:tc>
          <w:tcPr>
            <w:tcW w:w="0" w:type="auto"/>
          </w:tcPr>
          <w:p w:rsidR="00F83F12" w:rsidRDefault="001C6219">
            <w:pPr>
              <w:pStyle w:val="P68B1DB1-Normal12"/>
              <w:spacing w:after="0"/>
              <w:jc w:val="left"/>
            </w:pPr>
            <w:r>
              <w:t>65</w:t>
            </w:r>
          </w:p>
        </w:tc>
        <w:tc>
          <w:tcPr>
            <w:tcW w:w="0" w:type="auto"/>
          </w:tcPr>
          <w:p w:rsidR="00F83F12" w:rsidRDefault="001C6219">
            <w:pPr>
              <w:pStyle w:val="P68B1DB1-Normal12"/>
              <w:spacing w:after="0"/>
              <w:jc w:val="left"/>
            </w:pPr>
            <w:r>
              <w:t>¿Cómo determinará o controlará que el Estado declara gastos según lo acordado en el artículo 88? Porque en forma de declaración no se excluye que los gastos se declaren con arreglo al artículo 88.</w:t>
            </w:r>
          </w:p>
        </w:tc>
        <w:tc>
          <w:tcPr>
            <w:tcW w:w="0" w:type="auto"/>
          </w:tcPr>
          <w:p w:rsidR="00F83F12" w:rsidRDefault="001C6219">
            <w:pPr>
              <w:pStyle w:val="P68B1DB1-Normal12"/>
              <w:spacing w:after="0"/>
              <w:jc w:val="left"/>
            </w:pPr>
            <w:r>
              <w:t>Los Estados miembros y la Comisión verificarán la ejecución sobre la base de las condiciones aprobadas en el marco del programa. El ciclo de control contiene controles de primer nivel antes de la declaración de gastos a la Comisión, controles de segundo nivel (auditorías) que ofrecen garantías de que los gastos de las cuentas son legales y regulares, y auditorías de la Comisión y el TCE sobre las cuentas presentadas. Las OCS con arreglo al artículo 94 del RDC se verificarán en cada una de estas fases con arreglo a las condiciones antes mencionadas.</w:t>
            </w:r>
          </w:p>
        </w:tc>
      </w:tr>
      <w:tr w:rsidR="00F83F12">
        <w:tc>
          <w:tcPr>
            <w:tcW w:w="0" w:type="auto"/>
          </w:tcPr>
          <w:p w:rsidR="00F83F12" w:rsidRDefault="001C6219">
            <w:pPr>
              <w:pStyle w:val="P68B1DB1-Normal12"/>
              <w:spacing w:after="0"/>
              <w:jc w:val="left"/>
            </w:pPr>
            <w:r>
              <w:t>66</w:t>
            </w:r>
          </w:p>
        </w:tc>
        <w:tc>
          <w:tcPr>
            <w:tcW w:w="0" w:type="auto"/>
          </w:tcPr>
          <w:p w:rsidR="00F83F12" w:rsidRDefault="001C6219">
            <w:pPr>
              <w:pStyle w:val="P68B1DB1-Normal12"/>
              <w:spacing w:after="0"/>
              <w:jc w:val="left"/>
            </w:pPr>
            <w:r>
              <w:t> Si tenemos comentarios positivos sobre las OCS de la AA. ¿Cuál es la probabilidad de que COM la cuestione posteriormente? ¿Cuáles serían las consecuencias para el programa?</w:t>
            </w:r>
          </w:p>
          <w:p w:rsidR="00F83F12" w:rsidRDefault="00F83F12">
            <w:pPr>
              <w:spacing w:after="0"/>
              <w:jc w:val="left"/>
            </w:pPr>
          </w:p>
        </w:tc>
        <w:tc>
          <w:tcPr>
            <w:tcW w:w="0" w:type="auto"/>
          </w:tcPr>
          <w:p w:rsidR="00F83F12" w:rsidRDefault="001C6219">
            <w:pPr>
              <w:pStyle w:val="P68B1DB1-Normal12"/>
              <w:spacing w:after="0"/>
              <w:jc w:val="left"/>
            </w:pPr>
            <w:r>
              <w:t>Por lo que respecta a las OCS presentadas a la Comisión de conformidad con el artículo 94 del RDC, la Comisión evaluará el apéndice 1 sobre la base de la información incluida en él y de la evaluación de la AA. La Comisión se basará en la evaluación facilitada por la AA si es positiva sin reservas y sobre la base de la revisión de la COM de los documentos presentados no se han detectado problemas con respecto a la fiabilidad de la evaluación.</w:t>
            </w:r>
          </w:p>
          <w:p w:rsidR="00F83F12" w:rsidRDefault="00F83F12">
            <w:pPr>
              <w:spacing w:after="0"/>
              <w:jc w:val="left"/>
            </w:pPr>
          </w:p>
        </w:tc>
      </w:tr>
      <w:tr w:rsidR="00F83F12">
        <w:tc>
          <w:tcPr>
            <w:tcW w:w="0" w:type="auto"/>
            <w:gridSpan w:val="3"/>
          </w:tcPr>
          <w:p w:rsidR="00F83F12" w:rsidRDefault="001C6219">
            <w:pPr>
              <w:pStyle w:val="P68B1DB1-Normal11"/>
              <w:spacing w:after="0"/>
              <w:jc w:val="left"/>
            </w:pPr>
            <w:r>
              <w:t>OCS PRODUCTOS PUBLICOS</w:t>
            </w:r>
          </w:p>
        </w:tc>
      </w:tr>
      <w:tr w:rsidR="00F83F12">
        <w:tc>
          <w:tcPr>
            <w:tcW w:w="0" w:type="auto"/>
          </w:tcPr>
          <w:p w:rsidR="00F83F12" w:rsidRDefault="001C6219">
            <w:pPr>
              <w:pStyle w:val="P68B1DB1-Normal12"/>
              <w:spacing w:after="0"/>
              <w:jc w:val="left"/>
            </w:pPr>
            <w:r>
              <w:t>67</w:t>
            </w:r>
          </w:p>
        </w:tc>
        <w:tc>
          <w:tcPr>
            <w:tcW w:w="0" w:type="auto"/>
          </w:tcPr>
          <w:p w:rsidR="00F83F12" w:rsidRDefault="001C6219">
            <w:pPr>
              <w:pStyle w:val="P68B1DB1-Normal12"/>
              <w:spacing w:after="0"/>
              <w:jc w:val="left"/>
            </w:pPr>
            <w:r>
              <w:t xml:space="preserve">Según lo dispuesto en el artículo 68 bis del RDC, el cálculo de los costes directos de personal de una operación a un tipo fijo de hasta el 20 % de los costes directos que no sean costes de personal no requerirá un cálculo para determinar la metodología, a menos que la operación incluya contratos de obras públicas que superen el umbral establecido en el artículo 4, letra a), de la Directiva 2014/24/UE. Esto significa que, si los costes directos de la operación están cubiertos, aunque sea de forma parcial, por un contrato de obras públicas de este tipo que supere el umbral establecido en el artículo 4, letra a), de la Directiva 2014/24/UE, la utilización de un tipo fijo del 20 % definida en el Reglamento es posible, pero requerirá el </w:t>
            </w:r>
            <w:r>
              <w:lastRenderedPageBreak/>
              <w:t>establecimiento de una metodología para determinar el tipo aplicable.</w:t>
            </w:r>
          </w:p>
          <w:p w:rsidR="00F83F12" w:rsidRDefault="00F83F12">
            <w:pPr>
              <w:spacing w:after="0"/>
              <w:jc w:val="left"/>
            </w:pPr>
          </w:p>
          <w:p w:rsidR="00F83F12" w:rsidRDefault="001C6219">
            <w:pPr>
              <w:pStyle w:val="P68B1DB1-Normal12"/>
              <w:spacing w:after="0"/>
              <w:jc w:val="left"/>
            </w:pPr>
            <w:r>
              <w:t xml:space="preserve">¿Podría la Comisión aclarar si, en caso de que se demuestre que los costes de personal calculados sobre la base de los costes directos cubiertos por dicho contrato de obras públicas NO están externalizados, ¿sigue siendo necesario establecer una metodología para el tipo fijo del 20 %?  En el caso, </w:t>
            </w:r>
            <w:r>
              <w:rPr>
                <w:u w:val="single"/>
              </w:rPr>
              <w:t>por ejemplo</w:t>
            </w:r>
            <w:r>
              <w:t>, de una operación que tiene dos tipos de costes: adquisición de equipos de investigación (algunos de ellos por encima del umbral) y costes de personal (personas, en la nómina del beneficiario, encargadas de la explotación y el mantenimiento de estos equipos).</w:t>
            </w:r>
          </w:p>
        </w:tc>
        <w:tc>
          <w:tcPr>
            <w:tcW w:w="0" w:type="auto"/>
          </w:tcPr>
          <w:p w:rsidR="00F83F12" w:rsidRDefault="001C6219">
            <w:pPr>
              <w:pStyle w:val="P68B1DB1-Normal12"/>
              <w:spacing w:after="0"/>
              <w:jc w:val="left"/>
            </w:pPr>
            <w:r>
              <w:lastRenderedPageBreak/>
              <w:t>La disposición mencionada se refiere al RDC para el período de programación 2014-2020. Sin embargo, la norma es la misma en el RDC para el período de programación 2021-2027 (artículo 55, apartado 1, del RDC).</w:t>
            </w:r>
          </w:p>
          <w:p w:rsidR="00F83F12" w:rsidRDefault="00F83F12">
            <w:pPr>
              <w:spacing w:after="0"/>
              <w:jc w:val="left"/>
            </w:pPr>
          </w:p>
          <w:p w:rsidR="00F83F12" w:rsidRDefault="001C6219">
            <w:pPr>
              <w:pStyle w:val="P68B1DB1-Normal12"/>
              <w:spacing w:after="0"/>
              <w:jc w:val="left"/>
            </w:pPr>
            <w:r>
              <w:t xml:space="preserve">Sí, los costes de personal en el ejemplo dado deben calcularse sobre la base de una metodología acorde con el artículo 53, apartado 3, del RDC, </w:t>
            </w:r>
            <w:r w:rsidR="002F3719">
              <w:t xml:space="preserve">ya que, </w:t>
            </w:r>
            <w:r>
              <w:t xml:space="preserve">la disposición no distingue entre costes directos de personal externalizados o no, sino que el criterio es más bien garantizar que los costes directos de la operación (excluidos los costes de personal) no incluyan contratos de obras públicas que superen el umbral establecido en el artículo 4, letra a), de la Directiva 2014/24/UE 4 del </w:t>
            </w:r>
            <w:r>
              <w:lastRenderedPageBreak/>
              <w:t>Parlamento Europeo y del Consejo (o en el artículo 15 de la Directiva 2014/25/UE del Parlamento Europeo y del Consejo).</w:t>
            </w:r>
          </w:p>
        </w:tc>
      </w:tr>
      <w:tr w:rsidR="00F83F12">
        <w:tc>
          <w:tcPr>
            <w:tcW w:w="0" w:type="auto"/>
          </w:tcPr>
          <w:p w:rsidR="00F83F12" w:rsidRDefault="001C6219">
            <w:pPr>
              <w:pStyle w:val="P68B1DB1-Normal12"/>
              <w:spacing w:after="0"/>
              <w:jc w:val="left"/>
            </w:pPr>
            <w:r>
              <w:lastRenderedPageBreak/>
              <w:t>68</w:t>
            </w:r>
          </w:p>
        </w:tc>
        <w:tc>
          <w:tcPr>
            <w:tcW w:w="0" w:type="auto"/>
          </w:tcPr>
          <w:p w:rsidR="00F83F12" w:rsidRDefault="001C6219">
            <w:pPr>
              <w:pStyle w:val="P68B1DB1-Normal12"/>
              <w:spacing w:after="0"/>
              <w:jc w:val="left"/>
            </w:pPr>
            <w:r>
              <w:t xml:space="preserve">Sobre la base de las orientaciones revisadas sobre OCS (14-20), cuando las operaciones se ejecutan mediante procedimientos de contratación pública, el precio del anuncio de contrato es, por definición, un coste unitario o una cantidad a tanto alzado que constituye la base de los pagos del beneficiario al contratista. Sin embargo, a los efectos del artículo 67, del RDC, los costes determinados y pagados por el beneficiario en función de los importes establecidos mediante procedimientos de contratación pública constituyen costes reales efectivamente incurridos y pagados en virtud del artículo 67, apartado 1, letra a), del RDC. </w:t>
            </w:r>
            <w:r w:rsidR="00377B57">
              <w:t>Pregunta</w:t>
            </w:r>
            <w:r>
              <w:t>: En caso de que se aplique una metodología de OCS a los contratos de obras, se supone que las condiciones de pago por parte de la AG al beneficiario pueden no ser las mismas que las condiciones de pago por parte del beneficiario al contratista (esto se aplica específicamente a los contratos de costes unitarios).</w:t>
            </w:r>
          </w:p>
        </w:tc>
        <w:tc>
          <w:tcPr>
            <w:tcW w:w="0" w:type="auto"/>
          </w:tcPr>
          <w:p w:rsidR="00F83F12" w:rsidRDefault="001C6219">
            <w:pPr>
              <w:pStyle w:val="P68B1DB1-Normal12"/>
              <w:spacing w:after="0"/>
              <w:jc w:val="left"/>
            </w:pPr>
            <w:r>
              <w:t>Esto se refiere al período de programación 2014-2020 y no al período de programación 2021-20027. Este enfoque de la nota de orientación revisada sobre las OCS (EGESIF 14-0017) se basa en la declaración conjunta de la Comisión y el Consejo en el RDC para el período de programación 2014-2020 sobre el artículo 67 y está vinculada a la prohibición de aplicar OCS en proyectos plenamente adquiridos.</w:t>
            </w:r>
          </w:p>
          <w:p w:rsidR="00F83F12" w:rsidRDefault="00F83F12">
            <w:pPr>
              <w:spacing w:after="0"/>
              <w:jc w:val="left"/>
            </w:pPr>
          </w:p>
          <w:p w:rsidR="00F83F12" w:rsidRDefault="001C6219">
            <w:pPr>
              <w:pStyle w:val="P68B1DB1-Normal12"/>
              <w:spacing w:after="0"/>
              <w:jc w:val="left"/>
            </w:pPr>
            <w:r>
              <w:t>En el RDC para el período de programación 2021-2027, no existe tal prohibición, es decir, no se excluye que el coste unitario o la cantidad a tanto alzado abonada a un contratista constituya una OCS.</w:t>
            </w:r>
          </w:p>
          <w:p w:rsidR="00F83F12" w:rsidRDefault="00F83F12">
            <w:pPr>
              <w:spacing w:after="0"/>
              <w:jc w:val="left"/>
            </w:pPr>
          </w:p>
          <w:p w:rsidR="00F83F12" w:rsidRDefault="001C6219">
            <w:pPr>
              <w:pStyle w:val="P68B1DB1-Normal12"/>
              <w:spacing w:after="0"/>
              <w:jc w:val="left"/>
            </w:pPr>
            <w:r>
              <w:t>Sin embargo, no está claro qué se entiende por «condiciones de pago». Si se trata de una forma diferente de reembolso (es decir, reembolso del Estado miembro al beneficiario sobre la base de una cantidad a tanto alzado [y del beneficiario a un contratista sobre la base de un coste unitario (por ejemplo)], esto no queda excluido, pero el concepto parece contrario a la simplificación.</w:t>
            </w:r>
          </w:p>
        </w:tc>
      </w:tr>
      <w:tr w:rsidR="00F83F12">
        <w:tc>
          <w:tcPr>
            <w:tcW w:w="0" w:type="auto"/>
          </w:tcPr>
          <w:p w:rsidR="00F83F12" w:rsidRDefault="001C6219">
            <w:pPr>
              <w:pStyle w:val="P68B1DB1-Normal12"/>
              <w:spacing w:after="0"/>
              <w:jc w:val="left"/>
            </w:pPr>
            <w:r>
              <w:t>69</w:t>
            </w:r>
          </w:p>
        </w:tc>
        <w:tc>
          <w:tcPr>
            <w:tcW w:w="0" w:type="auto"/>
          </w:tcPr>
          <w:p w:rsidR="00F83F12" w:rsidRDefault="001C6219">
            <w:pPr>
              <w:pStyle w:val="P68B1DB1-Normal12"/>
              <w:spacing w:after="0"/>
              <w:jc w:val="left"/>
            </w:pPr>
            <w:r>
              <w:t>¿Es razonable utilizar los contratos, las adendas de contratos (no la totalidad de los documentos del procedimiento de contratación) y el estado de mediciones del contratista como base para la evaluación del progreso de la operación (hitos) que sirven de base para el reembolso basado en las OCS, y no como base para tener en cuenta los costes reales (que se indicarán claramente en los documentos, pero no deben ser pertinentes para las OCS).</w:t>
            </w:r>
          </w:p>
        </w:tc>
        <w:tc>
          <w:tcPr>
            <w:tcW w:w="0" w:type="auto"/>
          </w:tcPr>
          <w:p w:rsidR="00F83F12" w:rsidRDefault="001C6219">
            <w:pPr>
              <w:pStyle w:val="P68B1DB1-Normal12"/>
              <w:spacing w:after="0"/>
              <w:jc w:val="left"/>
            </w:pPr>
            <w:r>
              <w:t>Corresponde a la AG establecer las condiciones para el reembolso de las operaciones, los indicadores y los hitos/etapas. La forma mencionada en la pregunta parece razonable y aceptable.</w:t>
            </w:r>
          </w:p>
        </w:tc>
      </w:tr>
      <w:tr w:rsidR="00F83F12">
        <w:tc>
          <w:tcPr>
            <w:tcW w:w="0" w:type="auto"/>
          </w:tcPr>
          <w:p w:rsidR="00F83F12" w:rsidRDefault="001C6219">
            <w:pPr>
              <w:pStyle w:val="P68B1DB1-Normal12"/>
              <w:spacing w:after="0"/>
              <w:jc w:val="left"/>
            </w:pPr>
            <w:r>
              <w:t>70</w:t>
            </w:r>
          </w:p>
        </w:tc>
        <w:tc>
          <w:tcPr>
            <w:tcW w:w="0" w:type="auto"/>
          </w:tcPr>
          <w:p w:rsidR="00F83F12" w:rsidRDefault="001C6219">
            <w:pPr>
              <w:pStyle w:val="P68B1DB1-Normal12"/>
              <w:spacing w:after="0"/>
              <w:jc w:val="left"/>
            </w:pPr>
            <w:r>
              <w:t xml:space="preserve">Artículo 50 del RDC 2021-2027: es el valor de los contratos específicos o el valor del procedimiento de contratación pertinente con </w:t>
            </w:r>
            <w:r>
              <w:lastRenderedPageBreak/>
              <w:t xml:space="preserve">arreglo a la norma por encima del umbral, </w:t>
            </w:r>
            <w:r w:rsidR="002F3719">
              <w:t xml:space="preserve">ya que, </w:t>
            </w:r>
            <w:r>
              <w:t>las contrataciones pueden dividirse en lotes, y cada lote contratado con diferentes contratistas, y esos contratos separados pueden tener un valor inferior al umbral.</w:t>
            </w:r>
          </w:p>
        </w:tc>
        <w:tc>
          <w:tcPr>
            <w:tcW w:w="0" w:type="auto"/>
          </w:tcPr>
          <w:p w:rsidR="00F83F12" w:rsidRDefault="001C6219">
            <w:pPr>
              <w:pStyle w:val="P68B1DB1-Normal12"/>
              <w:spacing w:after="0"/>
              <w:jc w:val="left"/>
            </w:pPr>
            <w:r>
              <w:lastRenderedPageBreak/>
              <w:t xml:space="preserve">El artículo 55, apartado 1, del RDC menciona los contratos públicos de obras o los contratos de suministro o de servicios «que superen en </w:t>
            </w:r>
            <w:r>
              <w:lastRenderedPageBreak/>
              <w:t>valor los umbrales establecidos en el artículo 4 de la Directiva 2014/24/UE del Parlamento Europeo y del Consejo o en el artículo 15 de la Directiva 2014/25/UE del Parlamento Europeo y del Consejo».</w:t>
            </w:r>
          </w:p>
          <w:p w:rsidR="00F83F12" w:rsidRDefault="00F83F12">
            <w:pPr>
              <w:spacing w:after="0"/>
              <w:jc w:val="left"/>
            </w:pPr>
          </w:p>
          <w:p w:rsidR="00F83F12" w:rsidRDefault="001C6219">
            <w:pPr>
              <w:pStyle w:val="P68B1DB1-Normal12"/>
              <w:spacing w:after="0"/>
              <w:jc w:val="left"/>
            </w:pPr>
            <w:r>
              <w:t>El artículo 4 de la Directiva 2014/24/UE se refiere a «las contrataciones cuyo valor, excluido el impuesto sobre el valor añadido (IVA)», sea igual o superior a los umbrales específicos que en él se indican». La misma disposición está consagrada en el artículo 15 de la Directiva 2014/25/UE.</w:t>
            </w:r>
          </w:p>
          <w:p w:rsidR="00F83F12" w:rsidRDefault="00F83F12">
            <w:pPr>
              <w:spacing w:after="0"/>
              <w:jc w:val="left"/>
            </w:pPr>
          </w:p>
          <w:p w:rsidR="00F83F12" w:rsidRDefault="001C6219">
            <w:pPr>
              <w:pStyle w:val="P68B1DB1-Normal12"/>
              <w:spacing w:after="0"/>
              <w:jc w:val="left"/>
            </w:pPr>
            <w:r>
              <w:t>Esto significa que es el valor de la contratación lo que se tendrá en cuenta independientemente de los lotes en los que pueda dividirse una contratación.</w:t>
            </w:r>
          </w:p>
        </w:tc>
      </w:tr>
      <w:tr w:rsidR="00F83F12">
        <w:tc>
          <w:tcPr>
            <w:tcW w:w="0" w:type="auto"/>
          </w:tcPr>
          <w:p w:rsidR="00F83F12" w:rsidRDefault="001C6219">
            <w:pPr>
              <w:pStyle w:val="P68B1DB1-Normal12"/>
              <w:spacing w:after="0"/>
              <w:jc w:val="left"/>
            </w:pPr>
            <w:r>
              <w:lastRenderedPageBreak/>
              <w:t>71</w:t>
            </w:r>
          </w:p>
        </w:tc>
        <w:tc>
          <w:tcPr>
            <w:tcW w:w="0" w:type="auto"/>
          </w:tcPr>
          <w:p w:rsidR="00F83F12" w:rsidRDefault="001C6219">
            <w:pPr>
              <w:pStyle w:val="P68B1DB1-Normal12"/>
              <w:spacing w:after="0"/>
              <w:jc w:val="left"/>
            </w:pPr>
            <w:r>
              <w:t>En el caso de las operaciones totalmente contratadas, ¿cómo fijar el precio (por ejemplo, para los costes unitarios)? ¿Cómo sería el proceso? Lo que es aceptable/proporcionado en este caso (especialmente en el contexto de mercados pequeños, número limitado de ofertas, precios inflados sabiendo que los fondos públicos financiarán tipos específicos de operaciones, bienes muy especializados para la contratación pública). ¿Cómo podemos garantizar que el trabajo realizado para establecer un coste unitario para las operaciones totalmente contratadas no sirva simplemente para evitar la contratación pública?</w:t>
            </w:r>
          </w:p>
        </w:tc>
        <w:tc>
          <w:tcPr>
            <w:tcW w:w="0" w:type="auto"/>
          </w:tcPr>
          <w:p w:rsidR="00F83F12" w:rsidRDefault="001C6219">
            <w:pPr>
              <w:pStyle w:val="P68B1DB1-Normal12"/>
              <w:spacing w:after="0"/>
              <w:jc w:val="left"/>
            </w:pPr>
            <w:r>
              <w:t>Esta cuestión está siendo evaluada. La Comisión responderá en una fase posterior cuando se hayan aclarado todos los elementos.</w:t>
            </w:r>
          </w:p>
          <w:p w:rsidR="00F83F12" w:rsidRDefault="00F83F12">
            <w:pPr>
              <w:spacing w:after="0"/>
              <w:jc w:val="left"/>
            </w:pPr>
          </w:p>
          <w:p w:rsidR="00F83F12" w:rsidRDefault="00F83F12">
            <w:pPr>
              <w:spacing w:after="0"/>
              <w:jc w:val="left"/>
            </w:pPr>
          </w:p>
          <w:p w:rsidR="00F83F12" w:rsidRDefault="00F83F12">
            <w:pPr>
              <w:spacing w:after="0"/>
              <w:jc w:val="left"/>
            </w:pPr>
          </w:p>
          <w:p w:rsidR="00F83F12" w:rsidRDefault="00F83F12">
            <w:pPr>
              <w:spacing w:after="0"/>
              <w:jc w:val="left"/>
            </w:pPr>
          </w:p>
          <w:p w:rsidR="00F83F12" w:rsidRDefault="00F83F12">
            <w:pPr>
              <w:spacing w:after="0"/>
              <w:jc w:val="left"/>
            </w:pPr>
          </w:p>
        </w:tc>
      </w:tr>
    </w:tbl>
    <w:p w:rsidR="00F83F12" w:rsidRDefault="00F83F12"/>
    <w:p w:rsidR="00F83F12" w:rsidRDefault="00F83F12"/>
    <w:tbl>
      <w:tblPr>
        <w:tblStyle w:val="ScrollTableNormal"/>
        <w:tblW w:w="5000" w:type="pct"/>
        <w:tblLook w:val="00A0" w:firstRow="1" w:lastRow="0" w:firstColumn="1" w:lastColumn="0" w:noHBand="0" w:noVBand="0"/>
      </w:tblPr>
      <w:tblGrid>
        <w:gridCol w:w="420"/>
        <w:gridCol w:w="4037"/>
        <w:gridCol w:w="4037"/>
      </w:tblGrid>
      <w:tr w:rsidR="00F83F12">
        <w:tc>
          <w:tcPr>
            <w:tcW w:w="0" w:type="auto"/>
            <w:gridSpan w:val="3"/>
          </w:tcPr>
          <w:p w:rsidR="00F83F12" w:rsidRDefault="001C6219">
            <w:pPr>
              <w:pStyle w:val="P68B1DB1-Normal11"/>
              <w:spacing w:after="0"/>
              <w:jc w:val="left"/>
            </w:pPr>
            <w:r>
              <w:t>USO OBLIGATORIO DE OCS</w:t>
            </w:r>
          </w:p>
        </w:tc>
      </w:tr>
      <w:tr w:rsidR="00F83F12">
        <w:tc>
          <w:tcPr>
            <w:tcW w:w="0" w:type="auto"/>
          </w:tcPr>
          <w:p w:rsidR="00F83F12" w:rsidRDefault="001C6219">
            <w:pPr>
              <w:pStyle w:val="P68B1DB1-Normal12"/>
              <w:spacing w:after="0"/>
              <w:jc w:val="left"/>
            </w:pPr>
            <w:r>
              <w:t>72</w:t>
            </w:r>
          </w:p>
        </w:tc>
        <w:tc>
          <w:tcPr>
            <w:tcW w:w="0" w:type="auto"/>
          </w:tcPr>
          <w:p w:rsidR="00F83F12" w:rsidRDefault="001C6219">
            <w:pPr>
              <w:pStyle w:val="P68B1DB1-Normal12"/>
              <w:spacing w:after="0"/>
              <w:jc w:val="left"/>
            </w:pPr>
            <w:r>
              <w:t xml:space="preserve">Suponemos que el único momento en que debe comprobarse el uso obligatorio de OCS es en el momento de emitir la decisión sobre el apoyo del proyecto con cargo a fondos de la UE. Por ejemplo, si los costes iniciales previstos del proyecto superan los 200 000 EUR y la ayuda se basa, por tanto, en los costes </w:t>
            </w:r>
            <w:r w:rsidR="009C6703">
              <w:t>reales,</w:t>
            </w:r>
            <w:r>
              <w:t xml:space="preserve"> pero, por último, los costes totales realmente incurridos disminuyen por debajo de 200 000 EUR, ¿tiene esta situación alguna incidencia en la evaluación del modo de financiación? Suponemos que, en cualquier caso, es posible cambiar el modo de financiación tras la adopción de la decisión, pero también nos gustaría obtener la garantía de su parte.</w:t>
            </w:r>
          </w:p>
          <w:p w:rsidR="00F83F12" w:rsidRDefault="001C6219">
            <w:pPr>
              <w:pStyle w:val="P68B1DB1-Normal12"/>
              <w:spacing w:after="0"/>
              <w:jc w:val="left"/>
            </w:pPr>
            <w:r>
              <w:t xml:space="preserve">¿Cómo tratar la operación cuya parte de los costes está respaldada por la ayuda estatal </w:t>
            </w:r>
            <w:r>
              <w:lastRenderedPageBreak/>
              <w:t>(por ejemplo, la ayuda regional a la inversión con arreglo al RGEC) y la otra parte de los costes está respaldada por ayudas de minimis (por ejemplo, por un importe total de 100 000 EUR) y el coste total de la operación no supera los 200 000 EUR? Suponemos que, dado que la operación recibe la ayuda estatal independientemente del volumen de costes cubierto por el RGEC y de la ayuda de minimis, no hay obligación de utilizar OCS en esta operación.</w:t>
            </w:r>
          </w:p>
        </w:tc>
        <w:tc>
          <w:tcPr>
            <w:tcW w:w="0" w:type="auto"/>
          </w:tcPr>
          <w:p w:rsidR="00F83F12" w:rsidRDefault="001C6219">
            <w:pPr>
              <w:pStyle w:val="P68B1DB1-Normal12"/>
              <w:spacing w:after="0"/>
              <w:jc w:val="left"/>
            </w:pPr>
            <w:r>
              <w:lastRenderedPageBreak/>
              <w:t>El momento de la firma del documento en el que se establecen las condiciones de la ayuda es el momento en que entra en vigor la aplicación del artículo 53, apartado 2, párrafo primero, del RDC. Los costes realmente soportados por un beneficiario no serán pertinentes para la aplicación del presente artículo.</w:t>
            </w:r>
          </w:p>
          <w:p w:rsidR="00F83F12" w:rsidRDefault="00F83F12">
            <w:pPr>
              <w:spacing w:after="0"/>
              <w:jc w:val="left"/>
            </w:pPr>
          </w:p>
          <w:p w:rsidR="00F83F12" w:rsidRDefault="001C6219">
            <w:pPr>
              <w:pStyle w:val="P68B1DB1-Normal12"/>
              <w:spacing w:after="0"/>
              <w:jc w:val="left"/>
            </w:pPr>
            <w:r>
              <w:t xml:space="preserve">El RDC (2014-2020 y 2021-2027) no ha establecido la primacía entre los tipos de ayuda cuando, en particular, en la misma operación, el FEDER entra en el ámbito de aplicación de minimis y la ayuda nacional está sujeta a un régimen de ayudas estatales (RGEC). Cuando sea posible combinar ayudas estatales y ayudas de minimis en la misma operación, con sujeción a las condiciones </w:t>
            </w:r>
            <w:r>
              <w:lastRenderedPageBreak/>
              <w:t>establecidas en las normas sobre ayudas estatales, la solución más adecuada es no imponer el uso de las OCS. Esta solución ofrece la máxima simplicidad y flexibilidad a la autoridad de gestión.</w:t>
            </w:r>
          </w:p>
        </w:tc>
      </w:tr>
      <w:tr w:rsidR="00F83F12">
        <w:tc>
          <w:tcPr>
            <w:tcW w:w="0" w:type="auto"/>
          </w:tcPr>
          <w:p w:rsidR="00F83F12" w:rsidRDefault="001C6219">
            <w:pPr>
              <w:pStyle w:val="P68B1DB1-Normal12"/>
              <w:spacing w:after="0"/>
              <w:jc w:val="left"/>
            </w:pPr>
            <w:r>
              <w:lastRenderedPageBreak/>
              <w:t>73</w:t>
            </w:r>
          </w:p>
        </w:tc>
        <w:tc>
          <w:tcPr>
            <w:tcW w:w="0" w:type="auto"/>
          </w:tcPr>
          <w:p w:rsidR="00F83F12" w:rsidRDefault="001C6219">
            <w:pPr>
              <w:pStyle w:val="P68B1DB1-Normal12"/>
              <w:spacing w:after="0"/>
              <w:jc w:val="left"/>
            </w:pPr>
            <w:r>
              <w:t>1 ¿es obligatorio el uso de OCS, si las ayudas de minimis y las ayudas estatales (RGEC) se combinan en 1 operación cuyo coste total no supera los 200,000 EUR?</w:t>
            </w:r>
          </w:p>
          <w:p w:rsidR="00F83F12" w:rsidRDefault="001C6219">
            <w:pPr>
              <w:pStyle w:val="P68B1DB1-Normal12"/>
              <w:spacing w:after="0"/>
              <w:jc w:val="left"/>
            </w:pPr>
            <w:r>
              <w:t>(2) ¿Es obligatorio el uso de OCS, si el funcionamiento, cuyo coste total no supera los 200,000 EUR, se adquiere en su totalidad? ¿Cómo cumplir la obligación del artículo 48, apartado 1, del RDC, si ninguna de las OCS de la operación externalizada es razonable y eficaz?</w:t>
            </w:r>
          </w:p>
        </w:tc>
        <w:tc>
          <w:tcPr>
            <w:tcW w:w="0" w:type="auto"/>
          </w:tcPr>
          <w:p w:rsidR="00F83F12" w:rsidRDefault="001C6219">
            <w:pPr>
              <w:pStyle w:val="P68B1DB1-Normal12"/>
              <w:numPr>
                <w:ilvl w:val="0"/>
                <w:numId w:val="55"/>
              </w:numPr>
              <w:spacing w:after="0"/>
              <w:jc w:val="left"/>
            </w:pPr>
            <w:r>
              <w:t>1) no. Véase la respuesta a la pregunta 72.</w:t>
            </w:r>
          </w:p>
          <w:p w:rsidR="00F83F12" w:rsidRDefault="00F83F12">
            <w:pPr>
              <w:spacing w:after="0"/>
              <w:jc w:val="left"/>
            </w:pPr>
          </w:p>
          <w:p w:rsidR="00F83F12" w:rsidRDefault="001C6219">
            <w:pPr>
              <w:pStyle w:val="P68B1DB1-Normal12"/>
              <w:spacing w:after="0"/>
              <w:jc w:val="left"/>
            </w:pPr>
            <w:r>
              <w:t>2) a) Sí, es.</w:t>
            </w:r>
          </w:p>
          <w:p w:rsidR="00F83F12" w:rsidRDefault="00F83F12">
            <w:pPr>
              <w:spacing w:after="0"/>
              <w:jc w:val="left"/>
            </w:pPr>
          </w:p>
          <w:p w:rsidR="00F83F12" w:rsidRDefault="001C6219">
            <w:pPr>
              <w:pStyle w:val="P68B1DB1-Normal12"/>
              <w:spacing w:after="0"/>
              <w:jc w:val="left"/>
            </w:pPr>
            <w:r>
              <w:t>b) El objetivo del artículo 53, apartado 2, párrafo primero, del RDC es que los controles de operaciones de escaso valor (pequeñas) no sean eficientes y la aplicación de OCS aportaría simplificación. El RDC prevé varias posibilidades de establecer OCS para pequeñas operaciones a fin de cumplir este requisito; una opción adecuada es la utilización de un proyecto de presupuesto.</w:t>
            </w:r>
          </w:p>
        </w:tc>
      </w:tr>
      <w:tr w:rsidR="00F83F12">
        <w:tc>
          <w:tcPr>
            <w:tcW w:w="0" w:type="auto"/>
          </w:tcPr>
          <w:p w:rsidR="00F83F12" w:rsidRDefault="001C6219">
            <w:pPr>
              <w:pStyle w:val="P68B1DB1-Normal12"/>
              <w:spacing w:after="0"/>
              <w:jc w:val="left"/>
            </w:pPr>
            <w:r>
              <w:t>74</w:t>
            </w:r>
          </w:p>
        </w:tc>
        <w:tc>
          <w:tcPr>
            <w:tcW w:w="0" w:type="auto"/>
          </w:tcPr>
          <w:p w:rsidR="00F83F12" w:rsidRDefault="001C6219">
            <w:pPr>
              <w:pStyle w:val="P68B1DB1-Normal12"/>
              <w:spacing w:after="0"/>
              <w:jc w:val="left"/>
            </w:pPr>
            <w:r>
              <w:t>Si el contrato del proyecto supera los 200 000 EUR, pero se han producido ahorros durante la ejecución y el importe total de la solicitud de pago final es inferior a 200 000 EUR, ¿qué medidas espera la CE del Estado miembro en este caso en relación con el uso obligatorio de OCS?</w:t>
            </w:r>
          </w:p>
        </w:tc>
        <w:tc>
          <w:tcPr>
            <w:tcW w:w="0" w:type="auto"/>
          </w:tcPr>
          <w:p w:rsidR="00F83F12" w:rsidRDefault="001C6219">
            <w:pPr>
              <w:pStyle w:val="P68B1DB1-Normal12"/>
              <w:spacing w:after="0"/>
              <w:jc w:val="left"/>
            </w:pPr>
            <w:r>
              <w:t>Ninguna acción. La obligación de utilizar OCS es en el momento de la firma del documento que establece las condiciones de la ayuda cuando se tienen en cuenta todos los costes para la aplicación del umbral. No se produce ningún cambio durante o después de la ejecución de la operación, independientemente de si los costes reales son inferiores debido a los ahorros realizados.</w:t>
            </w:r>
          </w:p>
        </w:tc>
      </w:tr>
      <w:tr w:rsidR="00F83F12">
        <w:tc>
          <w:tcPr>
            <w:tcW w:w="0" w:type="auto"/>
          </w:tcPr>
          <w:p w:rsidR="00F83F12" w:rsidRDefault="001C6219">
            <w:pPr>
              <w:pStyle w:val="P68B1DB1-Normal12"/>
              <w:spacing w:after="0"/>
              <w:jc w:val="left"/>
            </w:pPr>
            <w:r>
              <w:t>75</w:t>
            </w:r>
          </w:p>
        </w:tc>
        <w:tc>
          <w:tcPr>
            <w:tcW w:w="0" w:type="auto"/>
          </w:tcPr>
          <w:p w:rsidR="00F83F12" w:rsidRDefault="001C6219">
            <w:pPr>
              <w:pStyle w:val="P68B1DB1-Normal12"/>
              <w:spacing w:after="0"/>
              <w:jc w:val="left"/>
            </w:pPr>
            <w:r>
              <w:t>¿A qué nivel se aplica el uso obligatorio de OCS?</w:t>
            </w:r>
          </w:p>
          <w:p w:rsidR="00F83F12" w:rsidRDefault="00F83F12">
            <w:pPr>
              <w:spacing w:after="0"/>
              <w:jc w:val="left"/>
            </w:pPr>
          </w:p>
          <w:p w:rsidR="00F83F12" w:rsidRDefault="00F83F12">
            <w:pPr>
              <w:spacing w:after="0"/>
              <w:jc w:val="left"/>
            </w:pPr>
          </w:p>
        </w:tc>
        <w:tc>
          <w:tcPr>
            <w:tcW w:w="0" w:type="auto"/>
          </w:tcPr>
          <w:p w:rsidR="00F83F12" w:rsidRDefault="001C6219">
            <w:pPr>
              <w:pStyle w:val="P68B1DB1-Normal12"/>
              <w:spacing w:after="0"/>
              <w:jc w:val="left"/>
            </w:pPr>
            <w:r>
              <w:t>El uso obligatorio de OCS se aplica al nivel de la operación que va a cofinanciarse. Por lo tanto, dependiendo de cuál sea la operación en este régimen, el uso obligatorio se aplicará a ese nivel. Para poder responder con mayor claridad, es necesario proporcionar más detalles sobre el régimen de aplicación y a qué se refieren los diferentes niveles.</w:t>
            </w:r>
          </w:p>
          <w:p w:rsidR="00F83F12" w:rsidRDefault="00F83F12">
            <w:pPr>
              <w:spacing w:after="0"/>
              <w:jc w:val="left"/>
            </w:pPr>
          </w:p>
          <w:p w:rsidR="00F83F12" w:rsidRDefault="001C6219">
            <w:pPr>
              <w:pStyle w:val="P68B1DB1-Normal12"/>
              <w:spacing w:after="0"/>
              <w:jc w:val="left"/>
            </w:pPr>
            <w:r>
              <w:t>Por lo que se refiere a la CTE, las OCS son obligatorias para los pequeños proyectos con costes totales inferiores a 100 000 EUR ejecutados con cargo a fondos para pequeños proyectos (artículo 25, apartado 6, del Reglamento de la CTE). </w:t>
            </w:r>
          </w:p>
        </w:tc>
      </w:tr>
      <w:tr w:rsidR="00F83F12">
        <w:tc>
          <w:tcPr>
            <w:tcW w:w="0" w:type="auto"/>
          </w:tcPr>
          <w:p w:rsidR="00F83F12" w:rsidRDefault="001C6219">
            <w:pPr>
              <w:pStyle w:val="P68B1DB1-Normal12"/>
              <w:spacing w:after="0"/>
              <w:jc w:val="left"/>
            </w:pPr>
            <w:r>
              <w:t>76</w:t>
            </w:r>
          </w:p>
        </w:tc>
        <w:tc>
          <w:tcPr>
            <w:tcW w:w="0" w:type="auto"/>
          </w:tcPr>
          <w:p w:rsidR="00F83F12" w:rsidRDefault="001C6219">
            <w:pPr>
              <w:pStyle w:val="P68B1DB1-Normal12"/>
              <w:spacing w:after="0"/>
              <w:jc w:val="left"/>
            </w:pPr>
            <w:r>
              <w:t>HU: En caso de uso obligatorio inferior al coste total de 200 000 EUR, ¿entendemos correctamente que el coste puede cubrirse mediante una combinación de OCS? Por supuesto, evitar la doble financiación.</w:t>
            </w:r>
          </w:p>
        </w:tc>
        <w:tc>
          <w:tcPr>
            <w:tcW w:w="0" w:type="auto"/>
          </w:tcPr>
          <w:p w:rsidR="00F83F12" w:rsidRDefault="001C6219">
            <w:pPr>
              <w:pStyle w:val="P68B1DB1-Normal12"/>
              <w:spacing w:after="0"/>
              <w:jc w:val="left"/>
            </w:pPr>
            <w:r>
              <w:t>El uso obligatorio de OCS (artículo 53, apartado 2, párrafo primero, del RDC) exige que todas las categorías de costes estén cubiertas por OCS, excepto cuando en el presente artículo se prevean excepciones específicas.</w:t>
            </w:r>
          </w:p>
          <w:p w:rsidR="00F83F12" w:rsidRDefault="00F83F12">
            <w:pPr>
              <w:spacing w:after="0"/>
              <w:jc w:val="left"/>
            </w:pPr>
          </w:p>
          <w:p w:rsidR="00F83F12" w:rsidRDefault="001C6219">
            <w:pPr>
              <w:pStyle w:val="P68B1DB1-Normal12"/>
              <w:spacing w:after="0"/>
              <w:jc w:val="left"/>
            </w:pPr>
            <w:r>
              <w:lastRenderedPageBreak/>
              <w:t>De conformidad con el artículo 53, apartado 1, letra e), del RDC, los diferentes formularios pueden combinarse siempre que la combinación cubra diferentes categorías de costes o cuando se utilicen para diferentes proyectos que formen parte de una operación o para fases sucesivas de una operación.</w:t>
            </w:r>
          </w:p>
          <w:p w:rsidR="00F83F12" w:rsidRDefault="00F83F12">
            <w:pPr>
              <w:spacing w:after="0"/>
              <w:jc w:val="left"/>
            </w:pPr>
          </w:p>
          <w:p w:rsidR="00F83F12" w:rsidRDefault="001C6219">
            <w:pPr>
              <w:pStyle w:val="P68B1DB1-Normal12"/>
              <w:spacing w:after="0"/>
              <w:jc w:val="left"/>
            </w:pPr>
            <w:r>
              <w:t>Lo anterior significa que es posible combinar diferentes formas de apoyo (es decir, diferentes OCS o una combinación entre costes reales y OCS). Sin embargo, debe garantizarse que no se produzca una doble financiación.</w:t>
            </w:r>
          </w:p>
        </w:tc>
      </w:tr>
      <w:tr w:rsidR="00F83F12">
        <w:tc>
          <w:tcPr>
            <w:tcW w:w="0" w:type="auto"/>
          </w:tcPr>
          <w:p w:rsidR="00F83F12" w:rsidRDefault="001C6219">
            <w:pPr>
              <w:pStyle w:val="P68B1DB1-Normal12"/>
              <w:spacing w:after="0"/>
              <w:jc w:val="left"/>
            </w:pPr>
            <w:r>
              <w:lastRenderedPageBreak/>
              <w:t>77</w:t>
            </w:r>
          </w:p>
        </w:tc>
        <w:tc>
          <w:tcPr>
            <w:tcW w:w="0" w:type="auto"/>
          </w:tcPr>
          <w:p w:rsidR="00F83F12" w:rsidRDefault="001C6219">
            <w:pPr>
              <w:pStyle w:val="P68B1DB1-Normal12"/>
              <w:spacing w:after="0"/>
              <w:jc w:val="left"/>
            </w:pPr>
            <w:r>
              <w:t>Alemania y RO: ¿uso obligatorio de OCS para proyectos de menos de 200,000 EUR también para proyectos de ayuda de minimis?</w:t>
            </w:r>
          </w:p>
        </w:tc>
        <w:tc>
          <w:tcPr>
            <w:tcW w:w="0" w:type="auto"/>
          </w:tcPr>
          <w:p w:rsidR="00F83F12" w:rsidRDefault="001C6219">
            <w:pPr>
              <w:pStyle w:val="P68B1DB1-Normal12"/>
              <w:spacing w:after="0"/>
              <w:jc w:val="left"/>
            </w:pPr>
            <w:r>
              <w:t>Sí, de conformidad con el artículo 53, apartado 2, párrafo primero, del RDC, las operaciones del RDC sujetas a ayudas de minimis deben ser ejecutadas por OCS.</w:t>
            </w:r>
          </w:p>
        </w:tc>
      </w:tr>
      <w:tr w:rsidR="00F83F12">
        <w:tc>
          <w:tcPr>
            <w:tcW w:w="0" w:type="auto"/>
          </w:tcPr>
          <w:p w:rsidR="00F83F12" w:rsidRDefault="001C6219">
            <w:pPr>
              <w:pStyle w:val="P68B1DB1-Normal12"/>
              <w:spacing w:after="0"/>
              <w:jc w:val="left"/>
            </w:pPr>
            <w:r>
              <w:t>78</w:t>
            </w:r>
          </w:p>
        </w:tc>
        <w:tc>
          <w:tcPr>
            <w:tcW w:w="0" w:type="auto"/>
          </w:tcPr>
          <w:p w:rsidR="00F83F12" w:rsidRDefault="001C6219">
            <w:pPr>
              <w:pStyle w:val="P68B1DB1-Normal12"/>
              <w:spacing w:after="0"/>
              <w:jc w:val="left"/>
            </w:pPr>
            <w:r>
              <w:t>¿Podría confirmar que el uso obligatorio de OCS para proyectos de minimis se aprobó con los servicios jurídicos de la Comisión? </w:t>
            </w:r>
          </w:p>
        </w:tc>
        <w:tc>
          <w:tcPr>
            <w:tcW w:w="0" w:type="auto"/>
          </w:tcPr>
          <w:p w:rsidR="00F83F12" w:rsidRDefault="001C6219">
            <w:pPr>
              <w:pStyle w:val="P68B1DB1-Normal12"/>
              <w:spacing w:after="0"/>
              <w:jc w:val="left"/>
            </w:pPr>
            <w:r>
              <w:t>No está claro qué se entiende por «aprobado por los servicios jurídicos». Esta disposición ha sido interpretada por los servicios de la Comisión y, en consonancia con esta interpretación, el uso obligatorio de OCS abarca las operaciones sujetas a ayudas de minimis.</w:t>
            </w:r>
          </w:p>
        </w:tc>
      </w:tr>
      <w:tr w:rsidR="00F83F12">
        <w:tc>
          <w:tcPr>
            <w:tcW w:w="0" w:type="auto"/>
          </w:tcPr>
          <w:p w:rsidR="00F83F12" w:rsidRDefault="001C6219">
            <w:pPr>
              <w:pStyle w:val="P68B1DB1-Normal12"/>
              <w:spacing w:after="0"/>
              <w:jc w:val="left"/>
            </w:pPr>
            <w:r>
              <w:t>79</w:t>
            </w:r>
          </w:p>
        </w:tc>
        <w:tc>
          <w:tcPr>
            <w:tcW w:w="0" w:type="auto"/>
          </w:tcPr>
          <w:p w:rsidR="00F83F12" w:rsidRDefault="001C6219">
            <w:pPr>
              <w:pStyle w:val="P68B1DB1-Normal12"/>
              <w:spacing w:after="0"/>
              <w:jc w:val="left"/>
            </w:pPr>
            <w:r>
              <w:t>En el caso de los proyectos en los que el coste total de una operación no supera los 200 EUR y, de conformidad con los requisitos del Reglamento, es obligatorio utilizar una OCS, ¿pueden reembolsarse las indemnizaciones y salarios abonados a los participantes en concepto de costes reales como excepción? </w:t>
            </w:r>
          </w:p>
        </w:tc>
        <w:tc>
          <w:tcPr>
            <w:tcW w:w="0" w:type="auto"/>
          </w:tcPr>
          <w:p w:rsidR="00F83F12" w:rsidRDefault="001C6219">
            <w:pPr>
              <w:pStyle w:val="P68B1DB1-Normal12"/>
              <w:spacing w:after="0"/>
              <w:jc w:val="left"/>
            </w:pPr>
            <w:r>
              <w:t>Sí, esto se indica claramente en el artículo 53, apartado 2, párrafo segundo, del RDC.</w:t>
            </w:r>
          </w:p>
        </w:tc>
      </w:tr>
      <w:tr w:rsidR="00F83F12">
        <w:tc>
          <w:tcPr>
            <w:tcW w:w="0" w:type="auto"/>
          </w:tcPr>
          <w:p w:rsidR="00F83F12" w:rsidRDefault="001C6219">
            <w:pPr>
              <w:pStyle w:val="P68B1DB1-Normal12"/>
              <w:spacing w:after="0"/>
              <w:jc w:val="left"/>
            </w:pPr>
            <w:r>
              <w:t>80</w:t>
            </w:r>
          </w:p>
        </w:tc>
        <w:tc>
          <w:tcPr>
            <w:tcW w:w="0" w:type="auto"/>
          </w:tcPr>
          <w:p w:rsidR="00F83F12" w:rsidRDefault="001C6219">
            <w:pPr>
              <w:pStyle w:val="P68B1DB1-Normal12"/>
              <w:spacing w:after="0"/>
              <w:jc w:val="left"/>
            </w:pPr>
            <w:r>
              <w:t>Qué tipo de criterios o argumentos puede utilizar una autoridad de gestión para eximir algunas operaciones en el ámbito de la investigación y la innovación; y si la misma intervención en el ámbito de la investigación y la innovación cuenta con el apoyo de diferentes autoridades de gestión, ¿puede una exención y la otra no?</w:t>
            </w:r>
          </w:p>
        </w:tc>
        <w:tc>
          <w:tcPr>
            <w:tcW w:w="0" w:type="auto"/>
          </w:tcPr>
          <w:p w:rsidR="00F83F12" w:rsidRDefault="001C6219">
            <w:pPr>
              <w:pStyle w:val="P68B1DB1-Normal12"/>
              <w:spacing w:after="0"/>
              <w:jc w:val="left"/>
            </w:pPr>
            <w:r>
              <w:t>El RDC no especifica criterios para dicha exención. Corresponde a la autoridad de gestión decidir sobre dichas exenciones basándose en el criterio profesional y asegurarse de que han sido aprobadas por el comité de seguimiento.</w:t>
            </w:r>
          </w:p>
        </w:tc>
      </w:tr>
      <w:tr w:rsidR="00F83F12">
        <w:tc>
          <w:tcPr>
            <w:tcW w:w="0" w:type="auto"/>
          </w:tcPr>
          <w:p w:rsidR="00F83F12" w:rsidRDefault="001C6219">
            <w:pPr>
              <w:pStyle w:val="P68B1DB1-Normal12"/>
              <w:spacing w:after="0"/>
              <w:jc w:val="left"/>
            </w:pPr>
            <w:r>
              <w:t>81</w:t>
            </w:r>
          </w:p>
        </w:tc>
        <w:tc>
          <w:tcPr>
            <w:tcW w:w="0" w:type="auto"/>
          </w:tcPr>
          <w:p w:rsidR="00F83F12" w:rsidRDefault="001C6219">
            <w:pPr>
              <w:pStyle w:val="P68B1DB1-Normal12"/>
              <w:spacing w:after="0"/>
              <w:jc w:val="left"/>
            </w:pPr>
            <w:r>
              <w:t>En una convocatoria de propuestas, ¿podemos dejar al candidato la opción de utilizar o no la OCS propuesta por la autoridad de gestión y la AG puede proponer diferentes OCS para una misma categoría de costes?</w:t>
            </w:r>
          </w:p>
        </w:tc>
        <w:tc>
          <w:tcPr>
            <w:tcW w:w="0" w:type="auto"/>
          </w:tcPr>
          <w:p w:rsidR="00F83F12" w:rsidRDefault="001C6219">
            <w:pPr>
              <w:pStyle w:val="P68B1DB1-Normal12"/>
              <w:spacing w:after="0"/>
              <w:jc w:val="left"/>
            </w:pPr>
            <w:r>
              <w:t>No, el uso de OCS y las categorías de costes que incluirán deben establecerse claramente en la convocatoria de propuestas y aplicarse a todas las operaciones seleccionadas, por ejemplo, en el marco de la convocatoria, a fin de evitar discriminaciones.</w:t>
            </w:r>
          </w:p>
          <w:p w:rsidR="00F83F12" w:rsidRDefault="00F83F12">
            <w:pPr>
              <w:spacing w:after="0"/>
              <w:jc w:val="left"/>
            </w:pPr>
          </w:p>
          <w:p w:rsidR="00F83F12" w:rsidRDefault="001C6219">
            <w:pPr>
              <w:pStyle w:val="P68B1DB1-Normal12"/>
              <w:spacing w:after="0"/>
              <w:jc w:val="left"/>
            </w:pPr>
            <w:r>
              <w:t>Véase también la respuesta a la pregunta 89.</w:t>
            </w:r>
          </w:p>
        </w:tc>
      </w:tr>
      <w:tr w:rsidR="00F83F12">
        <w:tc>
          <w:tcPr>
            <w:tcW w:w="0" w:type="auto"/>
          </w:tcPr>
          <w:p w:rsidR="00F83F12" w:rsidRDefault="001C6219">
            <w:pPr>
              <w:pStyle w:val="P68B1DB1-Normal12"/>
              <w:spacing w:after="0"/>
              <w:jc w:val="left"/>
            </w:pPr>
            <w:r>
              <w:t>82</w:t>
            </w:r>
          </w:p>
        </w:tc>
        <w:tc>
          <w:tcPr>
            <w:tcW w:w="0" w:type="auto"/>
          </w:tcPr>
          <w:p w:rsidR="00F83F12" w:rsidRDefault="001C6219">
            <w:pPr>
              <w:pStyle w:val="P68B1DB1-Normal12"/>
              <w:spacing w:after="0"/>
              <w:jc w:val="left"/>
            </w:pPr>
            <w:r>
              <w:t>¿Cuál es la consecuencia si hay proyectos no ejecutados como OCS en caso de que deban hacerlo?</w:t>
            </w:r>
          </w:p>
        </w:tc>
        <w:tc>
          <w:tcPr>
            <w:tcW w:w="0" w:type="auto"/>
          </w:tcPr>
          <w:p w:rsidR="00F83F12" w:rsidRDefault="001C6219">
            <w:pPr>
              <w:pStyle w:val="P68B1DB1-Normal12"/>
              <w:spacing w:after="0"/>
              <w:jc w:val="left"/>
            </w:pPr>
            <w:r>
              <w:t>Deben respetarse las disposiciones del RDC. De no ser así, dependiendo de las características específicas de la cuestión, la no utilización de OCS puede considerarse una deficiencia sistémica del sistema de gestión y control, en cuyo caso puede aplicarse una corrección financiera.</w:t>
            </w:r>
          </w:p>
        </w:tc>
      </w:tr>
      <w:tr w:rsidR="00F83F12">
        <w:tc>
          <w:tcPr>
            <w:tcW w:w="0" w:type="auto"/>
          </w:tcPr>
          <w:p w:rsidR="00F83F12" w:rsidRDefault="001C6219">
            <w:pPr>
              <w:pStyle w:val="P68B1DB1-Normal12"/>
              <w:spacing w:after="0"/>
              <w:jc w:val="left"/>
            </w:pPr>
            <w:r>
              <w:lastRenderedPageBreak/>
              <w:t>83</w:t>
            </w:r>
          </w:p>
        </w:tc>
        <w:tc>
          <w:tcPr>
            <w:tcW w:w="0" w:type="auto"/>
          </w:tcPr>
          <w:p w:rsidR="00F83F12" w:rsidRDefault="001C6219">
            <w:pPr>
              <w:pStyle w:val="P68B1DB1-Normal12"/>
              <w:spacing w:after="0"/>
              <w:jc w:val="left"/>
            </w:pPr>
            <w:r>
              <w:t>¿Es suficiente utilizar el porcentaje a tanto alzado del 7 % en los casos en que el uso de OCS sea obligatorio y cuando la operación se adquiera plenamente? ¿Qué ocurrirá si los Estados miembros no utilizan las OCS obligatorias, cuando deberían haberlo hecho?</w:t>
            </w:r>
          </w:p>
        </w:tc>
        <w:tc>
          <w:tcPr>
            <w:tcW w:w="0" w:type="auto"/>
          </w:tcPr>
          <w:p w:rsidR="00F83F12" w:rsidRDefault="001C6219">
            <w:pPr>
              <w:pStyle w:val="P68B1DB1-Normal12"/>
              <w:spacing w:after="0"/>
              <w:jc w:val="left"/>
            </w:pPr>
            <w:r>
              <w:t>1) sí.</w:t>
            </w:r>
          </w:p>
          <w:p w:rsidR="00F83F12" w:rsidRDefault="00F83F12">
            <w:pPr>
              <w:spacing w:after="0"/>
              <w:jc w:val="left"/>
            </w:pPr>
          </w:p>
          <w:p w:rsidR="00F83F12" w:rsidRDefault="001C6219">
            <w:pPr>
              <w:pStyle w:val="P68B1DB1-Normal12"/>
              <w:spacing w:after="0"/>
              <w:jc w:val="left"/>
            </w:pPr>
            <w:r>
              <w:t>2) para la segunda parte de la pregunta, véase la respuesta a la pregunta 82.</w:t>
            </w: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3952"/>
        <w:gridCol w:w="4123"/>
      </w:tblGrid>
      <w:tr w:rsidR="00F83F12">
        <w:tc>
          <w:tcPr>
            <w:tcW w:w="0" w:type="auto"/>
            <w:gridSpan w:val="3"/>
          </w:tcPr>
          <w:p w:rsidR="00F83F12" w:rsidRDefault="001C6219">
            <w:pPr>
              <w:pStyle w:val="P68B1DB1-Normal11"/>
              <w:spacing w:after="0"/>
              <w:jc w:val="left"/>
            </w:pPr>
            <w:r>
              <w:t>AYUDAS ESTATALES</w:t>
            </w:r>
          </w:p>
        </w:tc>
      </w:tr>
      <w:tr w:rsidR="00F83F12">
        <w:tc>
          <w:tcPr>
            <w:tcW w:w="0" w:type="auto"/>
          </w:tcPr>
          <w:p w:rsidR="00F83F12" w:rsidRDefault="001C6219">
            <w:pPr>
              <w:pStyle w:val="P68B1DB1-Normal12"/>
              <w:spacing w:after="0"/>
              <w:jc w:val="left"/>
            </w:pPr>
            <w:r>
              <w:t>84</w:t>
            </w:r>
          </w:p>
        </w:tc>
        <w:tc>
          <w:tcPr>
            <w:tcW w:w="0" w:type="auto"/>
          </w:tcPr>
          <w:p w:rsidR="00F83F12" w:rsidRDefault="001C6219">
            <w:pPr>
              <w:pStyle w:val="P68B1DB1-Normal12"/>
              <w:spacing w:after="0"/>
              <w:jc w:val="left"/>
            </w:pPr>
            <w:r>
              <w:t>¿Es correcta la conclusión de que las autoridades de gestión o las autoridades de auditoría no están obligadas a llevar a cabo el control o la auditoría del cumplimiento de las normas sobre ayudas estatales si las normas sobre ayudas estatales se tienen en cuenta en la metodología para la fijación de OCS? ¿Es necesario que la AA verifique la metodología de las OCS en tal caso? </w:t>
            </w:r>
          </w:p>
        </w:tc>
        <w:tc>
          <w:tcPr>
            <w:tcW w:w="0" w:type="auto"/>
          </w:tcPr>
          <w:p w:rsidR="00F83F12" w:rsidRDefault="001C6219">
            <w:pPr>
              <w:pStyle w:val="P68B1DB1-Normal12"/>
              <w:spacing w:after="0"/>
              <w:jc w:val="left"/>
            </w:pPr>
            <w:r>
              <w:t>La verificación de las normas sobre ayudas estatales/de minimis es necesaria en la fase de preparación de la metodología, así como en la fase de selección de las operaciones/ejecución, dependiendo de cada caso.</w:t>
            </w:r>
          </w:p>
          <w:p w:rsidR="00F83F12" w:rsidRDefault="00F83F12">
            <w:pPr>
              <w:spacing w:after="0"/>
              <w:jc w:val="left"/>
            </w:pPr>
          </w:p>
          <w:p w:rsidR="00F83F12" w:rsidRDefault="001C6219">
            <w:pPr>
              <w:pStyle w:val="P68B1DB1-Normal12"/>
              <w:spacing w:after="0"/>
              <w:jc w:val="left"/>
            </w:pPr>
            <w:r>
              <w:t>Véase también la respuesta a la pregunta 86.</w:t>
            </w:r>
          </w:p>
        </w:tc>
      </w:tr>
      <w:tr w:rsidR="00F83F12">
        <w:tc>
          <w:tcPr>
            <w:tcW w:w="0" w:type="auto"/>
          </w:tcPr>
          <w:p w:rsidR="00F83F12" w:rsidRDefault="001C6219">
            <w:pPr>
              <w:pStyle w:val="P68B1DB1-Normal12"/>
              <w:spacing w:after="0"/>
              <w:jc w:val="left"/>
            </w:pPr>
            <w:r>
              <w:t>85</w:t>
            </w:r>
          </w:p>
        </w:tc>
        <w:tc>
          <w:tcPr>
            <w:tcW w:w="0" w:type="auto"/>
          </w:tcPr>
          <w:p w:rsidR="00F83F12" w:rsidRDefault="001C6219">
            <w:pPr>
              <w:pStyle w:val="P68B1DB1-Normal12"/>
              <w:spacing w:after="0"/>
              <w:jc w:val="left"/>
            </w:pPr>
            <w:r>
              <w:t>En caso de que las normas sobre ayudas estatales no se tengan en cuenta en el proceso de establecimiento de la metodología de las OCS, entiendo que las autoridades de gestión deben controlar el cumplimiento de las normas sobre ayudas estatales antes de que se adopte la decisión sobre la provisión de fondos de la UE y que el importe establecido sobre la base de la metodología de las OCS (por ejemplo, el importe unitario multiplicado por el número de unidades, el importe a tanto alzado o el importe de los costes, que debe reembolsarse sobre la base del RF) se considera el importe de los costes subvencionables, al que se aplica la intensidad de ayuda estatal pertinente.</w:t>
            </w:r>
          </w:p>
          <w:p w:rsidR="00F83F12" w:rsidRDefault="00F83F12">
            <w:pPr>
              <w:spacing w:after="0"/>
              <w:jc w:val="left"/>
            </w:pPr>
          </w:p>
          <w:p w:rsidR="00F83F12" w:rsidRDefault="001C6219">
            <w:pPr>
              <w:pStyle w:val="P68B1DB1-Normal12"/>
              <w:spacing w:after="0"/>
              <w:jc w:val="left"/>
            </w:pPr>
            <w:r>
              <w:t>¿Es correcta mi comprensión? </w:t>
            </w:r>
          </w:p>
          <w:p w:rsidR="00F83F12" w:rsidRDefault="00F83F12">
            <w:pPr>
              <w:spacing w:after="0"/>
              <w:jc w:val="left"/>
            </w:pPr>
          </w:p>
          <w:p w:rsidR="00F83F12" w:rsidRDefault="00F83F12">
            <w:pPr>
              <w:spacing w:after="0"/>
              <w:jc w:val="left"/>
            </w:pPr>
          </w:p>
          <w:p w:rsidR="00F83F12" w:rsidRDefault="00F83F12">
            <w:pPr>
              <w:spacing w:after="0"/>
              <w:jc w:val="left"/>
            </w:pPr>
          </w:p>
        </w:tc>
        <w:tc>
          <w:tcPr>
            <w:tcW w:w="0" w:type="auto"/>
          </w:tcPr>
          <w:p w:rsidR="00F83F12" w:rsidRDefault="001C6219">
            <w:pPr>
              <w:pStyle w:val="P68B1DB1-Normal12"/>
              <w:spacing w:after="0"/>
              <w:jc w:val="left"/>
            </w:pPr>
            <w:r>
              <w:t>El momento en que establece las categorías de costes subvencionables para establecer la metodología para la aplicación de las OCS y el cálculo de la intensidad de la ayuda es el momento en que debe comprobar el cumplimiento de las normas sobre ayudas estatales.</w:t>
            </w:r>
          </w:p>
          <w:p w:rsidR="00F83F12" w:rsidRDefault="00F83F12">
            <w:pPr>
              <w:spacing w:after="0"/>
              <w:jc w:val="left"/>
            </w:pPr>
          </w:p>
          <w:p w:rsidR="00F83F12" w:rsidRDefault="001C6219">
            <w:pPr>
              <w:pStyle w:val="P68B1DB1-Normal12"/>
              <w:spacing w:after="0"/>
              <w:jc w:val="left"/>
            </w:pPr>
            <w:r>
              <w:t>En cualquier caso, el acuerdo de subvención establecería claramente las categorías de costes (subvencionables tanto a efectos de las normas sobre ayudas estatales como del RDC), así como la financiación del proyecto, es decir, el importe que se financiará mediante cofinanciación pública a la que se aplicará la intensidad de la ayuda estatal.</w:t>
            </w:r>
          </w:p>
          <w:p w:rsidR="00F83F12" w:rsidRDefault="00F83F12">
            <w:pPr>
              <w:spacing w:after="0"/>
              <w:jc w:val="left"/>
            </w:pPr>
          </w:p>
          <w:p w:rsidR="00F83F12" w:rsidRDefault="001C6219">
            <w:pPr>
              <w:pStyle w:val="P68B1DB1-Normal12"/>
              <w:spacing w:after="0"/>
              <w:jc w:val="left"/>
            </w:pPr>
            <w:r>
              <w:t>Véase también la respuesta a la pregunta 86.</w:t>
            </w:r>
          </w:p>
        </w:tc>
      </w:tr>
      <w:tr w:rsidR="00F83F12">
        <w:tc>
          <w:tcPr>
            <w:tcW w:w="0" w:type="auto"/>
          </w:tcPr>
          <w:p w:rsidR="00F83F12" w:rsidRDefault="001C6219">
            <w:pPr>
              <w:pStyle w:val="P68B1DB1-Normal12"/>
              <w:spacing w:after="0"/>
              <w:jc w:val="left"/>
            </w:pPr>
            <w:r>
              <w:t>86</w:t>
            </w:r>
          </w:p>
        </w:tc>
        <w:tc>
          <w:tcPr>
            <w:tcW w:w="0" w:type="auto"/>
          </w:tcPr>
          <w:p w:rsidR="00F83F12" w:rsidRDefault="001C6219">
            <w:pPr>
              <w:pStyle w:val="P68B1DB1-Normal12"/>
              <w:spacing w:after="0"/>
              <w:jc w:val="left"/>
            </w:pPr>
            <w:r>
              <w:t>¿Cómo pueden abordarse las cuestiones relativas a las ayudas estatales? ¿Se evalúan cuando se utilizan los tipos fijos o las metodologías fuera del mercado?</w:t>
            </w:r>
          </w:p>
        </w:tc>
        <w:tc>
          <w:tcPr>
            <w:tcW w:w="0" w:type="auto"/>
          </w:tcPr>
          <w:p w:rsidR="00F83F12" w:rsidRDefault="001C6219">
            <w:pPr>
              <w:pStyle w:val="P68B1DB1-Normal12"/>
              <w:spacing w:after="0"/>
              <w:jc w:val="left"/>
            </w:pPr>
            <w:r>
              <w:t>(1)           En la fase de la metodología de las OCS:</w:t>
            </w:r>
          </w:p>
          <w:p w:rsidR="00F83F12" w:rsidRDefault="001C6219">
            <w:pPr>
              <w:pStyle w:val="P68B1DB1-Normal12"/>
              <w:spacing w:after="0"/>
              <w:jc w:val="left"/>
            </w:pPr>
            <w:r>
              <w:t>Evaluar si la ayuda que se va a conceder está sujeta a las normas consideradas de ayuda estatal/de minimis (podría encontrarse más aclaración a este respecto en la Comunicación de la Comisión relativa al concepto de ayuda estatal (DO C 262 de 19.7.2016, p. 1).</w:t>
            </w:r>
          </w:p>
          <w:p w:rsidR="00F83F12" w:rsidRDefault="001C6219">
            <w:pPr>
              <w:pStyle w:val="P68B1DB1-Normal12"/>
              <w:spacing w:after="0"/>
              <w:jc w:val="left"/>
            </w:pPr>
            <w:r>
              <w:t>a. En el caso de las ayudas de minimis, comprobar que los umbrales no se superan en la fase de selección de las operaciones.</w:t>
            </w:r>
          </w:p>
          <w:p w:rsidR="00F83F12" w:rsidRDefault="001C6219">
            <w:pPr>
              <w:pStyle w:val="P68B1DB1-Normal12"/>
              <w:spacing w:after="0"/>
              <w:jc w:val="left"/>
            </w:pPr>
            <w:r>
              <w:t xml:space="preserve">B. En caso de ayuda estatal, verificar qué normas se aplican (RGEC, SIEG, régimen notificado, etc.). A continuación, compruebe si las categorías de costes cubiertas por el </w:t>
            </w:r>
            <w:r>
              <w:lastRenderedPageBreak/>
              <w:t>importe a tanto alzado o el importe de las existencias son subvencionables con arreglo a las normas sobre ayudas estatales aplicadas.</w:t>
            </w:r>
          </w:p>
          <w:p w:rsidR="00F83F12" w:rsidRDefault="00F83F12">
            <w:pPr>
              <w:spacing w:after="0"/>
              <w:jc w:val="left"/>
            </w:pPr>
          </w:p>
          <w:p w:rsidR="00F83F12" w:rsidRDefault="001C6219">
            <w:pPr>
              <w:pStyle w:val="P68B1DB1-Normal12"/>
              <w:spacing w:after="0"/>
              <w:jc w:val="left"/>
            </w:pPr>
            <w:r>
              <w:t>(2)           En la fase de selección y ejecución de las operaciones</w:t>
            </w:r>
          </w:p>
          <w:p w:rsidR="00F83F12" w:rsidRDefault="001C6219">
            <w:pPr>
              <w:pStyle w:val="P68B1DB1-Normal12"/>
              <w:spacing w:after="0"/>
              <w:jc w:val="left"/>
            </w:pPr>
            <w:r>
              <w:t>Comprobar si la ayuda no supera los umbrales de minimis o si cumple las normas de intensidad de la ayuda. Si procede, comprobar si el beneficiario cumple la condición de pyme (si así lo exigen las normas aplicables a las ayudas estatales).</w:t>
            </w: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3474"/>
        <w:gridCol w:w="4601"/>
      </w:tblGrid>
      <w:tr w:rsidR="00F83F12">
        <w:tc>
          <w:tcPr>
            <w:tcW w:w="0" w:type="auto"/>
            <w:gridSpan w:val="3"/>
          </w:tcPr>
          <w:p w:rsidR="00F83F12" w:rsidRDefault="001C6219">
            <w:pPr>
              <w:pStyle w:val="P68B1DB1-Normal11"/>
              <w:spacing w:after="0"/>
              <w:jc w:val="left"/>
            </w:pPr>
            <w:r>
              <w:t>Requisitos generales sobre las OCS</w:t>
            </w:r>
          </w:p>
        </w:tc>
      </w:tr>
      <w:tr w:rsidR="00F83F12">
        <w:tc>
          <w:tcPr>
            <w:tcW w:w="0" w:type="auto"/>
          </w:tcPr>
          <w:p w:rsidR="00F83F12" w:rsidRDefault="001C6219">
            <w:pPr>
              <w:pStyle w:val="P68B1DB1-Normal12"/>
              <w:spacing w:after="0"/>
              <w:jc w:val="left"/>
            </w:pPr>
            <w:r>
              <w:t>87</w:t>
            </w:r>
          </w:p>
        </w:tc>
        <w:tc>
          <w:tcPr>
            <w:tcW w:w="0" w:type="auto"/>
          </w:tcPr>
          <w:p w:rsidR="00F83F12" w:rsidRDefault="001C6219">
            <w:pPr>
              <w:pStyle w:val="P68B1DB1-Normal12"/>
              <w:spacing w:after="0"/>
              <w:jc w:val="left"/>
            </w:pPr>
            <w:r>
              <w:t>Cómo tratar el caso cuando el IVA forma parte de los costes subvencionables utilizados para el cálculo de las OCS (por ejemplo, cantidad a tanto alzado o costes unitarios) y, en el transcurso de la ejecución del proyecto o durante el período de sostenibilidad, el beneficiario cambia su condición desde el punto de vista del IVA y se convierte en el sujeto pasivo del IVA con derecho a deducción del IVA (es decir, el IVA pasa a ser no subvencionable).  ¿Cómo tratar las posibles medidas correctoras, especialmente en el caso de la cantidad a tanto alzado, en caso de que los resultados del proyecto se hayan entregado a tiempo y con la calidad solicitada?</w:t>
            </w:r>
          </w:p>
        </w:tc>
        <w:tc>
          <w:tcPr>
            <w:tcW w:w="0" w:type="auto"/>
          </w:tcPr>
          <w:p w:rsidR="00F83F12" w:rsidRDefault="001C6219">
            <w:pPr>
              <w:pStyle w:val="P68B1DB1-Normal12"/>
              <w:spacing w:after="0"/>
              <w:jc w:val="left"/>
            </w:pPr>
            <w:r>
              <w:t>• Para las operaciones cuyo coste total sea inferior a 5 millones EUR (IVA incluido) será subvencionable el IVA.</w:t>
            </w:r>
          </w:p>
          <w:p w:rsidR="00F83F12" w:rsidRDefault="001C6219">
            <w:pPr>
              <w:pStyle w:val="P68B1DB1-Normal12"/>
              <w:spacing w:after="0"/>
              <w:jc w:val="left"/>
            </w:pPr>
            <w:r>
              <w:t>• Para las operaciones cuyo coste total sea, como mínimo, de 5 millones de euros (IVA incluido):</w:t>
            </w:r>
          </w:p>
          <w:p w:rsidR="00F83F12" w:rsidRDefault="001C6219">
            <w:pPr>
              <w:pStyle w:val="P68B1DB1-Normal12"/>
              <w:numPr>
                <w:ilvl w:val="0"/>
                <w:numId w:val="56"/>
              </w:numPr>
              <w:spacing w:after="0"/>
              <w:jc w:val="left"/>
            </w:pPr>
            <w:r>
              <w:t>En caso de reembolso de costes basado en un tipo fijo, la subvencionabilidad del IVA se evalúa para los costes de base, es decir, los costes a los que se aplica el tipo fijo. Por lo que se refiere a los costes «reales» cubiertos por el tipo fijo (es decir, los costes subyacentes a las categorías de gastos reembolsados sobre la base del tipo fijo), no se evaluará la subvencionabilidad del IVA;</w:t>
            </w:r>
          </w:p>
          <w:p w:rsidR="00F83F12" w:rsidRDefault="001C6219">
            <w:pPr>
              <w:pStyle w:val="P68B1DB1-Normal12"/>
              <w:numPr>
                <w:ilvl w:val="1"/>
                <w:numId w:val="57"/>
              </w:numPr>
              <w:spacing w:after="0"/>
              <w:jc w:val="left"/>
            </w:pPr>
            <w:r>
              <w:t>En caso de reembolso de operaciones basado en costes unitarios o importes a tanto alzado, si la AG aplica el mismo porcentaje de OCS a todas las operaciones (independientemente de que sean superiores o inferiores a 5 millones EUR), en la práctica no es necesario ningún ajuste.</w:t>
            </w:r>
          </w:p>
        </w:tc>
      </w:tr>
      <w:tr w:rsidR="00F83F12">
        <w:tc>
          <w:tcPr>
            <w:tcW w:w="0" w:type="auto"/>
          </w:tcPr>
          <w:p w:rsidR="00F83F12" w:rsidRDefault="001C6219">
            <w:pPr>
              <w:pStyle w:val="P68B1DB1-Normal12"/>
              <w:spacing w:after="0"/>
              <w:jc w:val="left"/>
            </w:pPr>
            <w:r>
              <w:t>88</w:t>
            </w:r>
          </w:p>
        </w:tc>
        <w:tc>
          <w:tcPr>
            <w:tcW w:w="0" w:type="auto"/>
          </w:tcPr>
          <w:p w:rsidR="00F83F12" w:rsidRDefault="001C6219">
            <w:pPr>
              <w:pStyle w:val="P68B1DB1-Normal12"/>
              <w:spacing w:after="0"/>
              <w:jc w:val="left"/>
            </w:pPr>
            <w:r>
              <w:t>¿Son también aplicables las OCS al apoyo del MRR?</w:t>
            </w:r>
          </w:p>
          <w:p w:rsidR="00F83F12" w:rsidRDefault="00F83F12">
            <w:pPr>
              <w:spacing w:after="0"/>
              <w:jc w:val="left"/>
            </w:pPr>
          </w:p>
        </w:tc>
        <w:tc>
          <w:tcPr>
            <w:tcW w:w="0" w:type="auto"/>
          </w:tcPr>
          <w:p w:rsidR="00F83F12" w:rsidRDefault="001C6219">
            <w:pPr>
              <w:spacing w:after="0"/>
              <w:jc w:val="left"/>
            </w:pPr>
            <w:r>
              <w:rPr>
                <w:rFonts w:ascii="Calibri" w:hAnsi="Calibri" w:cs="Calibri"/>
                <w:sz w:val="20"/>
              </w:rPr>
              <w:t xml:space="preserve">Véase el sitio web del MRR: </w:t>
            </w:r>
            <w:hyperlink r:id="rId467" w:history="1">
              <w:r>
                <w:rPr>
                  <w:rStyle w:val="Hipervnculo"/>
                  <w:rFonts w:ascii="Calibri" w:hAnsi="Calibri" w:cs="Calibri"/>
                  <w:sz w:val="20"/>
                </w:rPr>
                <w:t>MRR — Preguntas frecuentes — Preguntas frecuentes RECOVER para los Estados miembros — EC Extranet Wiki (europa.eu)</w:t>
              </w:r>
            </w:hyperlink>
          </w:p>
        </w:tc>
      </w:tr>
      <w:tr w:rsidR="00F83F12">
        <w:tc>
          <w:tcPr>
            <w:tcW w:w="0" w:type="auto"/>
          </w:tcPr>
          <w:p w:rsidR="00F83F12" w:rsidRDefault="001C6219">
            <w:pPr>
              <w:pStyle w:val="P68B1DB1-Normal12"/>
              <w:spacing w:after="0"/>
              <w:jc w:val="left"/>
            </w:pPr>
            <w:r>
              <w:t>89</w:t>
            </w:r>
          </w:p>
        </w:tc>
        <w:tc>
          <w:tcPr>
            <w:tcW w:w="0" w:type="auto"/>
          </w:tcPr>
          <w:p w:rsidR="00F83F12" w:rsidRDefault="001C6219">
            <w:pPr>
              <w:pStyle w:val="P68B1DB1-Normal12"/>
              <w:spacing w:after="0"/>
              <w:jc w:val="left"/>
            </w:pPr>
            <w:r>
              <w:t>¿Cómo garantizar que los costes sean iguales entre las diferentes OCS (cálculo diferente sobre las mismas cosas, etc.)?</w:t>
            </w:r>
          </w:p>
        </w:tc>
        <w:tc>
          <w:tcPr>
            <w:tcW w:w="0" w:type="auto"/>
          </w:tcPr>
          <w:p w:rsidR="00F83F12" w:rsidRDefault="001C6219">
            <w:pPr>
              <w:pStyle w:val="P68B1DB1-Normal12"/>
              <w:spacing w:after="0"/>
              <w:jc w:val="left"/>
            </w:pPr>
            <w:r>
              <w:t>La cuestión no está clara. No existe ningún requisito o necesidad de igualdad cuando se establece un método de OCS para calcular los costes de una operación. Puede haber diferentes cálculos de los mismos costes. Los diferentes métodos no necesitan tener los mismos cálculos; sin embargo, deben ser justas, equitativas y verificables.</w:t>
            </w:r>
          </w:p>
          <w:p w:rsidR="00F83F12" w:rsidRDefault="00F83F12">
            <w:pPr>
              <w:spacing w:after="0"/>
              <w:jc w:val="left"/>
            </w:pPr>
          </w:p>
          <w:p w:rsidR="00F83F12" w:rsidRDefault="001C6219">
            <w:pPr>
              <w:pStyle w:val="P68B1DB1-Normal12"/>
              <w:spacing w:after="0"/>
              <w:jc w:val="left"/>
            </w:pPr>
            <w:r>
              <w:t xml:space="preserve">También se recuerda que, si en el mismo programa o convocatoria de propuestas la AG aplica importes o porcentajes diferentes a los mismos tipos de beneficiarios u operaciones, debe asegurarse de que no favorece a algunos beneficiarios u operaciones frente a otros, es decir, se sigue el principio de </w:t>
            </w:r>
            <w:r>
              <w:lastRenderedPageBreak/>
              <w:t>igualdad de trato (si se aplican importes o porcentajes diferentes a los mismos tipos de beneficiarios u operaciones, debe basarse en elementos objetivos).</w:t>
            </w:r>
          </w:p>
        </w:tc>
      </w:tr>
      <w:tr w:rsidR="00F83F12">
        <w:tc>
          <w:tcPr>
            <w:tcW w:w="0" w:type="auto"/>
          </w:tcPr>
          <w:p w:rsidR="00F83F12" w:rsidRDefault="001C6219">
            <w:pPr>
              <w:pStyle w:val="P68B1DB1-Normal12"/>
              <w:spacing w:after="0"/>
              <w:jc w:val="left"/>
            </w:pPr>
            <w:r>
              <w:lastRenderedPageBreak/>
              <w:t>90</w:t>
            </w:r>
          </w:p>
        </w:tc>
        <w:tc>
          <w:tcPr>
            <w:tcW w:w="0" w:type="auto"/>
          </w:tcPr>
          <w:p w:rsidR="00F83F12" w:rsidRDefault="001C6219">
            <w:pPr>
              <w:pStyle w:val="P68B1DB1-Normal12"/>
              <w:spacing w:after="0"/>
              <w:jc w:val="left"/>
            </w:pPr>
            <w:r>
              <w:t>En cuanto al tipo fijo, ¿qué tipo de buenas prácticas se han identificado en relación con el cálculo de los costes básicos y los costes calculados, con el fin de cumplir el requisito de que los costes calculados se paguen siempre junto con los costes básicos?</w:t>
            </w:r>
          </w:p>
        </w:tc>
        <w:tc>
          <w:tcPr>
            <w:tcW w:w="0" w:type="auto"/>
          </w:tcPr>
          <w:p w:rsidR="00F83F12" w:rsidRDefault="001C6219">
            <w:pPr>
              <w:pStyle w:val="P68B1DB1-Normal12"/>
              <w:spacing w:after="0"/>
              <w:jc w:val="left"/>
            </w:pPr>
            <w:r>
              <w:t xml:space="preserve">Debe existir la </w:t>
            </w:r>
            <w:r>
              <w:rPr>
                <w:u w:val="single"/>
              </w:rPr>
              <w:t>debida</w:t>
            </w:r>
            <w:r>
              <w:t xml:space="preserve"> </w:t>
            </w:r>
            <w:r>
              <w:rPr>
                <w:u w:val="single"/>
              </w:rPr>
              <w:t>proporcionalidad</w:t>
            </w:r>
            <w:r>
              <w:t xml:space="preserve"> entre los costes de base y los costes calculados:</w:t>
            </w:r>
          </w:p>
          <w:p w:rsidR="00F83F12" w:rsidRDefault="00F83F12">
            <w:pPr>
              <w:spacing w:after="0"/>
              <w:jc w:val="left"/>
            </w:pPr>
          </w:p>
          <w:p w:rsidR="00F83F12" w:rsidRDefault="001C6219">
            <w:pPr>
              <w:pStyle w:val="P68B1DB1-Normal12"/>
              <w:numPr>
                <w:ilvl w:val="0"/>
                <w:numId w:val="58"/>
              </w:numPr>
              <w:spacing w:after="0"/>
              <w:jc w:val="left"/>
            </w:pPr>
            <w:r>
              <w:t>Por ejemplo, en el caso de los costes directos a tanto alzado para el cálculo de los costes indirectos:</w:t>
            </w:r>
          </w:p>
          <w:p w:rsidR="00F83F12" w:rsidRDefault="001C6219">
            <w:pPr>
              <w:pStyle w:val="P68B1DB1-Normal12"/>
              <w:numPr>
                <w:ilvl w:val="0"/>
                <w:numId w:val="59"/>
              </w:numPr>
              <w:spacing w:after="0"/>
              <w:jc w:val="left"/>
            </w:pPr>
            <w:r>
              <w:t>No debe declararse a la Comisión ningún «coste indirecto» sin que se hayan incurrido en costes directos subyacentes.</w:t>
            </w:r>
          </w:p>
          <w:p w:rsidR="00F83F12" w:rsidRDefault="001C6219">
            <w:pPr>
              <w:pStyle w:val="P68B1DB1-Normal12"/>
              <w:numPr>
                <w:ilvl w:val="0"/>
                <w:numId w:val="59"/>
              </w:numPr>
              <w:spacing w:after="0"/>
              <w:jc w:val="left"/>
            </w:pPr>
            <w:r>
              <w:t>si, por ejemplo, el beneficiario abona el X% de los costes directos, aproximadamente el mismo porcentaje de los costes indirectos (que no supere el porcentaje reglamentario de los costes directos) podrá considerarse abonado.</w:t>
            </w:r>
          </w:p>
          <w:p w:rsidR="00F83F12" w:rsidRDefault="00F83F12">
            <w:pPr>
              <w:spacing w:after="0"/>
              <w:jc w:val="left"/>
            </w:pPr>
          </w:p>
          <w:p w:rsidR="00F83F12" w:rsidRDefault="001C6219">
            <w:pPr>
              <w:pStyle w:val="P68B1DB1-Normal12"/>
              <w:numPr>
                <w:ilvl w:val="0"/>
                <w:numId w:val="60"/>
              </w:numPr>
              <w:spacing w:after="0"/>
              <w:jc w:val="left"/>
            </w:pPr>
            <w:r>
              <w:t>Otro ejemplo:</w:t>
            </w:r>
          </w:p>
          <w:p w:rsidR="00F83F12" w:rsidRDefault="001C6219">
            <w:pPr>
              <w:pStyle w:val="P68B1DB1-Normal12"/>
              <w:numPr>
                <w:ilvl w:val="0"/>
                <w:numId w:val="61"/>
              </w:numPr>
              <w:spacing w:after="0"/>
              <w:jc w:val="left"/>
            </w:pPr>
            <w:r>
              <w:t>Se utiliza un tipo fijo del 20 % para los costes de personal.</w:t>
            </w:r>
          </w:p>
          <w:p w:rsidR="00F83F12" w:rsidRDefault="001C6219">
            <w:pPr>
              <w:pStyle w:val="P68B1DB1-Normal12"/>
              <w:numPr>
                <w:ilvl w:val="0"/>
                <w:numId w:val="61"/>
              </w:numPr>
              <w:spacing w:after="0"/>
              <w:jc w:val="left"/>
            </w:pPr>
            <w:r>
              <w:t>La solicitud de reembolso del beneficiario asciende a 50,000 EUR para equipos.</w:t>
            </w:r>
          </w:p>
          <w:p w:rsidR="00F83F12" w:rsidRDefault="001C6219">
            <w:pPr>
              <w:pStyle w:val="P68B1DB1-Normal12"/>
              <w:numPr>
                <w:ilvl w:val="0"/>
                <w:numId w:val="61"/>
              </w:numPr>
              <w:spacing w:after="0"/>
              <w:jc w:val="left"/>
            </w:pPr>
            <w:r>
              <w:t>La AG reembolsará 50,000 EUR para equipos + 10,000 EUR para gastos de personal (20 %, calculado automáticamente cuando se incluyen los costes reales en la solicitud de reembolso). Importe total del gasto subvencionable sujeto a reembolso: 60,000 EUR.</w:t>
            </w:r>
          </w:p>
        </w:tc>
      </w:tr>
      <w:tr w:rsidR="00F83F12">
        <w:tc>
          <w:tcPr>
            <w:tcW w:w="0" w:type="auto"/>
          </w:tcPr>
          <w:p w:rsidR="00F83F12" w:rsidRDefault="001C6219">
            <w:pPr>
              <w:pStyle w:val="P68B1DB1-Normal12"/>
              <w:spacing w:after="0"/>
              <w:jc w:val="left"/>
            </w:pPr>
            <w:r>
              <w:t>91</w:t>
            </w:r>
          </w:p>
        </w:tc>
        <w:tc>
          <w:tcPr>
            <w:tcW w:w="0" w:type="auto"/>
          </w:tcPr>
          <w:p w:rsidR="00F83F12" w:rsidRDefault="001C6219">
            <w:pPr>
              <w:pStyle w:val="P68B1DB1-Normal12"/>
              <w:spacing w:after="0"/>
              <w:jc w:val="left"/>
            </w:pPr>
            <w:r>
              <w:t>El artículo 53, apartado 1, párrafo 2, permite que la autoridad de gestión exima a las operaciones de la aplicación obligatoria de las OCS en el caso de la investigación y la innovación. El comité de seguimiento debe dar su aprobación previa. Por lo que se refiere al futuro período de financiación, ¿cuándo tiene que aprobar el comité de seguimiento y qué comité de seguimiento (del período de financiación 2014-2020 o 2021-2027)?</w:t>
            </w:r>
          </w:p>
        </w:tc>
        <w:tc>
          <w:tcPr>
            <w:tcW w:w="0" w:type="auto"/>
          </w:tcPr>
          <w:p w:rsidR="00F83F12" w:rsidRDefault="001C6219">
            <w:pPr>
              <w:pStyle w:val="P68B1DB1-Normal12"/>
              <w:spacing w:after="0"/>
              <w:jc w:val="left"/>
            </w:pPr>
            <w:r>
              <w:t>Comité de seguimiento del programa 2021-2027, en el momento considerado adecuado por la AG, por ejemplo, para toda una convocatoria de propuestas, dada la especificidad de las operaciones solicitadas o al cierre de la presentación de propuestas a una convocatoria y la evaluación de (algunos proyectos específicos) (que se convertirán en operaciones).</w:t>
            </w:r>
          </w:p>
        </w:tc>
      </w:tr>
      <w:tr w:rsidR="00F83F12">
        <w:tc>
          <w:tcPr>
            <w:tcW w:w="0" w:type="auto"/>
          </w:tcPr>
          <w:p w:rsidR="00F83F12" w:rsidRDefault="001C6219">
            <w:pPr>
              <w:pStyle w:val="P68B1DB1-Normal12"/>
              <w:spacing w:after="0"/>
              <w:jc w:val="left"/>
            </w:pPr>
            <w:r>
              <w:t>92</w:t>
            </w:r>
          </w:p>
        </w:tc>
        <w:tc>
          <w:tcPr>
            <w:tcW w:w="0" w:type="auto"/>
          </w:tcPr>
          <w:p w:rsidR="00F83F12" w:rsidRDefault="001C6219">
            <w:pPr>
              <w:pStyle w:val="P68B1DB1-Normal12"/>
              <w:spacing w:after="0"/>
              <w:jc w:val="left"/>
            </w:pPr>
            <w:r>
              <w:t>¿Qué categorías de</w:t>
            </w:r>
            <w:r w:rsidR="009C6703">
              <w:t xml:space="preserve"> OCS </w:t>
            </w:r>
            <w:r>
              <w:t>deben presentarse junto con el programa operativo? ¿Cómo distinguir estos</w:t>
            </w:r>
            <w:r w:rsidR="009C6703">
              <w:t xml:space="preserve"> OCS </w:t>
            </w:r>
            <w:r>
              <w:t xml:space="preserve">de otros </w:t>
            </w:r>
            <w:r w:rsidR="00503869">
              <w:t xml:space="preserve"> OCS?</w:t>
            </w:r>
            <w:r>
              <w:t> </w:t>
            </w:r>
          </w:p>
        </w:tc>
        <w:tc>
          <w:tcPr>
            <w:tcW w:w="0" w:type="auto"/>
          </w:tcPr>
          <w:p w:rsidR="00F83F12" w:rsidRDefault="001C6219">
            <w:pPr>
              <w:pStyle w:val="P68B1DB1-Normal12"/>
              <w:spacing w:after="0"/>
              <w:jc w:val="left"/>
            </w:pPr>
            <w:r>
              <w:t>El apéndice 1 debe incluir todas las categorías de costes que se cubrirán mediante costes unitarios, cantidades fijas únicas o tipos fijos de un tipo específico de operación. No existe ninguna restricción con respecto a qué OCS pueden presentarse con arreglo al artículo 94 del RDC. Sin embargo, se recomienda encarecidamente utilizarlo para los regímenes de OCS, y no para las OCS dirigidas a una operación específica, por ejemplo, un proyecto de presupuesto para una operación específica.</w:t>
            </w:r>
          </w:p>
          <w:p w:rsidR="00F83F12" w:rsidRDefault="00F83F12">
            <w:pPr>
              <w:spacing w:after="0"/>
              <w:jc w:val="left"/>
            </w:pPr>
          </w:p>
          <w:p w:rsidR="00F83F12" w:rsidRDefault="001C6219">
            <w:pPr>
              <w:pStyle w:val="P68B1DB1-Normal12"/>
              <w:spacing w:after="0"/>
              <w:jc w:val="left"/>
            </w:pPr>
            <w:r>
              <w:lastRenderedPageBreak/>
              <w:t>La segunda cuestión prejudicial no está clara. En el caso de las OCS con arreglo al artículo 53 del RDC (nivel EM-beneficiario), dichos costes no deben incluirse en el apéndice 1. Sin embargo, como ya se ha respondido, las OCS del apéndice 1 pueden ser las mismas que las OCS aplicadas a nivel del beneficiario.</w:t>
            </w:r>
          </w:p>
        </w:tc>
      </w:tr>
      <w:tr w:rsidR="00F83F12">
        <w:tc>
          <w:tcPr>
            <w:tcW w:w="0" w:type="auto"/>
          </w:tcPr>
          <w:p w:rsidR="00F83F12" w:rsidRDefault="001C6219">
            <w:pPr>
              <w:pStyle w:val="P68B1DB1-Normal12"/>
              <w:spacing w:after="0"/>
              <w:jc w:val="left"/>
            </w:pPr>
            <w:r>
              <w:lastRenderedPageBreak/>
              <w:t>93</w:t>
            </w:r>
          </w:p>
        </w:tc>
        <w:tc>
          <w:tcPr>
            <w:tcW w:w="0" w:type="auto"/>
          </w:tcPr>
          <w:p w:rsidR="00F83F12" w:rsidRDefault="001C6219">
            <w:pPr>
              <w:pStyle w:val="P68B1DB1-Normal12"/>
              <w:spacing w:after="0"/>
              <w:jc w:val="left"/>
            </w:pPr>
            <w:r>
              <w:t>Cómo garantizar que los gastos que deben cubrirse mediante opciones de costes simplificados y otros gastos puedan distinguirse claramente (especialmente los costes indirectos/costes administrativos de personal que deben distinguirse de otros costes de personal). ¿Qué criterios son adecuados para tal distinción?</w:t>
            </w:r>
          </w:p>
        </w:tc>
        <w:tc>
          <w:tcPr>
            <w:tcW w:w="0" w:type="auto"/>
          </w:tcPr>
          <w:p w:rsidR="00F83F12" w:rsidRDefault="001C6219">
            <w:pPr>
              <w:pStyle w:val="P68B1DB1-Normal12"/>
              <w:spacing w:after="0"/>
              <w:jc w:val="left"/>
            </w:pPr>
            <w:r>
              <w:t>La AG debe definir específicamente las categorías de costes de una operación que deben ser cubiertos por las OCS. Esto significa que la AG debe definir y separar claramente los costes directos de los costes indirectos por su relación con la operación. Al separar claramente las categorías de costes y la aplicación de diferentes OCS para cada categoría, la AG garantizará que no se produzca una doble financiación.</w:t>
            </w:r>
          </w:p>
        </w:tc>
      </w:tr>
      <w:tr w:rsidR="00F83F12">
        <w:tc>
          <w:tcPr>
            <w:tcW w:w="0" w:type="auto"/>
          </w:tcPr>
          <w:p w:rsidR="00F83F12" w:rsidRDefault="001C6219">
            <w:pPr>
              <w:pStyle w:val="P68B1DB1-Normal12"/>
              <w:spacing w:after="0"/>
              <w:jc w:val="left"/>
            </w:pPr>
            <w:r>
              <w:t>94</w:t>
            </w:r>
          </w:p>
        </w:tc>
        <w:tc>
          <w:tcPr>
            <w:tcW w:w="0" w:type="auto"/>
          </w:tcPr>
          <w:p w:rsidR="00F83F12" w:rsidRDefault="001C6219">
            <w:pPr>
              <w:pStyle w:val="P68B1DB1-Normal12"/>
              <w:spacing w:after="0"/>
              <w:jc w:val="left"/>
            </w:pPr>
            <w:r>
              <w:t>Si utilizo OCS entre beneficiarios de la AM, cómo me reembolsará la CE a nivel de programa, sobre qué base.  ¿Qué ocurre con la seguridad jurídica? Esto en el caso de que no presente OCS con arreglo al artículo 88, por ejemplo.</w:t>
            </w:r>
          </w:p>
        </w:tc>
        <w:tc>
          <w:tcPr>
            <w:tcW w:w="0" w:type="auto"/>
          </w:tcPr>
          <w:p w:rsidR="00F83F12" w:rsidRDefault="001C6219">
            <w:pPr>
              <w:pStyle w:val="P68B1DB1-Normal12"/>
              <w:spacing w:after="0"/>
              <w:jc w:val="left"/>
            </w:pPr>
            <w:r>
              <w:t>La Comisión reembolsará a los Estados miembros sobre la base del artículo 51, letra b), del RDC.</w:t>
            </w:r>
          </w:p>
        </w:tc>
      </w:tr>
    </w:tbl>
    <w:p w:rsidR="00F83F12" w:rsidRDefault="00F83F12"/>
    <w:p w:rsidR="00F83F12" w:rsidRDefault="00F83F12"/>
    <w:tbl>
      <w:tblPr>
        <w:tblStyle w:val="ScrollTableNormal"/>
        <w:tblW w:w="5000" w:type="pct"/>
        <w:tblLook w:val="00A0" w:firstRow="1" w:lastRow="0" w:firstColumn="1" w:lastColumn="0" w:noHBand="0" w:noVBand="0"/>
      </w:tblPr>
      <w:tblGrid>
        <w:gridCol w:w="419"/>
        <w:gridCol w:w="4013"/>
        <w:gridCol w:w="4062"/>
      </w:tblGrid>
      <w:tr w:rsidR="00F83F12">
        <w:tc>
          <w:tcPr>
            <w:tcW w:w="0" w:type="auto"/>
            <w:gridSpan w:val="3"/>
          </w:tcPr>
          <w:p w:rsidR="00F83F12" w:rsidRDefault="001C6219">
            <w:pPr>
              <w:pStyle w:val="P68B1DB1-Normal11"/>
              <w:spacing w:after="0"/>
              <w:jc w:val="left"/>
            </w:pPr>
            <w:r>
              <w:t>OCS en las solicitudes de pago</w:t>
            </w:r>
          </w:p>
        </w:tc>
      </w:tr>
      <w:tr w:rsidR="00F83F12">
        <w:tc>
          <w:tcPr>
            <w:tcW w:w="0" w:type="auto"/>
          </w:tcPr>
          <w:p w:rsidR="00F83F12" w:rsidRDefault="001C6219">
            <w:pPr>
              <w:pStyle w:val="P68B1DB1-Normal12"/>
              <w:spacing w:after="0"/>
              <w:jc w:val="left"/>
            </w:pPr>
            <w:r>
              <w:t>95</w:t>
            </w:r>
          </w:p>
        </w:tc>
        <w:tc>
          <w:tcPr>
            <w:tcW w:w="0" w:type="auto"/>
          </w:tcPr>
          <w:p w:rsidR="00F83F12" w:rsidRDefault="001C6219">
            <w:pPr>
              <w:pStyle w:val="P68B1DB1-Normal12"/>
              <w:spacing w:after="0"/>
              <w:jc w:val="left"/>
            </w:pPr>
            <w:r>
              <w:t>(1)           ¿Podría indicar y corregir en caso de error la siguiente interpretación de «plantilla para las solicitudes de pago — artículo 85, apartado 3,»? </w:t>
            </w:r>
          </w:p>
          <w:p w:rsidR="00F83F12" w:rsidRDefault="001C6219">
            <w:pPr>
              <w:pStyle w:val="P68B1DB1-Normal12"/>
              <w:numPr>
                <w:ilvl w:val="0"/>
                <w:numId w:val="62"/>
              </w:numPr>
              <w:spacing w:after="0"/>
              <w:jc w:val="left"/>
            </w:pPr>
            <w:r>
              <w:t>La columna B, correspondiente al nivel de Estado miembro — beneficiarios, es la columna en la que deben declararse los «costes reales» con arreglo al artículo 48, letra a), y las opciones de costes simplificados con arreglo al artículo 48, letra b), letras c) y d).</w:t>
            </w:r>
          </w:p>
          <w:p w:rsidR="00F83F12" w:rsidRDefault="001C6219">
            <w:pPr>
              <w:pStyle w:val="P68B1DB1-Normal12"/>
              <w:numPr>
                <w:ilvl w:val="0"/>
                <w:numId w:val="62"/>
              </w:numPr>
              <w:spacing w:after="0"/>
              <w:jc w:val="left"/>
            </w:pPr>
            <w:r>
              <w:t>La columna B bis, correspondiente al nivel Comisión — Estado miembro, es la columna en la que deben declararse las opciones de costes simplificados y la financiación no vinculada a los costes con arreglo al artículo 46, 88 y 89.</w:t>
            </w:r>
          </w:p>
          <w:p w:rsidR="00F83F12" w:rsidRDefault="001C6219">
            <w:pPr>
              <w:pStyle w:val="P68B1DB1-Normal12"/>
              <w:spacing w:after="0"/>
              <w:jc w:val="left"/>
            </w:pPr>
            <w:r>
              <w:t> ¿Podría indicar la Comisión a qué tipo de costes se refieren exactamente el artículo 85, apartado 3, letra a), y el artículo 46, letra b), y en qué columna deben declararse los costes del apartado 46, letra b)? </w:t>
            </w:r>
          </w:p>
          <w:p w:rsidR="00F83F12" w:rsidRDefault="00F83F12">
            <w:pPr>
              <w:spacing w:after="0"/>
              <w:jc w:val="left"/>
            </w:pPr>
          </w:p>
          <w:p w:rsidR="00F83F12" w:rsidRDefault="001C6219">
            <w:pPr>
              <w:pStyle w:val="P68B1DB1-Normal12"/>
              <w:spacing w:after="0"/>
              <w:jc w:val="left"/>
            </w:pPr>
            <w:r>
              <w:t xml:space="preserve">(2)           El artículo 88 establece que «los Estados miembros reembolsarán a los beneficiarios a efectos del presente artículo. Este reembolso podrá adoptar cualquier forma de ayuda». Por lo tanto, podemos tener </w:t>
            </w:r>
            <w:r>
              <w:lastRenderedPageBreak/>
              <w:t>diferentes modos de reembolso entre los dos niveles.</w:t>
            </w:r>
          </w:p>
          <w:p w:rsidR="00F83F12" w:rsidRDefault="001C6219">
            <w:pPr>
              <w:pStyle w:val="P68B1DB1-Normal12"/>
              <w:spacing w:after="0"/>
              <w:jc w:val="left"/>
            </w:pPr>
            <w:r>
              <w:t>Pero ambos importes deben figurar en la solicitud de pago: el importe que el Estado miembro ha reembolsado al beneficiario debe figurar en la columna B y el importe que la Comisión reembolsa a los Estados miembros en la columna B bis? ¿O solo debe figurar en la columna B bis el importe que la Comisión reembolsa al Estado miembro?</w:t>
            </w:r>
          </w:p>
        </w:tc>
        <w:tc>
          <w:tcPr>
            <w:tcW w:w="0" w:type="auto"/>
          </w:tcPr>
          <w:p w:rsidR="00F83F12" w:rsidRDefault="001C6219">
            <w:pPr>
              <w:pStyle w:val="P68B1DB1-Normal12"/>
              <w:spacing w:after="0"/>
              <w:jc w:val="left"/>
            </w:pPr>
            <w:r>
              <w:lastRenderedPageBreak/>
              <w:t>1) a) Cuando no se haga uso del artículo 94/95 del RDC:</w:t>
            </w:r>
          </w:p>
          <w:p w:rsidR="00F83F12" w:rsidRDefault="00F83F12">
            <w:pPr>
              <w:spacing w:after="0"/>
              <w:jc w:val="left"/>
            </w:pPr>
          </w:p>
          <w:p w:rsidR="00F83F12" w:rsidRDefault="001C6219">
            <w:pPr>
              <w:pStyle w:val="P68B1DB1-Normal12"/>
              <w:numPr>
                <w:ilvl w:val="0"/>
                <w:numId w:val="63"/>
              </w:numPr>
              <w:spacing w:after="0"/>
              <w:jc w:val="left"/>
            </w:pPr>
            <w:r>
              <w:t>Si la AG reembolsó al beneficiario sobre la base de los costes realmente contraídos por el beneficiario y pagados, estos importes deben consignarse en la columna B de la plantilla que figura en el anexo XXIII, de conformidad con el artículo 91, apartado 3, letra a), del RDC.</w:t>
            </w:r>
          </w:p>
          <w:p w:rsidR="00F83F12" w:rsidRDefault="001C6219">
            <w:pPr>
              <w:pStyle w:val="P68B1DB1-Normal12"/>
              <w:numPr>
                <w:ilvl w:val="0"/>
                <w:numId w:val="63"/>
              </w:numPr>
              <w:spacing w:after="0"/>
              <w:jc w:val="left"/>
            </w:pPr>
            <w:r>
              <w:t>Si la AG reembolsó al beneficiario sobre la base de OCS, los importes de las OCS calculados de conformidad con el artículo 53, letra b), letras c) y d), del RDC deben consignarse en la columna B en consonancia con el artículo 91, apartado 4, letra c), del RDC.</w:t>
            </w:r>
          </w:p>
          <w:p w:rsidR="00F83F12" w:rsidRDefault="00F83F12">
            <w:pPr>
              <w:spacing w:after="0"/>
              <w:jc w:val="left"/>
            </w:pPr>
          </w:p>
          <w:p w:rsidR="00F83F12" w:rsidRDefault="001C6219">
            <w:pPr>
              <w:pStyle w:val="P68B1DB1-Normal12"/>
              <w:spacing w:after="0"/>
              <w:jc w:val="left"/>
            </w:pPr>
            <w:r>
              <w:t>Ambas opciones se refieren al reembolso por parte de la Comisión de conformidad con el artículo 51, letra b), del RDC.</w:t>
            </w:r>
          </w:p>
          <w:p w:rsidR="00F83F12" w:rsidRDefault="00F83F12">
            <w:pPr>
              <w:spacing w:after="0"/>
              <w:jc w:val="left"/>
            </w:pPr>
          </w:p>
          <w:p w:rsidR="00F83F12" w:rsidRDefault="001C6219">
            <w:pPr>
              <w:pStyle w:val="P68B1DB1-Normal12"/>
              <w:spacing w:after="0"/>
              <w:jc w:val="left"/>
            </w:pPr>
            <w:r>
              <w:t xml:space="preserve">b) Correcto: De conformidad con el artículo 91, apartado 4, letra a), y letra b), del RDC, cuando se haga uso del artículo 94/95 del RDC [artículo 51, letra a), letras c), d) y e), del RDC], los importes correspondientes (aprobados por la Decisión de la Comisión) deben figurar en la </w:t>
            </w:r>
            <w:r>
              <w:lastRenderedPageBreak/>
              <w:t>columna C de la plantilla que figura en el anexo XXIII.</w:t>
            </w:r>
          </w:p>
          <w:p w:rsidR="00F83F12" w:rsidRDefault="00F83F12">
            <w:pPr>
              <w:spacing w:after="0"/>
              <w:jc w:val="left"/>
            </w:pPr>
          </w:p>
          <w:p w:rsidR="00F83F12" w:rsidRDefault="001C6219">
            <w:pPr>
              <w:pStyle w:val="P68B1DB1-Normal12"/>
              <w:spacing w:after="0"/>
              <w:jc w:val="left"/>
            </w:pPr>
            <w:r>
              <w:t>2) cuando se recurra al artículo 94 del RDC, los importes de las OCS aprobados por la Decisión de la Comisión que cubren las categorías de costes correspondientes deben figurar en la columna C del modelo que figura en el anexo XXIII, y no los importes correspondientes entre los Estados miembros y los beneficiarios.</w:t>
            </w:r>
          </w:p>
        </w:tc>
      </w:tr>
      <w:tr w:rsidR="00F83F12">
        <w:tc>
          <w:tcPr>
            <w:tcW w:w="0" w:type="auto"/>
          </w:tcPr>
          <w:p w:rsidR="00F83F12" w:rsidRDefault="001C6219">
            <w:pPr>
              <w:pStyle w:val="P68B1DB1-Normal12"/>
              <w:spacing w:after="0"/>
              <w:jc w:val="left"/>
            </w:pPr>
            <w:r>
              <w:lastRenderedPageBreak/>
              <w:t>96</w:t>
            </w:r>
          </w:p>
        </w:tc>
        <w:tc>
          <w:tcPr>
            <w:tcW w:w="0" w:type="auto"/>
          </w:tcPr>
          <w:p w:rsidR="00F83F12" w:rsidRDefault="001C6219">
            <w:pPr>
              <w:pStyle w:val="P68B1DB1-Normal12"/>
              <w:spacing w:after="0"/>
              <w:jc w:val="left"/>
            </w:pPr>
            <w:r>
              <w:t>Tras la respuesta a la pregunta 12 de las preguntas frecuentes de la Comisión, tenemos dos preguntas sobre los métodos de almacenamiento de datos sobre los pagos a los beneficiarios:</w:t>
            </w:r>
          </w:p>
          <w:p w:rsidR="00F83F12" w:rsidRDefault="00F83F12">
            <w:pPr>
              <w:spacing w:after="0"/>
              <w:jc w:val="left"/>
            </w:pPr>
          </w:p>
          <w:p w:rsidR="00F83F12" w:rsidRDefault="001C6219">
            <w:pPr>
              <w:pStyle w:val="P68B1DB1-Normal12"/>
              <w:spacing w:after="0"/>
              <w:jc w:val="left"/>
            </w:pPr>
            <w:r>
              <w:t>1-A) ¿deben registrarse y almacenarse en el sistema de información único del programa los datos relativos a los pagos a los beneficiarios a fin de cumplir los requisitos del artículo 87-5 ter?</w:t>
            </w:r>
          </w:p>
          <w:p w:rsidR="00F83F12" w:rsidRDefault="00F83F12">
            <w:pPr>
              <w:spacing w:after="0"/>
              <w:jc w:val="left"/>
            </w:pPr>
          </w:p>
          <w:p w:rsidR="00F83F12" w:rsidRDefault="001C6219">
            <w:pPr>
              <w:pStyle w:val="P68B1DB1-Normal12"/>
              <w:spacing w:after="0"/>
              <w:jc w:val="left"/>
            </w:pPr>
            <w:r>
              <w:t>1-B) ¿se confirma que estos datos no serán auditables por auditorías de la CE o de los Estados miembros (de conformidad con el artículo 88-3, apartado 3), aunque estén en el mismo sistema de información del programa?</w:t>
            </w:r>
          </w:p>
          <w:p w:rsidR="00F83F12" w:rsidRDefault="00F83F12">
            <w:pPr>
              <w:spacing w:after="0"/>
              <w:jc w:val="left"/>
            </w:pPr>
          </w:p>
          <w:p w:rsidR="00F83F12" w:rsidRDefault="001C6219">
            <w:pPr>
              <w:pStyle w:val="P68B1DB1-Normal12"/>
              <w:spacing w:after="0"/>
              <w:jc w:val="left"/>
            </w:pPr>
            <w:r>
              <w:t>O, por el contrario:</w:t>
            </w:r>
          </w:p>
          <w:p w:rsidR="00F83F12" w:rsidRDefault="00F83F12">
            <w:pPr>
              <w:spacing w:after="0"/>
              <w:jc w:val="left"/>
            </w:pPr>
          </w:p>
          <w:p w:rsidR="00F83F12" w:rsidRDefault="001C6219">
            <w:pPr>
              <w:pStyle w:val="P68B1DB1-Normal12"/>
              <w:spacing w:after="0"/>
              <w:jc w:val="left"/>
            </w:pPr>
            <w:r>
              <w:t>2) ¿no es necesario registrar estos datos relativos a los pagos a los beneficiarios en el sistema de información único del programa porque estos datos no pueden auditarse de conformidad con el artículo 88-3, apartado 3?  ¿Puede la AG cumplir los requisitos del artículo 87, apartado 5, letra b), al cierre (del programa) enviando un simple informe fuera del IS?</w:t>
            </w:r>
          </w:p>
        </w:tc>
        <w:tc>
          <w:tcPr>
            <w:tcW w:w="0" w:type="auto"/>
          </w:tcPr>
          <w:p w:rsidR="00F83F12" w:rsidRDefault="00F83F12">
            <w:pPr>
              <w:spacing w:after="0"/>
              <w:jc w:val="left"/>
            </w:pPr>
          </w:p>
          <w:p w:rsidR="00F83F12" w:rsidRDefault="00F83F12">
            <w:pPr>
              <w:spacing w:after="0"/>
              <w:jc w:val="left"/>
            </w:pPr>
          </w:p>
          <w:p w:rsidR="00F83F12" w:rsidRDefault="00F83F12">
            <w:pPr>
              <w:spacing w:after="0"/>
              <w:jc w:val="left"/>
            </w:pPr>
          </w:p>
          <w:p w:rsidR="00F83F12" w:rsidRDefault="00F83F12">
            <w:pPr>
              <w:spacing w:after="0"/>
              <w:jc w:val="left"/>
            </w:pPr>
          </w:p>
          <w:p w:rsidR="00F83F12" w:rsidRDefault="001C6219">
            <w:pPr>
              <w:pStyle w:val="P68B1DB1-Normal12"/>
              <w:spacing w:after="0"/>
              <w:jc w:val="left"/>
            </w:pPr>
            <w:r>
              <w:t>1-A) sí, deberían. La pista de auditoría de las OCS con arreglo al artículo 94 del RDC (anexo XIII, sección III) y de la FNLTC con arreglo al artículo 95 del RDC (anexo XIII, sección IV) exige la prueba del pago de la contribución pública al beneficiario y su fecha.</w:t>
            </w:r>
          </w:p>
          <w:p w:rsidR="00F83F12" w:rsidRDefault="00F83F12">
            <w:pPr>
              <w:spacing w:after="0"/>
              <w:jc w:val="left"/>
            </w:pPr>
          </w:p>
          <w:p w:rsidR="00F83F12" w:rsidRDefault="00F83F12">
            <w:pPr>
              <w:spacing w:after="0"/>
              <w:jc w:val="left"/>
            </w:pPr>
          </w:p>
        </w:tc>
      </w:tr>
      <w:tr w:rsidR="00F83F12">
        <w:tc>
          <w:tcPr>
            <w:tcW w:w="0" w:type="auto"/>
          </w:tcPr>
          <w:p w:rsidR="00F83F12" w:rsidRDefault="001C6219">
            <w:pPr>
              <w:pStyle w:val="P68B1DB1-Normal12"/>
              <w:spacing w:after="0"/>
              <w:jc w:val="left"/>
            </w:pPr>
            <w:r>
              <w:t>97</w:t>
            </w:r>
          </w:p>
        </w:tc>
        <w:tc>
          <w:tcPr>
            <w:tcW w:w="0" w:type="auto"/>
          </w:tcPr>
          <w:p w:rsidR="00F83F12" w:rsidRDefault="001C6219">
            <w:pPr>
              <w:pStyle w:val="P68B1DB1-Normal12"/>
              <w:spacing w:after="0"/>
              <w:jc w:val="left"/>
            </w:pPr>
            <w:r>
              <w:t>Presentación de medios privados en las solicitudes de pago — Si la cofinanciación comprende únicamente medios privados para tramitar la solicitud de pago (proyecto de RDC, anexo XIX, p. 162).  ¿Debe la columna «B» registrar el importe pagado a través de</w:t>
            </w:r>
            <w:r w:rsidR="009C6703">
              <w:t xml:space="preserve"> OCS </w:t>
            </w:r>
            <w:r>
              <w:t>más el importe de los medios privados? ¿Cómo deben calcularse los medios privados? El importe del</w:t>
            </w:r>
            <w:r w:rsidR="009C6703">
              <w:t xml:space="preserve"> OCS </w:t>
            </w:r>
            <w:r>
              <w:t>puede calcularse mediante la presentación de ofertas. ¿Puede calcularse el importe de la cofinanciación privada de la operación sobre la base de las ofertas y de la diferencia con el importe de</w:t>
            </w:r>
            <w:r w:rsidR="009C6703">
              <w:t xml:space="preserve"> OCS </w:t>
            </w:r>
            <w:r>
              <w:t>efectivamente pagado?</w:t>
            </w:r>
          </w:p>
        </w:tc>
        <w:tc>
          <w:tcPr>
            <w:tcW w:w="0" w:type="auto"/>
          </w:tcPr>
          <w:p w:rsidR="00F83F12" w:rsidRDefault="001C6219">
            <w:pPr>
              <w:pStyle w:val="P68B1DB1-Normal12"/>
              <w:spacing w:after="0"/>
              <w:jc w:val="left"/>
            </w:pPr>
            <w:r>
              <w:t>En la columna A de la plantilla que figura en el anexo XXIII, el Estado miembro debe indicar si la base de cálculo es total o pública y, a continuación, toda la información facilitada sigue este sistema.</w:t>
            </w:r>
          </w:p>
          <w:p w:rsidR="00F83F12" w:rsidRDefault="001C6219">
            <w:pPr>
              <w:pStyle w:val="P68B1DB1-Normal12"/>
              <w:numPr>
                <w:ilvl w:val="0"/>
                <w:numId w:val="64"/>
              </w:numPr>
              <w:spacing w:after="0"/>
              <w:jc w:val="left"/>
            </w:pPr>
            <w:r>
              <w:t>Si la AG reembolsó al beneficiario sobre la base de los costes realmente contraídos por el beneficiario y pagados (públicos o privados), estos importes deben consignarse en la columna B de la plantilla que figura en el anexo XXIII, de conformidad con el artículo 91, apartado 3, letra a), del RDC.</w:t>
            </w:r>
          </w:p>
          <w:p w:rsidR="00F83F12" w:rsidRDefault="001C6219">
            <w:pPr>
              <w:pStyle w:val="P68B1DB1-Normal12"/>
              <w:numPr>
                <w:ilvl w:val="0"/>
                <w:numId w:val="64"/>
              </w:numPr>
              <w:spacing w:after="0"/>
              <w:jc w:val="left"/>
            </w:pPr>
            <w:r>
              <w:t xml:space="preserve">Si la AG reembolsa al beneficiario sobre la base de OCS, los importes de </w:t>
            </w:r>
            <w:r>
              <w:lastRenderedPageBreak/>
              <w:t>las OCS calculados de conformidad con el artículo 53, letra b), letras c) y d), del RDC deben consignarse en la columna B, de conformidad con el artículo 91, apartado 4, letra c), del RDC. Los importes de las OCS se calculan de conformidad con los métodos previstos en el artículo 53, apartado 2, del RDC.</w:t>
            </w:r>
          </w:p>
          <w:p w:rsidR="00F83F12" w:rsidRDefault="001C6219">
            <w:pPr>
              <w:pStyle w:val="P68B1DB1-Normal12"/>
              <w:numPr>
                <w:ilvl w:val="0"/>
                <w:numId w:val="64"/>
              </w:numPr>
              <w:spacing w:after="0"/>
              <w:jc w:val="left"/>
            </w:pPr>
            <w:r>
              <w:t>De conformidad con el artículo 91, apartado 4, letra a), y letra b), del RDC, cuando se haga uso del artículo 94/95 del RDC [artículo 51, letra a), letras c), d) y e), del RDC], los importes correspondientes (aprobados por la Decisión de la Comisión) deben figurar en la columna C de la plantilla que figura en el anexo XXIII.</w:t>
            </w:r>
          </w:p>
        </w:tc>
      </w:tr>
    </w:tbl>
    <w:p w:rsidR="00F83F12" w:rsidRDefault="00F83F12"/>
    <w:p w:rsidR="00F83F12" w:rsidRDefault="00F83F12"/>
    <w:p w:rsidR="00F83F12" w:rsidRDefault="001C6219">
      <w:r>
        <w:t>NOTA: Los Estados miembros han enviado las preguntas incluidas en este documento Q-A cuando el marco regulador de los programas 2021-2027 aún estaba en fase de negociación. Por lo tanto, la numeración de los artículos a los que se refieren difiere de la adoptada en el Reglamento (UE) 2021/1060 (en lo sucesivo, RDC). La correspondencia de artículos entre el proyecto y las versiones finales del RDC es la siguiente: </w:t>
      </w:r>
    </w:p>
    <w:tbl>
      <w:tblPr>
        <w:tblStyle w:val="ScrollTableNormal"/>
        <w:tblW w:w="5000" w:type="pct"/>
        <w:tblLook w:val="0000" w:firstRow="0" w:lastRow="0" w:firstColumn="0" w:lastColumn="0" w:noHBand="0" w:noVBand="0"/>
      </w:tblPr>
      <w:tblGrid>
        <w:gridCol w:w="4524"/>
        <w:gridCol w:w="3970"/>
      </w:tblGrid>
      <w:tr w:rsidR="00F83F12">
        <w:tc>
          <w:tcPr>
            <w:tcW w:w="0" w:type="auto"/>
          </w:tcPr>
          <w:p w:rsidR="00F83F12" w:rsidRDefault="001C6219">
            <w:pPr>
              <w:pStyle w:val="P68B1DB1-Normal11"/>
              <w:spacing w:after="0"/>
              <w:jc w:val="left"/>
            </w:pPr>
            <w:r>
              <w:t>Proyecto de RDC</w:t>
            </w:r>
          </w:p>
        </w:tc>
        <w:tc>
          <w:tcPr>
            <w:tcW w:w="0" w:type="auto"/>
          </w:tcPr>
          <w:p w:rsidR="00F83F12" w:rsidRDefault="001C6219">
            <w:pPr>
              <w:pStyle w:val="P68B1DB1-Normal11"/>
              <w:spacing w:after="0"/>
              <w:jc w:val="left"/>
            </w:pPr>
            <w:r>
              <w:t>RDC definitivo</w:t>
            </w:r>
          </w:p>
        </w:tc>
      </w:tr>
      <w:tr w:rsidR="00F83F12">
        <w:tc>
          <w:tcPr>
            <w:tcW w:w="0" w:type="auto"/>
          </w:tcPr>
          <w:p w:rsidR="00F83F12" w:rsidRDefault="001C6219">
            <w:pPr>
              <w:pStyle w:val="P68B1DB1-Normal12"/>
              <w:spacing w:after="0"/>
              <w:jc w:val="left"/>
            </w:pPr>
            <w:r>
              <w:t>Artículo 46</w:t>
            </w:r>
          </w:p>
        </w:tc>
        <w:tc>
          <w:tcPr>
            <w:tcW w:w="0" w:type="auto"/>
          </w:tcPr>
          <w:p w:rsidR="00F83F12" w:rsidRDefault="001C6219">
            <w:pPr>
              <w:pStyle w:val="P68B1DB1-Normal12"/>
              <w:spacing w:after="0"/>
              <w:jc w:val="left"/>
            </w:pPr>
            <w:r>
              <w:t>Artículo 51</w:t>
            </w:r>
          </w:p>
        </w:tc>
      </w:tr>
      <w:tr w:rsidR="00F83F12">
        <w:tc>
          <w:tcPr>
            <w:tcW w:w="0" w:type="auto"/>
          </w:tcPr>
          <w:p w:rsidR="00F83F12" w:rsidRDefault="001C6219">
            <w:pPr>
              <w:pStyle w:val="P68B1DB1-Normal12"/>
              <w:spacing w:after="0"/>
              <w:jc w:val="left"/>
            </w:pPr>
            <w:r>
              <w:t>Artículo 48</w:t>
            </w:r>
          </w:p>
        </w:tc>
        <w:tc>
          <w:tcPr>
            <w:tcW w:w="0" w:type="auto"/>
          </w:tcPr>
          <w:p w:rsidR="00F83F12" w:rsidRDefault="001C6219">
            <w:pPr>
              <w:pStyle w:val="P68B1DB1-Normal12"/>
              <w:spacing w:after="0"/>
              <w:jc w:val="left"/>
            </w:pPr>
            <w:r>
              <w:t>Artículo 53</w:t>
            </w:r>
          </w:p>
        </w:tc>
      </w:tr>
      <w:tr w:rsidR="00F83F12">
        <w:tc>
          <w:tcPr>
            <w:tcW w:w="0" w:type="auto"/>
          </w:tcPr>
          <w:p w:rsidR="00F83F12" w:rsidRDefault="001C6219">
            <w:pPr>
              <w:pStyle w:val="P68B1DB1-Normal12"/>
              <w:spacing w:after="0"/>
              <w:jc w:val="left"/>
            </w:pPr>
            <w:r>
              <w:t>Artículo 49</w:t>
            </w:r>
          </w:p>
        </w:tc>
        <w:tc>
          <w:tcPr>
            <w:tcW w:w="0" w:type="auto"/>
          </w:tcPr>
          <w:p w:rsidR="00F83F12" w:rsidRDefault="001C6219">
            <w:pPr>
              <w:pStyle w:val="P68B1DB1-Normal12"/>
              <w:spacing w:after="0"/>
              <w:jc w:val="left"/>
            </w:pPr>
            <w:r>
              <w:t>Artículo 54</w:t>
            </w:r>
          </w:p>
        </w:tc>
      </w:tr>
      <w:tr w:rsidR="00F83F12">
        <w:tc>
          <w:tcPr>
            <w:tcW w:w="0" w:type="auto"/>
          </w:tcPr>
          <w:p w:rsidR="00F83F12" w:rsidRDefault="001C6219">
            <w:pPr>
              <w:pStyle w:val="P68B1DB1-Normal12"/>
              <w:spacing w:after="0"/>
              <w:jc w:val="left"/>
            </w:pPr>
            <w:r>
              <w:t>Artículo 50</w:t>
            </w:r>
          </w:p>
        </w:tc>
        <w:tc>
          <w:tcPr>
            <w:tcW w:w="0" w:type="auto"/>
          </w:tcPr>
          <w:p w:rsidR="00F83F12" w:rsidRDefault="001C6219">
            <w:pPr>
              <w:pStyle w:val="P68B1DB1-Normal12"/>
              <w:spacing w:after="0"/>
              <w:jc w:val="left"/>
            </w:pPr>
            <w:r>
              <w:t>Artículo 55</w:t>
            </w:r>
          </w:p>
        </w:tc>
      </w:tr>
      <w:tr w:rsidR="00F83F12">
        <w:tc>
          <w:tcPr>
            <w:tcW w:w="0" w:type="auto"/>
          </w:tcPr>
          <w:p w:rsidR="00F83F12" w:rsidRDefault="001C6219">
            <w:pPr>
              <w:pStyle w:val="P68B1DB1-Normal12"/>
              <w:spacing w:after="0"/>
              <w:jc w:val="left"/>
            </w:pPr>
            <w:r>
              <w:t>Artículo 51</w:t>
            </w:r>
          </w:p>
        </w:tc>
        <w:tc>
          <w:tcPr>
            <w:tcW w:w="0" w:type="auto"/>
          </w:tcPr>
          <w:p w:rsidR="00F83F12" w:rsidRDefault="001C6219">
            <w:pPr>
              <w:pStyle w:val="P68B1DB1-Normal12"/>
              <w:spacing w:after="0"/>
              <w:jc w:val="left"/>
            </w:pPr>
            <w:r>
              <w:t>Artículo 56</w:t>
            </w:r>
          </w:p>
        </w:tc>
      </w:tr>
      <w:tr w:rsidR="00F83F12">
        <w:tc>
          <w:tcPr>
            <w:tcW w:w="0" w:type="auto"/>
          </w:tcPr>
          <w:p w:rsidR="00F83F12" w:rsidRDefault="001C6219">
            <w:pPr>
              <w:pStyle w:val="P68B1DB1-Normal12"/>
              <w:spacing w:after="0"/>
              <w:jc w:val="left"/>
            </w:pPr>
            <w:r>
              <w:t>Artículo 85</w:t>
            </w:r>
          </w:p>
        </w:tc>
        <w:tc>
          <w:tcPr>
            <w:tcW w:w="0" w:type="auto"/>
          </w:tcPr>
          <w:p w:rsidR="00F83F12" w:rsidRDefault="001C6219">
            <w:pPr>
              <w:pStyle w:val="P68B1DB1-Normal12"/>
              <w:spacing w:after="0"/>
              <w:jc w:val="left"/>
            </w:pPr>
            <w:r>
              <w:t>Artículo 91</w:t>
            </w:r>
          </w:p>
        </w:tc>
      </w:tr>
      <w:tr w:rsidR="00F83F12">
        <w:tc>
          <w:tcPr>
            <w:tcW w:w="0" w:type="auto"/>
          </w:tcPr>
          <w:p w:rsidR="00F83F12" w:rsidRDefault="001C6219">
            <w:pPr>
              <w:pStyle w:val="P68B1DB1-Normal12"/>
              <w:spacing w:after="0"/>
              <w:jc w:val="left"/>
            </w:pPr>
            <w:r>
              <w:t>Artículo 87</w:t>
            </w:r>
          </w:p>
        </w:tc>
        <w:tc>
          <w:tcPr>
            <w:tcW w:w="0" w:type="auto"/>
          </w:tcPr>
          <w:p w:rsidR="00F83F12" w:rsidRDefault="001C6219">
            <w:pPr>
              <w:pStyle w:val="P68B1DB1-Normal12"/>
              <w:spacing w:after="0"/>
              <w:jc w:val="left"/>
            </w:pPr>
            <w:r>
              <w:t>Artículo 93</w:t>
            </w:r>
          </w:p>
        </w:tc>
      </w:tr>
      <w:tr w:rsidR="00F83F12">
        <w:tc>
          <w:tcPr>
            <w:tcW w:w="0" w:type="auto"/>
          </w:tcPr>
          <w:p w:rsidR="00F83F12" w:rsidRDefault="001C6219">
            <w:pPr>
              <w:pStyle w:val="P68B1DB1-Normal12"/>
              <w:spacing w:after="0"/>
              <w:jc w:val="left"/>
            </w:pPr>
            <w:r>
              <w:t>Artículo 88</w:t>
            </w:r>
          </w:p>
        </w:tc>
        <w:tc>
          <w:tcPr>
            <w:tcW w:w="0" w:type="auto"/>
          </w:tcPr>
          <w:p w:rsidR="00F83F12" w:rsidRDefault="001C6219">
            <w:pPr>
              <w:pStyle w:val="P68B1DB1-Normal12"/>
              <w:spacing w:after="0"/>
              <w:jc w:val="left"/>
            </w:pPr>
            <w:r>
              <w:t>Artículo 94</w:t>
            </w:r>
          </w:p>
        </w:tc>
      </w:tr>
      <w:tr w:rsidR="00F83F12">
        <w:tc>
          <w:tcPr>
            <w:tcW w:w="0" w:type="auto"/>
          </w:tcPr>
          <w:p w:rsidR="00F83F12" w:rsidRDefault="001C6219">
            <w:pPr>
              <w:pStyle w:val="P68B1DB1-Normal12"/>
              <w:spacing w:after="0"/>
              <w:jc w:val="left"/>
            </w:pPr>
            <w:r>
              <w:t>Artículo 89</w:t>
            </w:r>
          </w:p>
        </w:tc>
        <w:tc>
          <w:tcPr>
            <w:tcW w:w="0" w:type="auto"/>
          </w:tcPr>
          <w:p w:rsidR="00F83F12" w:rsidRDefault="001C6219">
            <w:pPr>
              <w:pStyle w:val="P68B1DB1-Normal12"/>
              <w:spacing w:after="0"/>
              <w:jc w:val="left"/>
            </w:pPr>
            <w:r>
              <w:t>Artículo 95</w:t>
            </w:r>
          </w:p>
        </w:tc>
      </w:tr>
    </w:tbl>
    <w:p w:rsidR="00F83F12" w:rsidRDefault="00F83F12"/>
    <w:p w:rsidR="00F83F12" w:rsidRDefault="00F83F12"/>
    <w:p w:rsidR="00F83F12" w:rsidRDefault="001C6219">
      <w:pPr>
        <w:pStyle w:val="Ttulo1"/>
      </w:pPr>
      <w:bookmarkStart w:id="159" w:name="scroll-bookmark-159"/>
      <w:bookmarkStart w:id="160" w:name="scroll-bookmark-160"/>
      <w:bookmarkEnd w:id="159"/>
      <w:r>
        <w:t>QA00093 — La defensa contra el cambio climático</w:t>
      </w:r>
      <w:bookmarkEnd w:id="160"/>
    </w:p>
    <w:p w:rsidR="00F83F12" w:rsidRDefault="001C6219">
      <w:pPr>
        <w:pStyle w:val="P68B1DB1-Normal4"/>
      </w:pPr>
      <w:r>
        <w:t>Pregunta 1 (incluidos los hechos e información pertinentes):</w:t>
      </w:r>
    </w:p>
    <w:p w:rsidR="00F83F12" w:rsidRDefault="00F83F12"/>
    <w:p w:rsidR="00F83F12" w:rsidRDefault="001C6219">
      <w:r>
        <w:rPr>
          <w:noProof/>
          <w:lang w:val="es-ES"/>
        </w:rPr>
        <w:drawing>
          <wp:inline distT="0" distB="0" distL="0" distR="0" wp14:anchorId="35B7975C" wp14:editId="5F36635C">
            <wp:extent cx="152435" cy="152435"/>
            <wp:effectExtent l="0" t="0" r="0" b="0"/>
            <wp:docPr id="100323" name="Imagen 1003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73, apartado 2, letra j), del RDC</w:t>
      </w:r>
    </w:p>
    <w:p w:rsidR="00F83F12" w:rsidRDefault="001C6219">
      <w:r>
        <w:rPr>
          <w:noProof/>
          <w:lang w:val="es-ES"/>
        </w:rPr>
        <w:drawing>
          <wp:inline distT="0" distB="0" distL="0" distR="0" wp14:anchorId="448EB071" wp14:editId="3113A7BC">
            <wp:extent cx="152435" cy="152435"/>
            <wp:effectExtent l="0" t="0" r="0" b="0"/>
            <wp:docPr id="100325" name="Imagen 1003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t>Pregunta 1 (incluidos los hechos e información pertinentes):</w:t>
      </w:r>
    </w:p>
    <w:p w:rsidR="00F83F12" w:rsidRDefault="001C6219">
      <w:r>
        <w:lastRenderedPageBreak/>
        <w:t>La carga administrativa causada por la defensa contra el cambio climático, los requisitos de documentación y control y, en particular, las consecuencias resultantes para la ejecución del proyecto podrían ser bastante elevadas. Para ilustrarlo: Por ejemplo, las orientaciones mencionan el requisito de un breve resumen de 10-20 páginas por proyecto, lo que parece un gran esfuerzo en el caso de proyectos de infraestructuras más pequeños, que pueden normalizarse fácilmente mediante normas técnicas, como medidas de renovación de edificios, como la sustitución de ventanas o el aislamiento de edificios públicos. ¿Está de acuerdo la Comisión Europea en que los Estados miembros sigan un enfoque pragmático para evitar cargas administrativas, en particular en el caso de los proyectos que solo entran dentro del examen de la fase 1? Por ejemplo, ¿sería un enfoque viable reducir el esfuerzo de defensa contra el cambio climático y documentación mediante el establecimiento de umbrales mínimos, como normas mínimas de eficiencia energética orientadas hacia los objetivos climáticos para 2030 y 2050 para la construcción o renovación de edificios, de modo que los promotores de proyectos, con respecto a la mitigación del cambio climático, solo tendrían que demostrar el cumplimiento de la norma de eficiencia?</w:t>
      </w:r>
      <w:r>
        <w:rPr>
          <w:i/>
        </w:rPr>
        <w:t xml:space="preserve"> </w:t>
      </w:r>
    </w:p>
    <w:p w:rsidR="00F83F12" w:rsidRDefault="001C6219">
      <w:pPr>
        <w:pStyle w:val="P68B1DB1-Normal4"/>
      </w:pPr>
      <w:r>
        <w:t>Respuesta.</w:t>
      </w:r>
    </w:p>
    <w:p w:rsidR="00F83F12" w:rsidRDefault="001C6219">
      <w:r>
        <w:t>Las orientaciones técnicas sobre la defensa contra el cambio climático de las infraestructuras en el período 2021-2027, publicadas en el Diario Oficial C 373 de 16.9.21 (httpson//eur-lex.europa.eu/legal-content/EN/TXT/?uri=OJ:C:2021:373:TOC)</w:t>
      </w:r>
      <w:hyperlink r:id="rId468" w:history="1">
        <w:r>
          <w:rPr>
            <w:rStyle w:val="Hipervnculo"/>
          </w:rPr>
          <w:t>,</w:t>
        </w:r>
      </w:hyperlink>
      <w:r>
        <w:t>en lo sucesivo «las orientaciones», dividen el proceso de defensa contra el cambio climático en dos fases (véase, por ejemplo, el cuadro 1 de las orientaciones). El análisis detallado (fase 2) está sujeto al resultado de la fase de examen analítico (fase 1), que contribuye a reducir la carga administrativa. Cuando el resultado de la fase 1 muestre que la fase 2 no es necesaria, el resumen podrá ser inferior a 10-20 páginas (anexo B, B1, pg. 50). Por lo que se refiere a la mitigación, el cuadro 4 de las orientaciones define un umbral para las emisiones de gases de efecto invernadero que, por ejemplo, para proyectos típicos de construcción o renovación de edificios, podría justificar (sobre la base de un análisis de la huella de carbono) que esta categoría de proyecto podría añadirse a la parte superior del cuadro 2 de las orientaciones (para las que no se requerirá una evaluación de la huella de carbono).</w:t>
      </w:r>
    </w:p>
    <w:p w:rsidR="00F83F12" w:rsidRDefault="00F83F12"/>
    <w:p w:rsidR="00F83F12" w:rsidRDefault="001C6219">
      <w:pPr>
        <w:pStyle w:val="P68B1DB1-Normal4"/>
      </w:pPr>
      <w:r>
        <w:t>Pregunta 2 (incluidos los hechos e información pertinentes):</w:t>
      </w:r>
    </w:p>
    <w:p w:rsidR="00F83F12" w:rsidRDefault="001C6219">
      <w:r>
        <w:t>En el caso de los proyectos de la fase 1, ¿basta con cubrir las emisiones directas de GEI o también deben cubrirse las emisiones indirectas primarias de GEI? Si deben cubrirse las emisiones indirectas primarias de GHF, ¿qué se requiere o incluye?</w:t>
      </w:r>
    </w:p>
    <w:p w:rsidR="00F83F12" w:rsidRDefault="001C6219">
      <w:pPr>
        <w:pStyle w:val="P68B1DB1-Normal13"/>
      </w:pPr>
      <w:r>
        <w:t>Respuesta.</w:t>
      </w:r>
    </w:p>
    <w:p w:rsidR="00F83F12" w:rsidRDefault="001C6219">
      <w:r>
        <w:t>Por lo que se refiere a la mitigación, la fase 1 se basa en las «categorías de proyectos de infraestructura» del cuadro 2 de las orientaciones. El grupo superior de categorías de proyectos NO requiere una evaluación de la huella de carbono, mientras que el grupo inferior requerirá el análisis detallado de la fase 2 (véase la sección 3.2.2 de las orientaciones).</w:t>
      </w:r>
    </w:p>
    <w:p w:rsidR="00F83F12" w:rsidRDefault="00F83F12"/>
    <w:p w:rsidR="00F83F12" w:rsidRDefault="001C6219">
      <w:pPr>
        <w:pStyle w:val="P68B1DB1-Normal4"/>
      </w:pPr>
      <w:r>
        <w:t>Pregunta 3 (incluidos los hechos e información pertinentes):</w:t>
      </w:r>
    </w:p>
    <w:p w:rsidR="00F83F12" w:rsidRDefault="001C6219">
      <w:r>
        <w:lastRenderedPageBreak/>
        <w:t xml:space="preserve">Dado que las instrucciones técnicas sobre la verificación del clima se han publicado recientemente y que las consultas informales sobre los programas operativos con la Comisión están en muchos casos muy avanzadas, ¿está de acuerdo la Comisión en que los Estados miembros ya pueden empezar con la aplicación del programa sin tener instalada una prueba climática plenamente operativa? De lo contrario, esto daría lugar a un retraso adicional de un día en el inicio del programa, </w:t>
      </w:r>
      <w:r w:rsidR="002F3719">
        <w:t xml:space="preserve">ya que, </w:t>
      </w:r>
      <w:r>
        <w:t>todos los proyectos de infraestructura incluidos en esta comprobación tendrían que suspenderse hasta que el sistema de defensa contra el cambio climático funcione.</w:t>
      </w:r>
    </w:p>
    <w:p w:rsidR="00F83F12" w:rsidRDefault="001C6219">
      <w:pPr>
        <w:pStyle w:val="P68B1DB1-Normal13"/>
      </w:pPr>
      <w:r>
        <w:t>Respuesta.</w:t>
      </w:r>
    </w:p>
    <w:p w:rsidR="00F83F12" w:rsidRDefault="001C6219">
      <w:r>
        <w:t>Las orientaciones no pueden modificar las disposiciones del RDC. Por lo tanto, de conformidad con el artículo 73, apartado 2, letra j), en el transcurso de la selección de las operaciones, la autoridad de gestión debe garantizar la defensa contra el cambio climático de las inversiones en infraestructuras para operaciones con una vida útil prevista de al menos 5 años. A este respecto, los Estados miembros deben garantizar el respeto del principio de «primero, la eficiencia energética» durante la selección de las operaciones, tal como se establece en el considerando (60) del RDC.</w:t>
      </w:r>
    </w:p>
    <w:p w:rsidR="00F83F12" w:rsidRDefault="00F83F12"/>
    <w:p w:rsidR="00F83F12" w:rsidRDefault="00F83F12"/>
    <w:p w:rsidR="00F83F12" w:rsidRDefault="001C6219">
      <w:pPr>
        <w:pStyle w:val="Ttulo1"/>
      </w:pPr>
      <w:bookmarkStart w:id="161" w:name="scroll-bookmark-161"/>
      <w:bookmarkStart w:id="162" w:name="scroll-bookmark-162"/>
      <w:bookmarkEnd w:id="161"/>
      <w:r>
        <w:t>QA00094 — Necesidad de una decisión de la CE para algunos tipos de modificaciones de los programas</w:t>
      </w:r>
      <w:bookmarkEnd w:id="162"/>
    </w:p>
    <w:p w:rsidR="00F83F12" w:rsidRDefault="001C6219">
      <w:r>
        <w:rPr>
          <w:noProof/>
          <w:lang w:val="es-ES"/>
        </w:rPr>
        <w:drawing>
          <wp:inline distT="0" distB="0" distL="0" distR="0" wp14:anchorId="5A16921D" wp14:editId="2EF052EE">
            <wp:extent cx="152435" cy="152435"/>
            <wp:effectExtent l="0" t="0" r="0" b="0"/>
            <wp:docPr id="100327" name="Imagen 1003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r>
        <w:t>Artículos 22, 24, 40 y 42 del RDC</w:t>
      </w:r>
    </w:p>
    <w:p w:rsidR="00F83F12" w:rsidRDefault="001C6219">
      <w:r>
        <w:t>Anexos I y V del RDC</w:t>
      </w:r>
    </w:p>
    <w:p w:rsidR="00F83F12" w:rsidRDefault="001C6219">
      <w:r>
        <w:rPr>
          <w:noProof/>
          <w:lang w:val="es-ES"/>
        </w:rPr>
        <w:drawing>
          <wp:inline distT="0" distB="0" distL="0" distR="0" wp14:anchorId="54AA399E" wp14:editId="21715557">
            <wp:extent cx="152435" cy="152435"/>
            <wp:effectExtent l="0" t="0" r="0" b="0"/>
            <wp:docPr id="100329" name="Imagen 1003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F83F12"/>
    <w:p w:rsidR="00F83F12" w:rsidRDefault="001C6219">
      <w:pPr>
        <w:pStyle w:val="P68B1DB1-Normal4"/>
      </w:pPr>
      <w:r>
        <w:br/>
        <w:t>Pregunta 1 (incluidos los hechos e información pertinentes):</w:t>
      </w:r>
    </w:p>
    <w:p w:rsidR="00F83F12" w:rsidRDefault="001C6219">
      <w:r>
        <w:t>En el período 2014-2020 [artículo 96 (10) del Reglamento (UE) n.º 2013/1303], los Estados miembros pueden modificar algunas partes de los programas operativos sin necesidad de una decisión de la Comisión. Estas partes incluyen el cuadro con las categorías de intervenciones (que corresponden en la práctica, como en el caso del FSE, a las prioridades de inversión): a continuación, fue posible transferir recursos dentro de cada eje prioritario sin una decisión de la Comisión.</w:t>
      </w:r>
    </w:p>
    <w:p w:rsidR="00F83F12" w:rsidRDefault="001C6219">
      <w:r>
        <w:t>El Reglamento (UE) 2021/1060 (artículo 24) no parece incluir la posibilidad de modificar la parte correspondiente (es decir, el presupuesto de objetos específicos y la categoría de intervenciones) en los programas del período 21-27. Las modificaciones que no requieren una decisión de la Comisión se limitan a:</w:t>
      </w:r>
    </w:p>
    <w:p w:rsidR="00F83F12" w:rsidRDefault="001C6219">
      <w:r>
        <w:lastRenderedPageBreak/>
        <w:t>a) Cambios a nivel de prioridad, dentro de umbrales específicos (art. 24 (5)), y cambios conexos;</w:t>
      </w:r>
    </w:p>
    <w:p w:rsidR="00F83F12" w:rsidRDefault="001C6219">
      <w:r>
        <w:t>b) Cambios puramente administrativos o de redacción que no afecten a la aplicación (art. 24 (6)).</w:t>
      </w:r>
    </w:p>
    <w:p w:rsidR="00F83F12" w:rsidRDefault="001C6219">
      <w:r>
        <w:t>¿Es necesaria una decisión de la Comisión para modificar un programa 21-27 como para</w:t>
      </w:r>
    </w:p>
    <w:p w:rsidR="00F83F12" w:rsidRDefault="001C6219">
      <w:r>
        <w:t>— El presupuesto por objetivos específicos (dentro de una prioridad determinada) y el presupuesto por categoría de intervención, es decir, el cuadro 4 del punto 2.1.1.1.3 del anexo V, basado en el artículo 22 (3) d (viii); y</w:t>
      </w:r>
    </w:p>
    <w:p w:rsidR="00F83F12" w:rsidRDefault="001C6219">
      <w:r>
        <w:t>— Los importes indicados en los demás cuadros (forma de financiación, mecanismo de ejecución territorial y enfoque territorial, temas secundarios del FSE +, FSE + *, FEDER, Fondo de Cohesión y dimensión de igualdad de género del FTJ) del punto 2.1.1.1.3 del anexo V [artículo 22 (3) d (viii)?</w:t>
      </w:r>
    </w:p>
    <w:p w:rsidR="00F83F12" w:rsidRDefault="00F83F12"/>
    <w:p w:rsidR="00F83F12" w:rsidRDefault="001C6219">
      <w:r>
        <w:rPr>
          <w:i/>
        </w:rPr>
        <w:t> </w:t>
      </w:r>
      <w:r>
        <w:rPr>
          <w:b/>
        </w:rPr>
        <w:t>Respuesta.</w:t>
      </w:r>
    </w:p>
    <w:p w:rsidR="00F83F12" w:rsidRDefault="001C6219">
      <w:r>
        <w:t> El artículo 24, apartado 5, del Reglamento (UE) 2021/1060 establece los casos de modificación del programa que se consideran no sustanciales y, por tanto, no exigen que el Estado miembro presente formalmente una solicitud de modificación del programa. Estos casos para el FEDER, el FC, el FSE + y el FTJ son los siguientes:</w:t>
      </w:r>
    </w:p>
    <w:p w:rsidR="00F83F12" w:rsidRDefault="001C6219">
      <w:pPr>
        <w:pStyle w:val="P68B1DB1-Normal5"/>
      </w:pPr>
      <w:r>
        <w:t>«... transferir durante el período de programación un importe de hasta el 8 % de la asignación inicial de una prioridad y no más del 4 % del presupuesto del programa a otra prioridad del mismo Fondo del mismo programa. En el caso de los programas apoyados por el FEDER, el FSE + y el FTJ, la transferencia solo se referirá a asignaciones para la misma categoría de región.».</w:t>
      </w:r>
    </w:p>
    <w:p w:rsidR="00F83F12" w:rsidRDefault="001C6219">
      <w:r>
        <w:t>Además, de conformidad con el artículo 24, apartado 6, del Reglamento (UE) 2021/1060, el Estado miembro no tiene que solicitar la aprobación de la Comisión en caso de correcciones de carácter puramente administrativo o editorial que no afecten a la ejecución del programa.</w:t>
      </w:r>
    </w:p>
    <w:p w:rsidR="00F83F12" w:rsidRDefault="001C6219">
      <w:r>
        <w:t>Por lo que se refiere a los casos concretos mencionados en relación con la financiación del FEDER y del FSE + en la pregunta:</w:t>
      </w:r>
    </w:p>
    <w:p w:rsidR="00F83F12" w:rsidRDefault="001C6219">
      <w:pPr>
        <w:pStyle w:val="P68B1DB1-Normal13"/>
        <w:numPr>
          <w:ilvl w:val="0"/>
          <w:numId w:val="65"/>
        </w:numPr>
      </w:pPr>
      <w:r>
        <w:t>si se modifica la asignación entre objetivos específicos dentro de la misma prioridad</w:t>
      </w:r>
    </w:p>
    <w:p w:rsidR="00F83F12" w:rsidRDefault="001C6219">
      <w:r>
        <w:t>De conformidad con el artículo 22, apartado 3, letra g), la asignación financiera total debe desglosarse por Fondos, categoría de región, año. El desglose por objetivo específico no es un elemento obligatorio del cuadro financiero. Por lo tanto, cualquier cambio en la asignación a objetivos específicos dentro de la misma prioridad no requiere que el Estado miembro presente una solicitud formal de modificación del programa.</w:t>
      </w:r>
    </w:p>
    <w:p w:rsidR="00F83F12" w:rsidRDefault="001C6219">
      <w:pPr>
        <w:pStyle w:val="P68B1DB1-Normal13"/>
        <w:numPr>
          <w:ilvl w:val="0"/>
          <w:numId w:val="66"/>
        </w:numPr>
      </w:pPr>
      <w:r>
        <w:t>si se modifica la asignación por tipo de intervención</w:t>
      </w:r>
    </w:p>
    <w:p w:rsidR="00F83F12" w:rsidRDefault="001C6219">
      <w:r>
        <w:t>De conformidad con el artículo 22, apartado 3, letra d), inciso viii), del RDC, debe facilitarse en el programa la siguiente información para cada objetivo específico:</w:t>
      </w:r>
    </w:p>
    <w:p w:rsidR="00F83F12" w:rsidRDefault="001C6219">
      <w:pPr>
        <w:pStyle w:val="P68B1DB1-Normal5"/>
      </w:pPr>
      <w:r>
        <w:t>«los tipos de intervención y un desglose indicativo de los recursos programados por tipo de intervención;»</w:t>
      </w:r>
    </w:p>
    <w:p w:rsidR="00F83F12" w:rsidRDefault="001C6219">
      <w:r>
        <w:lastRenderedPageBreak/>
        <w:t>Esto implica que el desglose de los recursos entre estos tipos de intervenciones es de carácter indicativo.</w:t>
      </w:r>
    </w:p>
    <w:p w:rsidR="00F83F12" w:rsidRDefault="001C6219">
      <w:r>
        <w:t>Por lo tanto, no es necesario que los cambios en los importes indicativos dentro de una prioridad y entre los tipos de intervención durante la ejecución del programa vayan seguidos de una modificación del programa. No obstante, en caso de que el Estado miembro desee modificar formalmente el programa para reflejar estos cambios, la modificación del programa está sujeta a una decisión de la Comisión.</w:t>
      </w:r>
    </w:p>
    <w:p w:rsidR="00F83F12" w:rsidRDefault="001C6219">
      <w:pPr>
        <w:pStyle w:val="P68B1DB1-Normal13"/>
        <w:numPr>
          <w:ilvl w:val="0"/>
          <w:numId w:val="67"/>
        </w:numPr>
      </w:pPr>
      <w:r>
        <w:t>si se modifican los importes incluidos en los cuadros 5 a 8 de la sección 2.1.1.1.3 del programa</w:t>
      </w:r>
    </w:p>
    <w:p w:rsidR="00F83F12" w:rsidRDefault="001C6219">
      <w:r>
        <w:t>La misma norma se aplica a los importes indicativos indicados en los cuadros 5 a 8 que a los importes indicativos incluidos en el cuadro 4 (Dimensión I — ámbito de intervención) de la sección 2.1.1.1.3 del programa (para la norma, véase el punto anterior).</w:t>
      </w:r>
    </w:p>
    <w:p w:rsidR="00F83F12" w:rsidRDefault="001C6219">
      <w:r>
        <w:t>Cabe señalar que, sin perjuicio de lo anterior, cualquier cambio dentro de las prioridades o transferencias entre prioridades con arreglo al artículo 24, apartado 5, del Reglamento (UE) 2021/1060 deben cumplir todos los requisitos reglamentarios, en particular los requisitos de concentración temática (artículo 4, FEDER/FC y artículo 7 del Reglamento del FSE +), los objetivos climáticos (artículo 6 del RDC), la asignación urbana (artículo 11 del FEDER/FC) o los límites reglamentarios relacionados con la inversión en gas natural (artículo 7 del FEDER/FC).</w:t>
      </w:r>
    </w:p>
    <w:p w:rsidR="00F83F12" w:rsidRDefault="00F83F12"/>
    <w:p w:rsidR="00F83F12" w:rsidRDefault="00F83F12"/>
    <w:p w:rsidR="00F83F12" w:rsidRDefault="001C6219">
      <w:pPr>
        <w:pStyle w:val="Ttulo1"/>
      </w:pPr>
      <w:bookmarkStart w:id="163" w:name="scroll-bookmark-163"/>
      <w:bookmarkStart w:id="164" w:name="scroll-bookmark-164"/>
      <w:bookmarkEnd w:id="163"/>
      <w:r>
        <w:t>A00095 — El impacto de la definición de «beneficiario» en el artículo 2 del RDC en los regímenes de ayudas estatales</w:t>
      </w:r>
      <w:bookmarkEnd w:id="164"/>
    </w:p>
    <w:p w:rsidR="00F83F12" w:rsidRDefault="001C6219">
      <w:r>
        <w:rPr>
          <w:noProof/>
          <w:lang w:val="es-ES"/>
        </w:rPr>
        <w:drawing>
          <wp:inline distT="0" distB="0" distL="0" distR="0" wp14:anchorId="13E3B683" wp14:editId="21DD7325">
            <wp:extent cx="152435" cy="152435"/>
            <wp:effectExtent l="0" t="0" r="0" b="0"/>
            <wp:docPr id="100331" name="Imagen 1003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(9) del RDC</w:t>
      </w:r>
    </w:p>
    <w:p w:rsidR="00F83F12" w:rsidRDefault="001C6219">
      <w:r>
        <w:rPr>
          <w:noProof/>
          <w:lang w:val="es-ES"/>
        </w:rPr>
        <w:drawing>
          <wp:inline distT="0" distB="0" distL="0" distR="0" wp14:anchorId="479704B8" wp14:editId="079CDC1E">
            <wp:extent cx="152435" cy="152435"/>
            <wp:effectExtent l="0" t="0" r="0" b="0"/>
            <wp:docPr id="100333" name="Imagen 1003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br/>
        <w:t>Pregunta 1 (incluidos los hechos e información pertinentes):</w:t>
      </w:r>
    </w:p>
    <w:p w:rsidR="00F83F12" w:rsidRDefault="001C6219">
      <w:r>
        <w:t>Explíquese el impacto de la definición de «beneficiario» del artículo 2 del Reglamento sobre disposiciones comunes en los regímenes de ayudas estatales en los que el beneficiario es el organismo que concede la ayuda estatal (por ejemplo, viveros de empresas, centros de competencia). ¿Cambia sustancialmente el nuevo RDC la percepción y admisión de los sistemas nacionales de apoyo letones (actualmente en el marco del PO1 PO3 PO) aplicados a través de centros de competencia, agrupaciones, asociaciones, etc.</w:t>
      </w:r>
    </w:p>
    <w:p w:rsidR="00F83F12" w:rsidRDefault="00F83F12"/>
    <w:p w:rsidR="00F83F12" w:rsidRDefault="001C6219">
      <w:pPr>
        <w:pStyle w:val="P68B1DB1-Normal4"/>
      </w:pPr>
      <w:r>
        <w:t>Respuesta.</w:t>
      </w:r>
    </w:p>
    <w:p w:rsidR="00F83F12" w:rsidRDefault="001C6219">
      <w:r>
        <w:lastRenderedPageBreak/>
        <w:t>La definición de beneficiario del artículo 2, apartado 9, del RDC introdujo cambios en comparación con las modificaciones introducidas por el Reglamento Ómnibus.</w:t>
      </w:r>
    </w:p>
    <w:p w:rsidR="00F83F12" w:rsidRDefault="001C6219">
      <w:r>
        <w:t xml:space="preserve">En relación con los regímenes </w:t>
      </w:r>
      <w:r>
        <w:rPr>
          <w:i/>
        </w:rPr>
        <w:t>de minimis</w:t>
      </w:r>
      <w:r>
        <w:t xml:space="preserve">, se aplicaría una definición de beneficiario del artículo 2, apartado 9, letra d), del RDC, lo que significa que el organismo que concede </w:t>
      </w:r>
      <w:r>
        <w:rPr>
          <w:i/>
        </w:rPr>
        <w:t>la ayuda</w:t>
      </w:r>
      <w:r>
        <w:t xml:space="preserve"> de minimis podría ser el beneficiario en caso de que inicie o inicie y ejecute la operación. En el contexto de los regímenes de ayudas estatales, se aplicaría el artículo 2, apartado 9, letra c), del RDC, lo que significa que la empresa que recibe la ayuda sería el beneficiario.</w:t>
      </w:r>
    </w:p>
    <w:p w:rsidR="00F83F12" w:rsidRDefault="001C6219">
      <w:r>
        <w:t>En comparación con el período 2014-20, en el caso de los regímenes de ayudas estatales, cuando la ayuda estatal por empresa es inferior a 200 000 EUR, el Estado miembro ya no podría decidir que el beneficiario sea el organismo que concede la ayuda.</w:t>
      </w:r>
    </w:p>
    <w:p w:rsidR="00F83F12" w:rsidRDefault="001C6219">
      <w:r>
        <w:t xml:space="preserve">Dado que de la cuestión no se desprende claramente si los regímenes letones son ayudas estatales o ayudas </w:t>
      </w:r>
      <w:r>
        <w:rPr>
          <w:i/>
        </w:rPr>
        <w:t>de minimis</w:t>
      </w:r>
      <w:r>
        <w:t>, ni cuáles son las tareas del beneficiario, no es posible dar una respuesta sencilla sobre la posibilidad de continuar cada uno de los regímenes actuales. Tendría que analizarse caso por caso.  </w:t>
      </w:r>
    </w:p>
    <w:p w:rsidR="00F83F12" w:rsidRDefault="00F83F12"/>
    <w:p w:rsidR="00F83F12" w:rsidRDefault="00F83F12"/>
    <w:p w:rsidR="00F83F12" w:rsidRDefault="00F83F12"/>
    <w:p w:rsidR="00F83F12" w:rsidRDefault="001C6219">
      <w:pPr>
        <w:pStyle w:val="Ttulo1"/>
      </w:pPr>
      <w:bookmarkStart w:id="165" w:name="scroll-bookmark-165"/>
      <w:bookmarkStart w:id="166" w:name="scroll-bookmark-166"/>
      <w:bookmarkEnd w:id="165"/>
      <w:r>
        <w:t>QA00096 — Inclusión de medidas de eficiencia energética para escuelas secundarias y viviendas sociales en el OP 2</w:t>
      </w:r>
      <w:bookmarkEnd w:id="166"/>
    </w:p>
    <w:p w:rsidR="00F83F12" w:rsidRDefault="001C6219">
      <w:r>
        <w:rPr>
          <w:noProof/>
          <w:lang w:val="es-ES"/>
        </w:rPr>
        <w:drawing>
          <wp:inline distT="0" distB="0" distL="0" distR="0" wp14:anchorId="27B51323" wp14:editId="68ABEDF2">
            <wp:extent cx="152435" cy="152435"/>
            <wp:effectExtent l="0" t="0" r="0" b="0"/>
            <wp:docPr id="100335" name="Imagen 1003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73, apartado 2, del Reglamento sobre disposiciones comunes.</w:t>
      </w:r>
    </w:p>
    <w:p w:rsidR="00F83F12" w:rsidRDefault="001C6219">
      <w:r>
        <w:rPr>
          <w:noProof/>
          <w:lang w:val="es-ES"/>
        </w:rPr>
        <w:drawing>
          <wp:inline distT="0" distB="0" distL="0" distR="0" wp14:anchorId="26D43AA7" wp14:editId="36DAD510">
            <wp:extent cx="152435" cy="152435"/>
            <wp:effectExtent l="0" t="0" r="0" b="0"/>
            <wp:docPr id="100337" name="Imagen 1003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br/>
        <w:t>Pregunta 1 (incluidos los hechos e información pertinentes):</w:t>
      </w:r>
    </w:p>
    <w:p w:rsidR="00F83F12" w:rsidRDefault="001C6219">
      <w:r>
        <w:t>Nos gustaría aclarar si las medidas de eficiencia energética para los centros de enseñanza secundaria y las viviendas sociales pueden incluirse en el OP 2.</w:t>
      </w:r>
    </w:p>
    <w:p w:rsidR="00F83F12" w:rsidRDefault="00F83F12"/>
    <w:p w:rsidR="00F83F12" w:rsidRDefault="001C6219">
      <w:pPr>
        <w:pStyle w:val="P68B1DB1-Normal4"/>
      </w:pPr>
      <w:r>
        <w:t>Respuesta.</w:t>
      </w:r>
    </w:p>
    <w:p w:rsidR="00F83F12" w:rsidRDefault="001C6219">
      <w:r>
        <w:t xml:space="preserve">Podría incluirse en el </w:t>
      </w:r>
      <w:r>
        <w:rPr>
          <w:b/>
        </w:rPr>
        <w:t xml:space="preserve">OP 2 </w:t>
      </w:r>
      <w:r>
        <w:t>siempre que esté en consonancia con el artículo 73, apartado 2, letra b), del RDC sobre la selección de operaciones y, por tanto, sea coherente con la estrategia nacional de renovación a largo plazo para apoyar la renovación del parque nacional de edificios residenciales y no residenciales, tal como se prevé en la condición favorable para el OP 2.</w:t>
      </w:r>
    </w:p>
    <w:p w:rsidR="00F83F12" w:rsidRDefault="001C6219">
      <w:r>
        <w:t>Por lo que se refiere a los ámbitos de la educación y la vivienda social, estas medidas deben coordinarse estrechamente con las medidas previstas para el OP 4 en los Estados miembros.</w:t>
      </w:r>
    </w:p>
    <w:p w:rsidR="00F83F12" w:rsidRDefault="00F83F12"/>
    <w:p w:rsidR="00F83F12" w:rsidRDefault="00F83F12"/>
    <w:p w:rsidR="00F83F12" w:rsidRDefault="001C6219">
      <w:pPr>
        <w:pStyle w:val="Ttulo1"/>
      </w:pPr>
      <w:bookmarkStart w:id="167" w:name="scroll-bookmark-167"/>
      <w:bookmarkStart w:id="168" w:name="scroll-bookmark-168"/>
      <w:bookmarkEnd w:id="167"/>
      <w:r>
        <w:t>QA00097 — Inversiones productivas</w:t>
      </w:r>
      <w:bookmarkEnd w:id="168"/>
    </w:p>
    <w:p w:rsidR="00F83F12" w:rsidRDefault="001C6219">
      <w:r>
        <w:rPr>
          <w:noProof/>
          <w:lang w:val="es-ES"/>
        </w:rPr>
        <w:drawing>
          <wp:inline distT="0" distB="0" distL="0" distR="0" wp14:anchorId="042C89BA" wp14:editId="3BAC5FEA">
            <wp:extent cx="152435" cy="152435"/>
            <wp:effectExtent l="0" t="0" r="0" b="0"/>
            <wp:docPr id="100339" name="Imagen 1003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del Reglamento FEDER/FC</w:t>
      </w:r>
    </w:p>
    <w:p w:rsidR="00F83F12" w:rsidRDefault="001C6219">
      <w:r>
        <w:rPr>
          <w:noProof/>
          <w:lang w:val="es-ES"/>
        </w:rPr>
        <w:drawing>
          <wp:inline distT="0" distB="0" distL="0" distR="0" wp14:anchorId="5EE86873" wp14:editId="14FBF8D1">
            <wp:extent cx="152435" cy="152435"/>
            <wp:effectExtent l="0" t="0" r="0" b="0"/>
            <wp:docPr id="100341" name="Imagen 1003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t>Pregunta 1 (incluidos los hechos e información pertinentes):</w:t>
      </w:r>
    </w:p>
    <w:p w:rsidR="00F83F12" w:rsidRDefault="001C6219">
      <w:pPr>
        <w:numPr>
          <w:ilvl w:val="0"/>
          <w:numId w:val="68"/>
        </w:numPr>
      </w:pPr>
      <w:r>
        <w:t>¿Son subvencionables las medidas de apoyo a la inversión de la industria en equipos de eficiencia energética?</w:t>
      </w:r>
    </w:p>
    <w:p w:rsidR="00F83F12" w:rsidRDefault="001C6219">
      <w:pPr>
        <w:numPr>
          <w:ilvl w:val="0"/>
          <w:numId w:val="68"/>
        </w:numPr>
      </w:pPr>
      <w:r>
        <w:t>¿Trataría la Comisión las inversiones en equipos eficientes desde el punto de vista energético en el marco del OP 2 como «inversiones productivas cuando apoyan principalmente medidas de eficiencia energética y energías renovables con arreglo al artículo 3, apartado 1, letra b), incisos i) y ii), del FEDER»?</w:t>
      </w:r>
    </w:p>
    <w:p w:rsidR="00F83F12" w:rsidRDefault="001C6219">
      <w:pPr>
        <w:numPr>
          <w:ilvl w:val="0"/>
          <w:numId w:val="68"/>
        </w:numPr>
      </w:pPr>
      <w:r>
        <w:t>¿Cuál es la frontera entre la inversión productiva en la OE1 y la OE2?</w:t>
      </w:r>
    </w:p>
    <w:p w:rsidR="00F83F12" w:rsidRDefault="001C6219">
      <w:pPr>
        <w:numPr>
          <w:ilvl w:val="0"/>
          <w:numId w:val="68"/>
        </w:numPr>
      </w:pPr>
      <w:r>
        <w:t>¿Qué tipo de inversión podría apoyarse? ¿Es posible apoyar, por ejemplo, la inversión de grandes empresas en actividades como 3.1.1.5 «Apoyo a la reconstrucción y el desarrollo de la propiedad industrial y las infraestructuras» en este período de planificación?</w:t>
      </w:r>
    </w:p>
    <w:p w:rsidR="00F83F12" w:rsidRDefault="00F83F12"/>
    <w:p w:rsidR="00F83F12" w:rsidRDefault="001C6219">
      <w:pPr>
        <w:pStyle w:val="P68B1DB1-Normal4"/>
      </w:pPr>
      <w:r>
        <w:t>Respuesta.</w:t>
      </w:r>
    </w:p>
    <w:p w:rsidR="00F83F12" w:rsidRDefault="001C6219">
      <w:r>
        <w:t>La inversión de las PYME en equipos de eficiencia energética es subvencionable. El apoyo a empresas distintas de las pymes debe cumplir las condiciones establecidas en el artículo 5, apartado 2, del Reglamento FEDER/FC.</w:t>
      </w:r>
    </w:p>
    <w:p w:rsidR="00F83F12" w:rsidRDefault="001C6219">
      <w:r>
        <w:t>No existe una frontera absoluta entre la OP1 y la OP2; depende del objetivo principal de la inversión. En el marco del OP 1, en el objetivo específico 1.1, el FEDER puede apoyar el desarrollo y el ensayo de tecnologías y soluciones innovadoras para las transiciones ecológicas y la economía circular en determinados ámbitos S3. No obstante, el despliegue y la adopción, incluidos los pioneros en la adopción temprana de soluciones innovadoras, podrían recibir apoyo en el marco del OP 1, el objetivo específico 1.3, el OP 2 u otras organizaciones de productores, cuando proceda.</w:t>
      </w:r>
    </w:p>
    <w:p w:rsidR="00F83F12" w:rsidRDefault="001C6219">
      <w:r>
        <w:t>«Principalmente» significa que las medidas de eficiencia energética o las energías renovables deben ser el objetivo principal de la operación). </w:t>
      </w:r>
    </w:p>
    <w:p w:rsidR="00F83F12" w:rsidRDefault="00F83F12"/>
    <w:p w:rsidR="00F83F12" w:rsidRDefault="00F83F12"/>
    <w:p w:rsidR="00F83F12" w:rsidRDefault="00F83F12"/>
    <w:p w:rsidR="00F83F12" w:rsidRDefault="001C6219">
      <w:pPr>
        <w:pStyle w:val="Ttulo1"/>
      </w:pPr>
      <w:bookmarkStart w:id="169" w:name="scroll-bookmark-169"/>
      <w:bookmarkStart w:id="170" w:name="scroll-bookmark-170"/>
      <w:bookmarkEnd w:id="169"/>
      <w:r>
        <w:lastRenderedPageBreak/>
        <w:t>QA00098 — Objetivos relacionados con el cambio climático</w:t>
      </w:r>
      <w:bookmarkEnd w:id="170"/>
    </w:p>
    <w:p w:rsidR="00F83F12" w:rsidRDefault="001C6219">
      <w:r>
        <w:rPr>
          <w:noProof/>
          <w:lang w:val="es-ES"/>
        </w:rPr>
        <w:drawing>
          <wp:inline distT="0" distB="0" distL="0" distR="0" wp14:anchorId="21853921" wp14:editId="0EED5A3E">
            <wp:extent cx="152435" cy="152435"/>
            <wp:effectExtent l="0" t="0" r="0" b="0"/>
            <wp:docPr id="100343" name="Imagen 1003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 y artículo 42 del RDC</w:t>
      </w:r>
    </w:p>
    <w:p w:rsidR="00F83F12" w:rsidRDefault="001C6219">
      <w:r>
        <w:rPr>
          <w:noProof/>
          <w:lang w:val="es-ES"/>
        </w:rPr>
        <w:drawing>
          <wp:inline distT="0" distB="0" distL="0" distR="0" wp14:anchorId="42ABB94A" wp14:editId="50F031A2">
            <wp:extent cx="152435" cy="152435"/>
            <wp:effectExtent l="0" t="0" r="0" b="0"/>
            <wp:docPr id="100345" name="Imagen 1003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br/>
        <w:t>Pregunta 1 (incluidos los hechos e información pertinentes):</w:t>
      </w:r>
    </w:p>
    <w:p w:rsidR="00F83F12" w:rsidRDefault="001C6219">
      <w:r>
        <w:t xml:space="preserve">Se ha fijado un objetivo (importe mínimo%) para los Estados miembros para inversiones en medidas relacionadas con el cambio climático, como es el caso en el período de planificación 2014-2020 y, en caso afirmativo, qué mecanismo de seguimiento se utilizará en 2021-2027, </w:t>
      </w:r>
      <w:r w:rsidR="002F3719">
        <w:t xml:space="preserve">ya que, </w:t>
      </w:r>
      <w:r>
        <w:t>no existe ninguna obligación de acuerdo de asociación y el RDC no cubre el Fondo Europeo Agrícola de Desarrollo Rural.</w:t>
      </w:r>
    </w:p>
    <w:p w:rsidR="00F83F12" w:rsidRDefault="00F83F12"/>
    <w:p w:rsidR="00F83F12" w:rsidRDefault="001C6219">
      <w:pPr>
        <w:pStyle w:val="P68B1DB1-Normal4"/>
      </w:pPr>
      <w:r>
        <w:t>Respuesta.</w:t>
      </w:r>
    </w:p>
    <w:p w:rsidR="00F83F12" w:rsidRDefault="001C6219">
      <w:r>
        <w:t>De conformidad con el artículo 6 del RDC, la información sobre el apoyo a los objetivos medioambientales y climáticos se proporcionará utilizando una metodología basada en tipos de intervención (anexo 1, cuadro 1, del RDC).</w:t>
      </w:r>
    </w:p>
    <w:p w:rsidR="00F83F12" w:rsidRDefault="001C6219">
      <w:r>
        <w:t> El objetivo preliminar de contribución climática se establecerá en el acuerdo de asociación. El objetivo final se establecerá sobre la base de la información incluida en los programas y será objeto de seguimiento sobre la base de los datos presentados por los Estados miembros de conformidad con el artículo 42 y el modelo que figura en el anexo VII del RDC.</w:t>
      </w:r>
    </w:p>
    <w:p w:rsidR="00F83F12" w:rsidRDefault="001C6219">
      <w:pPr>
        <w:pStyle w:val="P68B1DB1-Normal4"/>
      </w:pPr>
      <w:r>
        <w:t> </w:t>
      </w:r>
    </w:p>
    <w:p w:rsidR="00F83F12" w:rsidRDefault="00F83F12"/>
    <w:p w:rsidR="00F83F12" w:rsidRDefault="00F83F12"/>
    <w:p w:rsidR="00F83F12" w:rsidRDefault="00F83F12"/>
    <w:p w:rsidR="00F83F12" w:rsidRDefault="001C6219">
      <w:pPr>
        <w:pStyle w:val="Ttulo1"/>
      </w:pPr>
      <w:bookmarkStart w:id="171" w:name="scroll-bookmark-171"/>
      <w:bookmarkStart w:id="172" w:name="scroll-bookmark-172"/>
      <w:bookmarkEnd w:id="171"/>
      <w:r>
        <w:t>QA00099 — Uso de ITI, DLP, enfoques nacionales específicos</w:t>
      </w:r>
      <w:bookmarkEnd w:id="172"/>
    </w:p>
    <w:p w:rsidR="00F83F12" w:rsidRDefault="001C6219">
      <w:r>
        <w:rPr>
          <w:noProof/>
          <w:lang w:val="es-ES"/>
        </w:rPr>
        <w:drawing>
          <wp:inline distT="0" distB="0" distL="0" distR="0" wp14:anchorId="29AD0751" wp14:editId="6DFE84BE">
            <wp:extent cx="152435" cy="152435"/>
            <wp:effectExtent l="0" t="0" r="0" b="0"/>
            <wp:docPr id="100347" name="Imagen 1003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28, 29, 31-34 del RDC</w:t>
      </w:r>
    </w:p>
    <w:p w:rsidR="00F83F12" w:rsidRDefault="001C6219">
      <w:r>
        <w:rPr>
          <w:noProof/>
          <w:lang w:val="es-ES"/>
        </w:rPr>
        <w:drawing>
          <wp:inline distT="0" distB="0" distL="0" distR="0" wp14:anchorId="58375074" wp14:editId="5D164D7A">
            <wp:extent cx="152435" cy="152435"/>
            <wp:effectExtent l="0" t="0" r="0" b="0"/>
            <wp:docPr id="100349" name="Imagen 1003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br/>
        <w:t>Pregunta 1 (incluidos los hechos e información pertinentes):</w:t>
      </w:r>
    </w:p>
    <w:p w:rsidR="00F83F12" w:rsidRDefault="001C6219">
      <w:r>
        <w:t xml:space="preserve">Letonia valora positivamente que el marco temático de las orientaciones de inversión del OP 5, que se incluyen para la aplicación de la política de cohesión 2021-2027 en Letonia, se corresponda con los retos de Letonia.  Mientras tanto, la propuesta de Reglamento define que, en el marco del OP 5, los Estados miembros también pueden apoyar operaciones que pueden financiarse en el marco de los objetivos específicos </w:t>
      </w:r>
      <w:r>
        <w:lastRenderedPageBreak/>
        <w:t>establecidos en el OP 1 — OP 4 (artículo 5 del RDC). Por lo tanto, el OP5 no es solo un marco temático, sino también uno de los tres modelos de aplicación (ITI, DLP, específicos nacionales) para el desarrollo territorial integrado (artículo 28). </w:t>
      </w:r>
    </w:p>
    <w:p w:rsidR="00F83F12" w:rsidRDefault="001C6219">
      <w:pPr>
        <w:numPr>
          <w:ilvl w:val="0"/>
          <w:numId w:val="69"/>
        </w:numPr>
      </w:pPr>
      <w:r>
        <w:t>¿Sigue existiendo la opción de que un Estado miembro elija el modelo de desarrollo territorial integrado más adecuado teniendo en cuenta el artículo 5 del RDC y el artículo 28 del RDC?</w:t>
      </w:r>
    </w:p>
    <w:p w:rsidR="00F83F12" w:rsidRDefault="001C6219">
      <w:pPr>
        <w:numPr>
          <w:ilvl w:val="0"/>
          <w:numId w:val="69"/>
        </w:numPr>
      </w:pPr>
      <w:r>
        <w:t>¿Podría el contenido de una estrategia territorial integrada ser más amplio que las inversiones previstas en el OP 5, incluidas las inversiones complementarias financiadas en el marco del OP 1 o el OE2 sin aplicar un enfoque de ITI?</w:t>
      </w:r>
    </w:p>
    <w:p w:rsidR="00F83F12" w:rsidRDefault="001C6219">
      <w:pPr>
        <w:numPr>
          <w:ilvl w:val="0"/>
          <w:numId w:val="69"/>
        </w:numPr>
      </w:pPr>
      <w:r>
        <w:t>¿Podría una solución «nacional específica» incluir inversiones en el marco del OP 5 y otras organizaciones de productores, ofreciendo una solución específica nacional para la planificación integrada?</w:t>
      </w:r>
    </w:p>
    <w:p w:rsidR="00F83F12" w:rsidRDefault="00F83F12"/>
    <w:p w:rsidR="00F83F12" w:rsidRDefault="001C6219">
      <w:pPr>
        <w:pStyle w:val="P68B1DB1-Normal4"/>
      </w:pPr>
      <w:r>
        <w:t>Respuesta.</w:t>
      </w:r>
    </w:p>
    <w:p w:rsidR="00F83F12" w:rsidRDefault="001C6219">
      <w:r>
        <w:t>El artículo 28 del RDC define las herramientas que los Estados miembros pueden utilizar para apoyar el desarrollo territorial integrado: inversiones territoriales integradas (ITI), desarrollo local participativo (DLP) y otras herramientas territoriales de apoyo a iniciativas diseñadas por el Estado miembro.</w:t>
      </w:r>
    </w:p>
    <w:p w:rsidR="00F83F12" w:rsidRDefault="001C6219">
      <w:r>
        <w:t>Las herramientas pueden programarse en el marco de todos los objetivos políticos</w:t>
      </w:r>
    </w:p>
    <w:p w:rsidR="00F83F12" w:rsidRDefault="001C6219">
      <w:r>
        <w:t>Las estrategias territoriales apoyadas a través de ITI u otra herramienta territorial deben respetar los requisitos mínimos establecidos en el artículo 29 del RDC. En el caso del DLP, este mecanismo de ejecución debe seguir un método específico y respetar los requisitos definidos en los artículos 31 a 34 del RDC. El contenido de la estrategia dependería de las necesidades de desarrollo y del potencial de la zona cubierta.</w:t>
      </w:r>
    </w:p>
    <w:p w:rsidR="00F83F12" w:rsidRDefault="00F83F12"/>
    <w:p w:rsidR="00F83F12" w:rsidRDefault="00F83F12"/>
    <w:p w:rsidR="00F83F12" w:rsidRDefault="00F83F12"/>
    <w:p w:rsidR="00F83F12" w:rsidRDefault="00F83F12"/>
    <w:p w:rsidR="00F83F12" w:rsidRDefault="001C6219">
      <w:pPr>
        <w:pStyle w:val="Ttulo1"/>
      </w:pPr>
      <w:bookmarkStart w:id="173" w:name="scroll-bookmark-173"/>
      <w:bookmarkStart w:id="174" w:name="scroll-bookmark-174"/>
      <w:bookmarkEnd w:id="173"/>
      <w:r>
        <w:t>QA00100 — Preguntas técnicas sobre las solicitudes de pago y las cuentas del período de programación 2021-2027</w:t>
      </w:r>
      <w:bookmarkEnd w:id="174"/>
    </w:p>
    <w:p w:rsidR="00F83F12" w:rsidRDefault="001C6219">
      <w:r>
        <w:rPr>
          <w:noProof/>
          <w:lang w:val="es-ES"/>
        </w:rPr>
        <w:drawing>
          <wp:inline distT="0" distB="0" distL="0" distR="0" wp14:anchorId="3BA72B45" wp14:editId="1733C9C4">
            <wp:extent cx="152435" cy="152435"/>
            <wp:effectExtent l="0" t="0" r="0" b="0"/>
            <wp:docPr id="100351" name="Imagen 1003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91 y 93 del RDC;</w:t>
      </w:r>
    </w:p>
    <w:p w:rsidR="00F83F12" w:rsidRDefault="001C6219">
      <w:r>
        <w:t>                               Anexos XXIII y XXIV del RDC </w:t>
      </w:r>
    </w:p>
    <w:p w:rsidR="00F83F12" w:rsidRDefault="001C6219">
      <w:r>
        <w:rPr>
          <w:noProof/>
          <w:lang w:val="es-ES"/>
        </w:rPr>
        <w:drawing>
          <wp:inline distT="0" distB="0" distL="0" distR="0" wp14:anchorId="38D0138F" wp14:editId="218B26FF">
            <wp:extent cx="152435" cy="152435"/>
            <wp:effectExtent l="0" t="0" r="0" b="0"/>
            <wp:docPr id="100353" name="Imagen 1003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F83F12" w:rsidRDefault="00F83F12"/>
    <w:p w:rsidR="00F83F12" w:rsidRDefault="001C6219">
      <w:pPr>
        <w:pStyle w:val="P68B1DB1-Normal4"/>
      </w:pPr>
      <w:r>
        <w:t>Pregunta 1 (incluidos los hechos e información pertinentes):</w:t>
      </w:r>
    </w:p>
    <w:p w:rsidR="00F83F12" w:rsidRDefault="001C6219">
      <w:pPr>
        <w:pStyle w:val="P68B1DB1-Normal13"/>
      </w:pPr>
      <w:r>
        <w:rPr>
          <w:u w:val="single"/>
        </w:rPr>
        <w:t>Solicitud de pago (OP)</w:t>
      </w:r>
      <w:r>
        <w:t>:</w:t>
      </w:r>
    </w:p>
    <w:p w:rsidR="00F83F12" w:rsidRDefault="001C6219">
      <w:pPr>
        <w:pStyle w:val="P68B1DB1-Normal5"/>
        <w:numPr>
          <w:ilvl w:val="0"/>
          <w:numId w:val="70"/>
        </w:numPr>
      </w:pPr>
      <w:r>
        <w:lastRenderedPageBreak/>
        <w:t> Columna (B) — ¿Es correcto nuestro entendimiento de que en esta columna puedan declararse todos los gastos subvencionables de todos los beneficiarios aprobados por el organismo intermedio, excepto los que estén acordados en el Programa como contribución de la Unión de conformidad con el artículo 51, letras a), c), d) y e)?</w:t>
      </w:r>
    </w:p>
    <w:p w:rsidR="00F83F12" w:rsidRDefault="001C6219">
      <w:pPr>
        <w:pStyle w:val="P68B1DB1-Normal5"/>
        <w:numPr>
          <w:ilvl w:val="0"/>
          <w:numId w:val="70"/>
        </w:numPr>
      </w:pPr>
      <w:r>
        <w:t>¿Deben deducirse (retirar) del OP las irregularidades constatadas? El Reglamento no proporciona orientaciones claras sobre esta cuestión.</w:t>
      </w:r>
    </w:p>
    <w:p w:rsidR="00F83F12" w:rsidRDefault="001C6219">
      <w:pPr>
        <w:pStyle w:val="P68B1DB1-Normal5"/>
        <w:numPr>
          <w:ilvl w:val="0"/>
          <w:numId w:val="70"/>
        </w:numPr>
      </w:pPr>
      <w:r>
        <w:t>¿Es posible que el gasto de una operación pueda declararse sobre la base de diferentes formas de contribución de la Unión (por ejemplo) 1) reembolso de la ayuda, por lo que el gasto debe reflejarse en la columna (B), y 2) sobre la base de costes unitarios, importes a tanto alzado y tipos fijos, por lo que el gasto se refleja en la columna (C)?</w:t>
      </w:r>
    </w:p>
    <w:p w:rsidR="00F83F12" w:rsidRDefault="001C6219">
      <w:pPr>
        <w:pStyle w:val="P68B1DB1-Normal5"/>
        <w:numPr>
          <w:ilvl w:val="0"/>
          <w:numId w:val="70"/>
        </w:numPr>
      </w:pPr>
      <w:r>
        <w:t>Columna (C) — ¿Es correcta nuestra interpretación, de que en esta columna debe reflejarse el gasto acordado en el programa para ser cubierto como contribución de la Unión de conformidad con el artículo 51, letras a), c), d) y e), y solo de la cofinanciación de la UE, y no del gasto total (+ cofinanciación nacional)?</w:t>
      </w:r>
    </w:p>
    <w:p w:rsidR="00F83F12" w:rsidRDefault="001C6219">
      <w:pPr>
        <w:pStyle w:val="P68B1DB1-Normal5"/>
        <w:numPr>
          <w:ilvl w:val="0"/>
          <w:numId w:val="70"/>
        </w:numPr>
      </w:pPr>
      <w:r>
        <w:t>Columna (D): según su respuesta de 15.7.2021, el importe que debe reflejarse en esta columna debe calcularse automáticamente a partir de los datos introducidos en la columna (B), por qué tampoco deben tenerse en cuenta los datos sobre los gastos declarados en la columna (C)?</w:t>
      </w:r>
    </w:p>
    <w:p w:rsidR="00F83F12" w:rsidRDefault="001C6219">
      <w:pPr>
        <w:pStyle w:val="P68B1DB1-Normal5"/>
        <w:numPr>
          <w:ilvl w:val="0"/>
          <w:numId w:val="70"/>
        </w:numPr>
      </w:pPr>
      <w:r>
        <w:t>Columna (E) — explíquese qué información debe facilitarse tanto en el organismo pagador como en las cuentas en la columna «Importe total de la contribución pública realizada o por realizar en el sentido del artículo 91, apartado 3, letra c)»:</w:t>
      </w:r>
    </w:p>
    <w:p w:rsidR="00F83F12" w:rsidRDefault="001C6219">
      <w:pPr>
        <w:pStyle w:val="P68B1DB1-Normal5"/>
        <w:ind w:left="284"/>
      </w:pPr>
      <w:r>
        <w:t>(6.1)      ¿Quién realiza o va a realizar la contribución pública — beneficiario o autoridad de gestión/organismo intermedio? </w:t>
      </w:r>
    </w:p>
    <w:p w:rsidR="00F83F12" w:rsidRDefault="001C6219">
      <w:pPr>
        <w:pStyle w:val="P68B1DB1-Normal5"/>
        <w:ind w:left="284"/>
      </w:pPr>
      <w:r>
        <w:t>(6.2)      En caso de que se trate de autoridad de gestión/organismo intermedio, ¿qué datos deben reflejarse en caso de que se trate de:</w:t>
      </w:r>
    </w:p>
    <w:p w:rsidR="00F83F12" w:rsidRDefault="001C6219">
      <w:pPr>
        <w:pStyle w:val="P68B1DB1-Normal5"/>
        <w:ind w:left="284"/>
      </w:pPr>
      <w:r>
        <w:t>(6.2.1)    la contribución de la Unión de la CE se abonará de conformidad con el artículo 51, letras a), c) y d);</w:t>
      </w:r>
    </w:p>
    <w:p w:rsidR="00F83F12" w:rsidRDefault="001C6219">
      <w:pPr>
        <w:pStyle w:val="P68B1DB1-Normal5"/>
        <w:ind w:left="284"/>
      </w:pPr>
      <w:r>
        <w:t>(6.2.2)    el beneficiario está prefinanciado al 100 % con cargo al presupuesto del Estado y no es necesario ningún reembolso;</w:t>
      </w:r>
    </w:p>
    <w:p w:rsidR="00F83F12" w:rsidRDefault="001C6219">
      <w:pPr>
        <w:pStyle w:val="P68B1DB1-Normal5"/>
        <w:ind w:left="284"/>
      </w:pPr>
      <w:r>
        <w:t>(6.2.3)    el beneficiario es un organismo público (por ejemplo, el municipio) y parte de la financiación la proporciona él mismo y se considera cofinanciación pública, pero la autoridad de gestión/organismo intermedio no la reembolsa.</w:t>
      </w:r>
    </w:p>
    <w:p w:rsidR="00F83F12" w:rsidRDefault="00503869">
      <w:pPr>
        <w:pStyle w:val="P68B1DB1-Normal5"/>
        <w:ind w:left="284"/>
      </w:pPr>
      <w:r>
        <w:t>7. ¿</w:t>
      </w:r>
      <w:r w:rsidR="001C6219">
        <w:t xml:space="preserve">cómo debe calcularse el importe solicitado? Cuando el importe total declarado se indique en el organismo pagador, ¿a qué datos debe aplicarse el porcentaje de cofinanciación? Además, aclaren el punto 4 del artículo 93 (cuando la contribución de la Unión adopte alguna de las formas enumeradas en el artículo 51, la Comisión no pagará más que el importe solicitado por el Estado miembro), </w:t>
      </w:r>
      <w:r w:rsidR="002F3719">
        <w:t xml:space="preserve">ya que, </w:t>
      </w:r>
      <w:r w:rsidR="001C6219">
        <w:t>no hay otras opciones de ayuda de los Fondos excepto las mencionadas en el artículo 51.</w:t>
      </w:r>
    </w:p>
    <w:p w:rsidR="00F83F12" w:rsidRDefault="001C6219">
      <w:pPr>
        <w:pStyle w:val="P68B1DB1-Normal5"/>
      </w:pPr>
      <w:r>
        <w:t> </w:t>
      </w:r>
    </w:p>
    <w:p w:rsidR="00F83F12" w:rsidRDefault="001C6219">
      <w:pPr>
        <w:pStyle w:val="P68B1DB1-Normal14"/>
      </w:pPr>
      <w:r>
        <w:t>Cuentas:</w:t>
      </w:r>
    </w:p>
    <w:p w:rsidR="00F83F12" w:rsidRDefault="001C6219">
      <w:pPr>
        <w:pStyle w:val="P68B1DB1-Normal5"/>
      </w:pPr>
      <w:r>
        <w:lastRenderedPageBreak/>
        <w:t> </w:t>
      </w:r>
    </w:p>
    <w:p w:rsidR="00F83F12" w:rsidRDefault="001C6219">
      <w:pPr>
        <w:pStyle w:val="P68B1DB1-Normal5"/>
        <w:numPr>
          <w:ilvl w:val="0"/>
          <w:numId w:val="71"/>
        </w:numPr>
      </w:pPr>
      <w:r>
        <w:t>Columna (A) — Explique qué datos deben reflejarse en esta columna y a qué datos del último OP del ejercicio contable debería corresponder — columna (B) o suma de las columnas (B) y (C).</w:t>
      </w:r>
    </w:p>
    <w:p w:rsidR="00F83F12" w:rsidRDefault="001C6219">
      <w:pPr>
        <w:pStyle w:val="P68B1DB1-Normal5"/>
        <w:numPr>
          <w:ilvl w:val="0"/>
          <w:numId w:val="71"/>
        </w:numPr>
      </w:pPr>
      <w:r>
        <w:t>En relación con las columnas (B) y (C), véanse las preguntas n.º 5 y n.º 6;</w:t>
      </w:r>
    </w:p>
    <w:p w:rsidR="00F83F12" w:rsidRDefault="001C6219">
      <w:pPr>
        <w:pStyle w:val="P68B1DB1-Normal5"/>
        <w:numPr>
          <w:ilvl w:val="0"/>
          <w:numId w:val="71"/>
        </w:numPr>
      </w:pPr>
      <w:r>
        <w:t>Aclaren cómo tendrá conocimiento la Comisión de la información mencionada en el artículo 93, apartado 5, letra b) (La ayuda de los Fondos a una prioridad en el pago del saldo del último ejercicio contable no superará ninguno de los siguientes importes:.... b) la ayuda de los Fondos pagada o por pagar a los beneficiarios).</w:t>
      </w:r>
    </w:p>
    <w:p w:rsidR="00F83F12" w:rsidRDefault="00F83F12"/>
    <w:p w:rsidR="00F83F12" w:rsidRDefault="001C6219">
      <w:pPr>
        <w:pStyle w:val="P68B1DB1-Normal4"/>
      </w:pPr>
      <w:r>
        <w:t>Respuesta.</w:t>
      </w:r>
    </w:p>
    <w:p w:rsidR="00F83F12" w:rsidRDefault="001C6219">
      <w:pPr>
        <w:pStyle w:val="P68B1DB1-Normal14"/>
      </w:pPr>
      <w:r>
        <w:t>Solicitud de pago (OP):</w:t>
      </w:r>
    </w:p>
    <w:p w:rsidR="00F83F12" w:rsidRDefault="001C6219">
      <w:pPr>
        <w:ind w:left="284"/>
      </w:pPr>
      <w:r>
        <w:rPr>
          <w:b/>
        </w:rPr>
        <w:t>1.</w:t>
      </w:r>
      <w:r>
        <w:t>sí, la columna B debe incluir todos los gastos declarados relacionados con el cumplimiento de las condiciones favorables o que contribuyan a su cumplimiento, con dos excepciones:</w:t>
      </w:r>
    </w:p>
    <w:p w:rsidR="00F83F12" w:rsidRDefault="001C6219">
      <w:pPr>
        <w:ind w:left="284"/>
      </w:pPr>
      <w:r>
        <w:t>a) importe a tanto alzado de la TA (cuando proceda, calculado en la columna D), y</w:t>
      </w:r>
    </w:p>
    <w:p w:rsidR="00F83F12" w:rsidRDefault="001C6219">
      <w:pPr>
        <w:ind w:left="284"/>
      </w:pPr>
      <w:r>
        <w:t>b) el gasto total subvencionable cubierto por los regímenes de la opción de costes simplificados de conformidad con el artículo 94 del RDC [véase también el artículo 91 (4) (b) del RDC] o los regímenes de financiación no vinculada a los costes con arreglo al artículo 95 del RDC [véase el artículo 91 (4) (a) del RDC] (cuando proceda, incluidos en la columna C).</w:t>
      </w:r>
    </w:p>
    <w:p w:rsidR="00F83F12" w:rsidRDefault="001C6219">
      <w:pPr>
        <w:ind w:left="284"/>
      </w:pPr>
      <w:r>
        <w:rPr>
          <w:b/>
        </w:rPr>
        <w:t>(2) </w:t>
      </w:r>
      <w:r>
        <w:t>Sí, los gastos irregulares deben retirarse de las solicitudes de pago o deducirse de las cuentas, según proceda. Los importes retirados de las solicitudes de pago durante el ejercicio contable deben consignarse en las cuentas del apéndice 2 — Importes retirados durante el ejercicio contable — artículo 98, apartado 3, letra b), y artículo 98, apartado 7. Debe garantizarse una pista de auditoría adecuada.</w:t>
      </w:r>
    </w:p>
    <w:p w:rsidR="00F83F12" w:rsidRDefault="001C6219">
      <w:pPr>
        <w:ind w:left="284"/>
      </w:pPr>
      <w:r>
        <w:rPr>
          <w:b/>
        </w:rPr>
        <w:t xml:space="preserve">(3) </w:t>
      </w:r>
      <w:r>
        <w:t>Véase la respuesta en los puntos 1 y 4.</w:t>
      </w:r>
    </w:p>
    <w:p w:rsidR="00F83F12" w:rsidRDefault="001C6219">
      <w:pPr>
        <w:ind w:left="284"/>
      </w:pPr>
      <w:r>
        <w:rPr>
          <w:b/>
        </w:rPr>
        <w:t xml:space="preserve">(4) En </w:t>
      </w:r>
      <w:r w:rsidR="00503869">
        <w:rPr>
          <w:b/>
        </w:rPr>
        <w:t>la</w:t>
      </w:r>
      <w:r w:rsidR="00503869">
        <w:t xml:space="preserve"> columna</w:t>
      </w:r>
      <w:r>
        <w:t xml:space="preserve"> C debe incluirse el gasto subvencionable cuando la contribución de la Unión se efectúe de conformidad con el artículo 51, letra a), letras c), d) y e). Estos están vinculados a los importes aprobados en el programa [artículo 94, apartado 3, o 95 (2) del RDC] o establecidos en un acto delegado [artículo 94, apartado 4, o 95 (4) del RDC]. Estos corresponden al gasto total subvencionable incluido en las solicitudes de pago con arreglo al artículo 91, apartado 4, letra a), y letra b), del RDC. Los importes reembolsados al beneficiario en los casos contemplados en el artículo 91, apartado 4, letra a), y letra b), del RDC no se incluirán en la columna (B) para evitar la doble financiación del mismo gasto. Estos importes son irrelevantes para la declaración en las solicitudes/cuentas de pago. [NOTA: No obstante, los importes reembolsados al beneficiario en los casos contemplados en el artículo 91, apartado 4, letra c), del RDC se incluirán en la columna B.]</w:t>
      </w:r>
    </w:p>
    <w:p w:rsidR="00F83F12" w:rsidRDefault="001C6219">
      <w:pPr>
        <w:ind w:left="284"/>
      </w:pPr>
      <w:r>
        <w:t xml:space="preserve">En caso de que una parte del gasto de la operación se declare a la Comisión sobre la base de los gastos subvencionables contraídos por el beneficiario y pagados en la ejecución de la operación, y otra parte esté cubierta por un régimen de OCS/FNLTC </w:t>
      </w:r>
      <w:r>
        <w:lastRenderedPageBreak/>
        <w:t>acordado entre la Comisión y la autoridad de gestión e incluido en el programa, el gasto de dicha operación se incluirá parcialmente en la columna (B) y parcialmente en la columna (C) de las solicitudes de pago.</w:t>
      </w:r>
    </w:p>
    <w:p w:rsidR="00F83F12" w:rsidRDefault="001C6219">
      <w:pPr>
        <w:ind w:left="284"/>
      </w:pPr>
      <w:r>
        <w:rPr>
          <w:b/>
        </w:rPr>
        <w:t xml:space="preserve">(5) Debe entenderse que </w:t>
      </w:r>
      <w:r w:rsidR="00503869">
        <w:rPr>
          <w:b/>
        </w:rPr>
        <w:t>la</w:t>
      </w:r>
      <w:r w:rsidR="00503869">
        <w:t xml:space="preserve"> referencia</w:t>
      </w:r>
      <w:r>
        <w:t xml:space="preserve"> en el artículo 36, apartado 5, del RDC al artículo 91, apartado 3, letra a), o c) del RDC abarca también las excepciones a que se refiere el artículo 91, apartado 4, letra a), letras a) y c), del RDC. Los importes incluidos en las columnas B y C constituirían acumulativamente la base para el cálculo de la asistencia técnica a tanto alzado cuando los programas eligieran el gasto total subvencionable y los importes incluidos en la columna E serían la base en la que los programas optaran por la contribución pública. </w:t>
      </w:r>
    </w:p>
    <w:p w:rsidR="00F83F12" w:rsidRDefault="001C6219">
      <w:pPr>
        <w:ind w:left="284"/>
      </w:pPr>
      <w:r>
        <w:rPr>
          <w:b/>
        </w:rPr>
        <w:t>(6)</w:t>
      </w:r>
      <w:r>
        <w:t xml:space="preserve"> El importe incluido reflejará la definición que figura en el artículo 2, apartado 28, del RDC. De conformidad con el artículo 2, apartado 28, del RDC, se entenderá por «contribución pública» toda contribución a la financiación de operaciones cuya fuente sea el presupuesto de las autoridades públicas nacionales, regionales o locales o de cualquier agrupación europea de cooperación territorial (AECT) establecida de conformidad con el Reglamento (CE) n.º 1082/2006 del Parlamento Europeo y del Consejo, el presupuesto de la Unión puesto a disposición de los Fondos, el presupuesto de organismos de Derecho público o el presupuesto de asociaciones de autoridades públicas o de organismos de Derecho público y, a efectos de determinar el porcentaje de cofinanciación de los programas o prioridades del FSE +, podrá incluir cualquier recurso financiero aportado colectivamente por empleadores y trabajadores.</w:t>
      </w:r>
    </w:p>
    <w:p w:rsidR="00F83F12" w:rsidRDefault="001C6219">
      <w:pPr>
        <w:ind w:left="284"/>
      </w:pPr>
      <w:r>
        <w:rPr>
          <w:b/>
        </w:rPr>
        <w:t>(6.1)</w:t>
      </w:r>
      <w:r>
        <w:t xml:space="preserve"> La contribución pública podría ser realizada tanto por la AG como por los beneficiarios, siempre que se ajuste a la definición anterior.</w:t>
      </w:r>
    </w:p>
    <w:p w:rsidR="00F83F12" w:rsidRDefault="001C6219">
      <w:pPr>
        <w:ind w:left="284"/>
      </w:pPr>
      <w:r>
        <w:rPr>
          <w:b/>
        </w:rPr>
        <w:t>6.2.</w:t>
      </w:r>
      <w:r>
        <w:t>los flujos financieros entre organismos implicados son irrelevantes para determinar el importe de la contribución pública consignado en la columna E. El importe de la columna E incluye también parte de la financiación proporcionada por los beneficiarios que son organismos públicos.</w:t>
      </w:r>
    </w:p>
    <w:p w:rsidR="00F83F12" w:rsidRDefault="001C6219">
      <w:pPr>
        <w:ind w:left="284"/>
      </w:pPr>
      <w:r>
        <w:rPr>
          <w:b/>
        </w:rPr>
        <w:t>(7)</w:t>
      </w:r>
      <w:r>
        <w:t xml:space="preserve"> El porcentaje de cofinanciación se aplicará al gasto total subvencionable (suma de los importes incluidos en las columnas B, C y D) o al importe de la contribución pública (suma de los importes incluidos en las columnas E y D) en consonancia con el programa. El artículo 93, apartado 4, del RDC establece una salvaguardia de que la Comisión, independientemente de la forma de la contribución de la Unión, no reembolsa más que el Estado miembro solicitado en una solicitud de pago.</w:t>
      </w:r>
    </w:p>
    <w:p w:rsidR="00F83F12" w:rsidRDefault="001C6219">
      <w:pPr>
        <w:pStyle w:val="P68B1DB1-Normal13"/>
      </w:pPr>
      <w:r>
        <w:rPr>
          <w:u w:val="single"/>
        </w:rPr>
        <w:t>Cuentas</w:t>
      </w:r>
      <w:r>
        <w:t>:</w:t>
      </w:r>
    </w:p>
    <w:p w:rsidR="00F83F12" w:rsidRDefault="001C6219">
      <w:pPr>
        <w:ind w:left="284"/>
      </w:pPr>
      <w:r>
        <w:rPr>
          <w:b/>
        </w:rPr>
        <w:t>1.</w:t>
      </w:r>
      <w:r>
        <w:t>la columna A de la contabilidad corresponde a la suma de las columnas B y C de las solicitudes de pago.</w:t>
      </w:r>
    </w:p>
    <w:p w:rsidR="00F83F12" w:rsidRDefault="001C6219">
      <w:pPr>
        <w:ind w:left="284"/>
      </w:pPr>
      <w:r>
        <w:rPr>
          <w:b/>
        </w:rPr>
        <w:t xml:space="preserve">(2) </w:t>
      </w:r>
      <w:r>
        <w:t>Véanse las aclaraciones pertinentes sobre las preguntas 5 y 6 sobre los puntos relacionados anteriormente.</w:t>
      </w:r>
    </w:p>
    <w:p w:rsidR="00F83F12" w:rsidRDefault="001C6219">
      <w:pPr>
        <w:ind w:left="284"/>
      </w:pPr>
      <w:r>
        <w:rPr>
          <w:b/>
        </w:rPr>
        <w:t xml:space="preserve">(3) </w:t>
      </w:r>
      <w:r>
        <w:t xml:space="preserve">El artículo 93, apartado 5, letra b), del RDC exige que la ayuda de los Fondos a una prioridad en el pago del saldo del último ejercicio contable no supere la ayuda de los Fondos pagada o por pagar a los beneficiarios. El artículo 94, apartado 3, párrafo segundo, del RDC establece que «los Estados miembros reembolsarán a los beneficiarios a efectos del presente artículo» y en el artículo 95, apartado 3, párrafo </w:t>
      </w:r>
      <w:r>
        <w:lastRenderedPageBreak/>
        <w:t>primero, del RDC se incluye exactamente la misma redacción. Además, la pista de auditoría de las OCS con arreglo al artículo 94 del RDC (anexo XIII, sección III) y de la FNLTC con arreglo al artículo 95 del RDC (anexo XIII, sección IV) exige la prueba del pago de la contribución pública al beneficiario y su fecha. Los Estados miembros deben garantizar el cumplimiento de estos requisitos y de la pista de auditoría subyacente. </w:t>
      </w:r>
    </w:p>
    <w:p w:rsidR="00F83F12" w:rsidRDefault="00F83F12"/>
    <w:p w:rsidR="00F83F12" w:rsidRDefault="00F83F12"/>
    <w:p w:rsidR="00F83F12" w:rsidRDefault="00F83F12"/>
    <w:p w:rsidR="00F83F12" w:rsidRDefault="001C6219">
      <w:pPr>
        <w:pStyle w:val="Ttulo1"/>
      </w:pPr>
      <w:bookmarkStart w:id="175" w:name="scroll-bookmark-175"/>
      <w:bookmarkStart w:id="176" w:name="scroll-bookmark-176"/>
      <w:bookmarkEnd w:id="175"/>
      <w:r>
        <w:t>QA00101 — Procedimiento de selección de proyectos de inversiones productivas en grandes empresas para la lista indicativa del Plan Territorial de Transición Justa</w:t>
      </w:r>
      <w:bookmarkEnd w:id="176"/>
    </w:p>
    <w:p w:rsidR="00F83F12" w:rsidRDefault="001C6219">
      <w:r>
        <w:rPr>
          <w:noProof/>
          <w:lang w:val="es-ES"/>
        </w:rPr>
        <w:drawing>
          <wp:inline distT="0" distB="0" distL="0" distR="0" wp14:anchorId="7263DA80" wp14:editId="7BC266D8">
            <wp:extent cx="152435" cy="152435"/>
            <wp:effectExtent l="0" t="0" r="0" b="0"/>
            <wp:docPr id="100355" name="Imagen 1003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F83F12" w:rsidRDefault="001C6219">
      <w:pPr>
        <w:numPr>
          <w:ilvl w:val="0"/>
          <w:numId w:val="72"/>
        </w:numPr>
      </w:pPr>
      <w:r>
        <w:t>Artículo 73 del RDC </w:t>
      </w:r>
    </w:p>
    <w:p w:rsidR="00F83F12" w:rsidRDefault="001C6219">
      <w:pPr>
        <w:numPr>
          <w:ilvl w:val="0"/>
          <w:numId w:val="72"/>
        </w:numPr>
      </w:pPr>
      <w:r>
        <w:t>Artículo 8 del Reglamento del FTJ</w:t>
      </w:r>
    </w:p>
    <w:p w:rsidR="00F83F12" w:rsidRDefault="001C6219">
      <w:pPr>
        <w:numPr>
          <w:ilvl w:val="0"/>
          <w:numId w:val="72"/>
        </w:numPr>
      </w:pPr>
      <w:r>
        <w:t>Artículo 11 del Reglamento del FTJ</w:t>
      </w:r>
    </w:p>
    <w:p w:rsidR="00F83F12" w:rsidRDefault="001C6219">
      <w:pPr>
        <w:numPr>
          <w:ilvl w:val="0"/>
          <w:numId w:val="72"/>
        </w:numPr>
      </w:pPr>
      <w:r>
        <w:t>Apartado 14 de las Directrices sobre ayudas estatales de finalidad regional</w:t>
      </w:r>
    </w:p>
    <w:p w:rsidR="00F83F12" w:rsidRDefault="001C6219">
      <w:pPr>
        <w:numPr>
          <w:ilvl w:val="0"/>
          <w:numId w:val="72"/>
        </w:numPr>
      </w:pPr>
      <w:r>
        <w:t>Apartado 45 de las Directrices sobre ayudas estatales de finalidad regional</w:t>
      </w:r>
    </w:p>
    <w:p w:rsidR="00F83F12" w:rsidRDefault="001C6219">
      <w:pPr>
        <w:numPr>
          <w:ilvl w:val="0"/>
          <w:numId w:val="72"/>
        </w:numPr>
      </w:pPr>
      <w:r>
        <w:t>Artículo 107 del TFUE</w:t>
      </w:r>
    </w:p>
    <w:p w:rsidR="00F83F12" w:rsidRDefault="001C6219">
      <w:pPr>
        <w:numPr>
          <w:ilvl w:val="0"/>
          <w:numId w:val="72"/>
        </w:numPr>
      </w:pPr>
      <w:r>
        <w:t>Artículo 108 del TFUE</w:t>
      </w:r>
    </w:p>
    <w:p w:rsidR="00F83F12" w:rsidRDefault="001C6219">
      <w:r>
        <w:rPr>
          <w:noProof/>
          <w:lang w:val="es-ES"/>
        </w:rPr>
        <w:drawing>
          <wp:inline distT="0" distB="0" distL="0" distR="0" wp14:anchorId="6BF06088" wp14:editId="7FB4292E">
            <wp:extent cx="152435" cy="152435"/>
            <wp:effectExtent l="0" t="0" r="0" b="0"/>
            <wp:docPr id="100357" name="Imagen 1003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F83F12" w:rsidRDefault="00F83F12"/>
    <w:p w:rsidR="00F83F12" w:rsidRDefault="001C6219">
      <w:pPr>
        <w:pStyle w:val="P68B1DB1-Normal4"/>
      </w:pPr>
      <w:r>
        <w:br/>
        <w:t>Pregunta 1 (incluidos los hechos e información pertinentes):</w:t>
      </w:r>
    </w:p>
    <w:p w:rsidR="00F83F12" w:rsidRDefault="001C6219">
      <w:r>
        <w:t>España tiene dudas sobre cómo garantizar el principio de competencia al completar la lista del Plan Territorial de Transición Justa de proyectos y empresas específicos en relación con inversiones productivas en grandes empresas [véase el artículo 8, apartado 2, párrafo segundo, y el artículo 11, apartado 2, letra h), del Reglamento del FTJ].</w:t>
      </w:r>
    </w:p>
    <w:p w:rsidR="00F83F12" w:rsidRDefault="001C6219">
      <w:r>
        <w:t>A tal fin, el Estado miembro está estudiando la posibilidad de lanzar una convocatoria antes de la aprobación del plan, que se notificaría previamente a la DG Comp y que garantizaría el cumplimiento de los requisitos establecidos en el Reglamento del FTJ (sectores subvencionables, creación de empleo, contribución a los objetivos climáticos y medioambientales, contribución a los objetivos del plan territorial de transición justa, no reubicación, etc.).</w:t>
      </w:r>
    </w:p>
    <w:p w:rsidR="00F83F12" w:rsidRDefault="001C6219">
      <w:r>
        <w:lastRenderedPageBreak/>
        <w:t>Los licitadores seleccionados de la convocatoria formarían la lista que se propone incluir en el plan territorial de transición justa, cumpliendo así el principio de competencia. Una vez aprobado el plan y el programa, certificarán los gastos de estas inversiones. ¿Sería posible este régimen y prevé la Comisión algún tipo de dificultad o reparación?</w:t>
      </w:r>
    </w:p>
    <w:p w:rsidR="00F83F12" w:rsidRDefault="001C6219">
      <w:pPr>
        <w:pStyle w:val="P68B1DB1-Normal4"/>
      </w:pPr>
      <w:r>
        <w:t>Respuesta.</w:t>
      </w:r>
    </w:p>
    <w:p w:rsidR="00F83F12" w:rsidRDefault="001C6219">
      <w:pPr>
        <w:pStyle w:val="P68B1DB1-Normal15"/>
      </w:pPr>
      <w:r>
        <w:rPr>
          <w:i/>
        </w:rPr>
        <w:t>Esta respuesta se actualizó el 13 de febrero de 2023 para evitar malentendidos. El texto modificado queda tachado</w:t>
      </w:r>
      <w:r>
        <w:t>.</w:t>
      </w:r>
    </w:p>
    <w:p w:rsidR="00F83F12" w:rsidRDefault="001C6219">
      <w:r>
        <w:t>De conformidad con el artículo 11, apartado 2, letra h), del Reglamento del FTJ, cuando se preste ayuda a inversiones productivas en empresas distintas de las pymes, el plan territorial de transición justa debe incluir una lista indicativa de las operaciones y empresas que recibirán ayuda, junto con una justificación de la necesidad de dicha ayuda mediante un análisis de la brecha de empleo. Esta disposición debe entenderse como el requisito de los Estados miembros de mencionar explícitamente dichas operaciones y empresas en el plan.</w:t>
      </w:r>
    </w:p>
    <w:p w:rsidR="00F83F12" w:rsidRDefault="001C6219">
      <w:r>
        <w:t>El Reglamento del FTJ no prescribe cómo debe establecerse la lista indicativa de operaciones y empresas. Solo especifica, en su artículo 8, los cuatro criterios que deben cumplir dichas inversiones para poder optar a la ayuda del FTJ. A este respecto, deben ser necesarias para la aplicación del plan territorial de transición justa, contribuir a la transición hacia una economía de la Unión climáticamente neutra de aquí a 2050, apoyar la creación de empleo (análisis de la brecha de empleo) y no dar lugar a deslocalizaciones, tal como se definen en el artículo 2, apartado 27, del Reglamento sobre disposiciones comunes (RDC).</w:t>
      </w:r>
    </w:p>
    <w:p w:rsidR="00F83F12" w:rsidRDefault="001C6219">
      <w:r>
        <w:t>Por lo tanto, corresponde a los Estados miembros definir el método para identificar las inversiones productivas en grandes empresas. Este proceso debe llevarse a cabo de manera transparente, centrándose en las empresas y las inversiones productivas que cumplan los criterios anteriores. La identificación de las inversiones también debe hacerse de manera fluida y eficaz para no retrasar la preparación del plan territorial de transición justa.</w:t>
      </w:r>
    </w:p>
    <w:p w:rsidR="00F83F12" w:rsidRDefault="001C6219">
      <w:r>
        <w:t>En principio, la lista de inversiones productivas y empresas sigue siendo indicativa incluso una vez aprobada por la Comisión en el marco del plan territorial de transición justa como parte del programa. La identificación de nuevas inversiones productivas en grandes empresas tras la aprobación del plan territorial de transición justa no requerirá ni una modificación de la lista pertinente del plan territorial de transición justa ni una modificación del programa. Sin embargo, la lista del artículo 11, apartado 2, letra h), del Reglamento del FTJ pierde de facto su carácter «indicativo» en lo que respecta al apoyo a grandes empresas para inversiones productivas situadas en zonas «c», cubiertas por el apartado 14 de las Directrices sobre las ayudas estatales de finalidad regional (en lo sucesivo, «las DAR»). </w:t>
      </w:r>
    </w:p>
    <w:p w:rsidR="00F83F12" w:rsidRDefault="001C6219">
      <w:r>
        <w:t>Las inversiones productivas en grandes empresas (de la lista o identificadas posteriormente) también deben someterse al proceso de selección formal de conformidad con el artículo 73 del RDC (véase más adelante).</w:t>
      </w:r>
    </w:p>
    <w:p w:rsidR="00F83F12" w:rsidRDefault="001C6219">
      <w:r>
        <w:t xml:space="preserve">En consonancia con el considerando (16) del Reglamento del FTJ, el apoyo a las empresas debe cumplir las normas sobre ayudas estatales de la Unión, tal como se establece en los artículos 107 y 108 del TFUE. En particular, el apoyo a las inversiones </w:t>
      </w:r>
      <w:r>
        <w:lastRenderedPageBreak/>
        <w:t>productivas en empresas distintas de las pymes debe limitarse a las empresas situadas en zonas designadas como asistidas, que pueden ser «a» o «c» a efectos del artículo 107, apartado 3, letras a) y c), del TFUE:</w:t>
      </w:r>
    </w:p>
    <w:p w:rsidR="00F83F12" w:rsidRDefault="001C6219">
      <w:pPr>
        <w:numPr>
          <w:ilvl w:val="0"/>
          <w:numId w:val="73"/>
        </w:numPr>
      </w:pPr>
      <w:r>
        <w:t>las zonas «a» abarcan territorios con un PIB inferior al 75 % de la media de la UE y regiones ultraperiféricas.</w:t>
      </w:r>
    </w:p>
    <w:p w:rsidR="00F83F12" w:rsidRDefault="001C6219">
      <w:pPr>
        <w:numPr>
          <w:ilvl w:val="0"/>
          <w:numId w:val="73"/>
        </w:numPr>
      </w:pPr>
      <w:r>
        <w:t>las zonas «C» se determinan sobre la base de una gama más amplia de criterios, por ejemplo, problemas socioeconómicos, geográficos y estructurales a escala nacional, antiguas zonas «a», zonas escasamente pobladas, etc. Los Estados miembros también pueden proponer a la Comisión otras zonas «c», como las zonas del FTJ.</w:t>
      </w:r>
    </w:p>
    <w:p w:rsidR="00F83F12" w:rsidRDefault="001C6219">
      <w:r>
        <w:t>Los Estados miembros deben notificar a la Comisión su propuesta de nuevo mapa de ayudas regionales, identificando todas las futuras zonas «a» y «c». Los mapas de ayudas regionales deben ser aprobados por la Decisión de la Comisión. Los Estados miembros también pueden establecer una reserva para la futura designación de zonas del FTJ en el mapa, en particular cuando el mapa de ayudas regionales se establezca antes de que se defina el ámbito territorial de las zonas del FTJ en el plan territorial de transición justa aprobado, como es el caso de la mayoría de los Estados miembros.</w:t>
      </w:r>
    </w:p>
    <w:p w:rsidR="00F83F12" w:rsidRDefault="001C6219">
      <w:r>
        <w:t>Según las DAR, estas dos categorías de zonas siguen normas diferentes en lo que respecta a las inversiones subvencionables (véase su apartado 45) y las intensidades máximas de ayuda correspondientes (véase su sección 7.4)</w:t>
      </w:r>
      <w:r>
        <w:rPr>
          <w:i/>
        </w:rPr>
        <w:t xml:space="preserve">. </w:t>
      </w:r>
      <w:r>
        <w:t xml:space="preserve">En particular, tal como se establece en el apartado 45 de las DAR: </w:t>
      </w:r>
      <w:r>
        <w:rPr>
          <w:i/>
        </w:rPr>
        <w:t>«Podrán establecerse regímenes de ayudas regionales en zonas «a» para apoyar inversiones iniciales realizadas por PYME o grandes empresas y en zonas «c» para apoyar inversiones iniciales realizadas por PYME e inversiones iniciales que creen una nueva actividad económica realizada por grandes empresas.</w:t>
      </w:r>
    </w:p>
    <w:p w:rsidR="00F83F12" w:rsidRDefault="001C6219">
      <w:r>
        <w:t>Para las inversiones productivas en grandes empresas en zonas «c», el apartado 14 de las DAR establece una excepción</w:t>
      </w:r>
      <w:r>
        <w:rPr>
          <w:i/>
        </w:rPr>
        <w:t xml:space="preserve">. </w:t>
      </w:r>
      <w:r>
        <w:t>Más concretamente, las ayudas regionales a dichas empresas también pueden considerarse compatibles con el mercado interior de conformidad con los criterios de las presentes Directrices si se conceden para la diversificación de la producción de un establecimiento hacia productos no producidos previamente en el establecimiento o para un cambio fundamental en el proceso global de producción del producto o productos afectados por la inversión en el establecimiento, siempre que:</w:t>
      </w:r>
    </w:p>
    <w:p w:rsidR="00F83F12" w:rsidRDefault="001C6219">
      <w:pPr>
        <w:numPr>
          <w:ilvl w:val="0"/>
          <w:numId w:val="74"/>
        </w:numPr>
      </w:pPr>
      <w:r>
        <w:t>se refiere a una inversión inicial en un territorio identificado para recibir ayuda cofinanciada del FTJ en una zona «c» con un PIB per cápita inferior al 100 % de la media de la EU-27;</w:t>
      </w:r>
    </w:p>
    <w:p w:rsidR="00F83F12" w:rsidRDefault="001C6219">
      <w:pPr>
        <w:numPr>
          <w:ilvl w:val="0"/>
          <w:numId w:val="74"/>
        </w:numPr>
      </w:pPr>
      <w:r>
        <w:rPr>
          <w:u w:val="single"/>
        </w:rPr>
        <w:t>la inversión y el beneficiario deben estar designados en el plan territorial de transición justa de un Estado miembro aprobado por la Comisión</w:t>
      </w:r>
      <w:r>
        <w:t>, y</w:t>
      </w:r>
    </w:p>
    <w:p w:rsidR="00F83F12" w:rsidRDefault="001C6219">
      <w:pPr>
        <w:numPr>
          <w:ilvl w:val="0"/>
          <w:numId w:val="74"/>
        </w:numPr>
      </w:pPr>
      <w:r>
        <w:t>El FTJ cubre la ayuda estatal para la inversión con arreglo al máximo permitido.</w:t>
      </w:r>
    </w:p>
    <w:p w:rsidR="00F83F12" w:rsidRDefault="001C6219">
      <w:r>
        <w:t>Estas ayudas están siempre sujetas a notificación individual de conformidad con el artículo 108, apartado 3, del TFUE.</w:t>
      </w:r>
    </w:p>
    <w:p w:rsidR="00F83F12" w:rsidRDefault="001C6219">
      <w:pPr>
        <w:pStyle w:val="P68B1DB1-Normal7"/>
      </w:pPr>
      <w:r>
        <w:t>La secuencia de los dos procedimientos ante la Comisión es la siguiente:</w:t>
      </w:r>
    </w:p>
    <w:p w:rsidR="00F83F12" w:rsidRDefault="001C6219">
      <w:pPr>
        <w:numPr>
          <w:ilvl w:val="0"/>
          <w:numId w:val="75"/>
        </w:numPr>
      </w:pPr>
      <w:r>
        <w:lastRenderedPageBreak/>
        <w:t>Como primer paso, la Comisión aprueba el plan territorial de transición justa, incluida la lista indicativa de operaciones y grandes empresas que deben recibir apoyo.</w:t>
      </w:r>
    </w:p>
    <w:p w:rsidR="00F83F12" w:rsidRDefault="001C6219">
      <w:pPr>
        <w:numPr>
          <w:ilvl w:val="0"/>
          <w:numId w:val="75"/>
        </w:numPr>
      </w:pPr>
      <w:r>
        <w:t>En una segunda fase, cada ayuda estatal individual incluida en el plan territorial de transición justa aprobado, tal como se indica en el apartado 14 de las DAR, debe notificarse a la Comisión para su aprobación previa antes de su aplicación. La convocatoria inicial para identificar inversiones productivas en grandes empresas en zonas «c» (como se indica en la pregunta de las autoridades españolas) a efectos del plan territorial de transición justa no está sujeta a la obligación de notificación prevista en el artículo 108, apartado 3, del TFUE (ayudas estatales).</w:t>
      </w:r>
    </w:p>
    <w:p w:rsidR="00F83F12" w:rsidRDefault="001C6219">
      <w:r>
        <w:t xml:space="preserve">N.B. El apoyo a grandes empresas para las inversiones iniciales en zonas «a» y el apoyo a las inversiones iniciales que crean una nueva actividad económica realizada por grandes empresas en las zonas «c» y que no entran en el ámbito de aplicación del RGEC </w:t>
      </w:r>
      <w:r>
        <w:rPr>
          <w:u w:val="single"/>
        </w:rPr>
        <w:t>pueden</w:t>
      </w:r>
      <w:r>
        <w:t xml:space="preserve"> notificarse de conformidad con el artículo 108, apartado 3, del TFUE antes de que la Comisión apruebe el plan territorial de transición justa pertinente como parte del programa. Esta declaración también se aplica a las inversiones de las pymes que van más allá del marco del RGEC.</w:t>
      </w:r>
    </w:p>
    <w:p w:rsidR="00F83F12" w:rsidRDefault="001C6219">
      <w:r>
        <w:t>Por último, como se ha mencionado anteriormente, las inversiones productivas en grandes empresas de la lista indicativa del plan territorial de transición justa aprobada por la Comisión y las inversiones productivas en grandes empresas que puedan identificarse en el futuro (tras la aprobación del plan territorial de transición justa) deben seguir siendo objeto del procedimiento de selección de conformidad con el artículo 73 del RDC. Esto significa que dichas inversiones deberán evaluarse con arreglo a los criterios de selección aplicables, establecidos por el comité de seguimiento. A este respecto, la verificación del cumplimiento de los criterios establecidos en el RDC y en el Reglamento del FTJ es principalmente competencia de las autoridades de gestión, junto con la verificación de su conformidad con el Derecho aplicable, incluidas las normas sobre ayudas estatales.</w:t>
      </w:r>
      <w:r w:rsidR="00503869">
        <w:t xml:space="preserve"> </w:t>
      </w:r>
      <w:r>
        <w:rPr>
          <w:strike/>
        </w:rPr>
        <w:t>Solo una vez confirmada la selección de una operación, puede comenzar su ejecución y certificarse los gastos efectuados.</w:t>
      </w:r>
    </w:p>
    <w:p w:rsidR="00F83F12" w:rsidRDefault="00F83F12"/>
    <w:p w:rsidR="00F83F12" w:rsidRDefault="00F83F12"/>
    <w:p w:rsidR="00F83F12" w:rsidRDefault="00F83F12"/>
    <w:p w:rsidR="00F83F12" w:rsidRDefault="001C6219">
      <w:pPr>
        <w:pStyle w:val="Ttulo1"/>
      </w:pPr>
      <w:bookmarkStart w:id="177" w:name="scroll-bookmark-177"/>
      <w:bookmarkStart w:id="178" w:name="scroll-bookmark-178"/>
      <w:bookmarkEnd w:id="177"/>
      <w:r>
        <w:t>QA00102 — Admisibilidad de las inversiones en eficiencia energética para grandes empresas, incluidas las inversiones en eficiencia energética en líneas de producción</w:t>
      </w:r>
      <w:bookmarkEnd w:id="178"/>
    </w:p>
    <w:p w:rsidR="00F83F12" w:rsidRDefault="001C6219">
      <w:r>
        <w:rPr>
          <w:noProof/>
          <w:lang w:val="es-ES"/>
        </w:rPr>
        <w:drawing>
          <wp:inline distT="0" distB="0" distL="0" distR="0" wp14:anchorId="3D9CB994" wp14:editId="408843F3">
            <wp:extent cx="152435" cy="152435"/>
            <wp:effectExtent l="0" t="0" r="0" b="0"/>
            <wp:docPr id="100359" name="Imagen 1003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5.2, letra b), del Reglamento FEDER/FC</w:t>
      </w:r>
    </w:p>
    <w:p w:rsidR="00F83F12" w:rsidRDefault="001C6219">
      <w:r>
        <w:rPr>
          <w:noProof/>
          <w:lang w:val="es-ES"/>
        </w:rPr>
        <w:drawing>
          <wp:inline distT="0" distB="0" distL="0" distR="0" wp14:anchorId="46A38B4E" wp14:editId="0B241ADD">
            <wp:extent cx="152435" cy="152435"/>
            <wp:effectExtent l="0" t="0" r="0" b="0"/>
            <wp:docPr id="100361" name="Imagen 1003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F83F12" w:rsidRDefault="00F83F12"/>
    <w:p w:rsidR="00F83F12" w:rsidRDefault="001C6219">
      <w:pPr>
        <w:pStyle w:val="P68B1DB1-Normal4"/>
      </w:pPr>
      <w:r>
        <w:lastRenderedPageBreak/>
        <w:br/>
        <w:t>Pregunta 1 (incluidos los hechos e información pertinentes):</w:t>
      </w:r>
    </w:p>
    <w:p w:rsidR="00F83F12" w:rsidRDefault="001C6219">
      <w:r>
        <w:t>¿Son subvencionables las inversiones en eficiencia energética en grandes empresas y en líneas de producción cuando se basan en auditorías energéticas?</w:t>
      </w:r>
    </w:p>
    <w:p w:rsidR="00F83F12" w:rsidRDefault="001C6219">
      <w:r>
        <w:t xml:space="preserve">¿Qué significa </w:t>
      </w:r>
      <w:r>
        <w:rPr>
          <w:u w:val="single"/>
        </w:rPr>
        <w:t>principalmente</w:t>
      </w:r>
      <w:r>
        <w:t xml:space="preserve"> apoyar las medidas de eficiencia?</w:t>
      </w:r>
    </w:p>
    <w:p w:rsidR="00F83F12" w:rsidRDefault="001C6219">
      <w:pPr>
        <w:pStyle w:val="P68B1DB1-Normal4"/>
      </w:pPr>
      <w:r>
        <w:t>Respuesta.</w:t>
      </w:r>
    </w:p>
    <w:p w:rsidR="00F83F12" w:rsidRDefault="001C6219">
      <w:r>
        <w:t>La ayuda del FEDER a empresas distintas de las pymes debe cumplir las condiciones establecidas en el artículo 5, apartado 2, del Reglamento FEDER/FC.</w:t>
      </w:r>
    </w:p>
    <w:p w:rsidR="00F83F12" w:rsidRDefault="001C6219">
      <w:r>
        <w:t>De conformidad con el artículo 5, apartado 2, letra b), del Reglamento FEDER/FC, el FEDER puede apoyar inversiones productivas en dichas empresas para medidas de eficiencia energética o energías renovables en el marco de los objetivos específicos 2.1 y 2.2 — a través de subvenciones o instrumentos financieros- cuando apoyen principalmente dichas medidas. «Principalmente» significa que las medidas de eficiencia energética o de energías renovables deben ser el objetivo principal de una operación.</w:t>
      </w:r>
    </w:p>
    <w:p w:rsidR="00F83F12" w:rsidRDefault="001C6219">
      <w:r>
        <w:t>De conformidad con el artículo 6, apartado 1, letra a), del Reglamento FEDER/FC, el Fondo de Cohesión puede apoyar inversiones en pymes y no pymes en el medio ambiente, incluidas las inversiones relacionadas con el desarrollo sostenible y la energía que presenten beneficios medioambientales, prestando especial atención a las energías renovables, siempre que la ayuda proporcionada contribuya a uno de los objetivos específicos establecidos para el Fondo de que se trate.</w:t>
      </w:r>
    </w:p>
    <w:p w:rsidR="00F83F12" w:rsidRDefault="00F83F12"/>
    <w:p w:rsidR="00F83F12" w:rsidRDefault="00F83F12"/>
    <w:p w:rsidR="00F83F12" w:rsidRDefault="001C6219">
      <w:pPr>
        <w:pStyle w:val="Ttulo1"/>
      </w:pPr>
      <w:bookmarkStart w:id="179" w:name="scroll-bookmark-179"/>
      <w:bookmarkStart w:id="180" w:name="scroll-bookmark-180"/>
      <w:bookmarkEnd w:id="179"/>
      <w:r>
        <w:t>QA00103 — Asistencia técnica frente a acciones de desarrollo de capacidades</w:t>
      </w:r>
      <w:bookmarkEnd w:id="180"/>
    </w:p>
    <w:p w:rsidR="00F83F12" w:rsidRDefault="001C6219">
      <w:r>
        <w:rPr>
          <w:noProof/>
          <w:lang w:val="es-ES"/>
        </w:rPr>
        <w:drawing>
          <wp:inline distT="0" distB="0" distL="0" distR="0" wp14:anchorId="03273681" wp14:editId="12629868">
            <wp:extent cx="152435" cy="152435"/>
            <wp:effectExtent l="0" t="0" r="0" b="0"/>
            <wp:docPr id="100363" name="Imagen 1003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t>Artículo 36, apartado 1, y anexo I del RDC</w:t>
      </w:r>
    </w:p>
    <w:p w:rsidR="00F83F12" w:rsidRDefault="001C6219">
      <w:r>
        <w:t>Artículos 4 (1), 9 (1), 9 (2) y 16 (4) del Reglamento del FSE +</w:t>
      </w:r>
    </w:p>
    <w:p w:rsidR="00F83F12" w:rsidRDefault="001C6219">
      <w:r>
        <w:t>Artículo 3, apartado 4, del Reglamento FEDER</w:t>
      </w:r>
    </w:p>
    <w:p w:rsidR="00F83F12" w:rsidRDefault="001C6219">
      <w:r>
        <w:rPr>
          <w:noProof/>
          <w:lang w:val="es-ES"/>
        </w:rPr>
        <w:drawing>
          <wp:inline distT="0" distB="0" distL="0" distR="0" wp14:anchorId="6B7D8155" wp14:editId="48D78986">
            <wp:extent cx="152435" cy="152435"/>
            <wp:effectExtent l="0" t="0" r="0" b="0"/>
            <wp:docPr id="100365" name="Imagen 1003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F83F12"/>
    <w:p w:rsidR="00F83F12" w:rsidRDefault="001C6219">
      <w:pPr>
        <w:pStyle w:val="P68B1DB1-Normal4"/>
      </w:pPr>
      <w:r>
        <w:br/>
        <w:t>Pregunta 1 (incluidos los hechos e información pertinentes):</w:t>
      </w:r>
    </w:p>
    <w:p w:rsidR="00F83F12" w:rsidRDefault="001C6219">
      <w:r>
        <w:t>¿Cuál es la diferencia entre las acciones para el desarrollo de capacidades de los socios a que se refiere el artículo 36 (1) del Reglamento (UE) 2021/1060 y las acciones para el desarrollo de capacidades de los socios descritas en el artículo 9 (2) del Reglamento del FSE +?</w:t>
      </w:r>
    </w:p>
    <w:p w:rsidR="00F83F12" w:rsidRDefault="00F83F12"/>
    <w:p w:rsidR="00F83F12" w:rsidRDefault="001C6219">
      <w:pPr>
        <w:pStyle w:val="P68B1DB1-Normal4"/>
      </w:pPr>
      <w:r>
        <w:lastRenderedPageBreak/>
        <w:t>Respuesta.</w:t>
      </w:r>
    </w:p>
    <w:p w:rsidR="00F83F12" w:rsidRDefault="001C6219">
      <w:r>
        <w:t>Las</w:t>
      </w:r>
      <w:r>
        <w:rPr>
          <w:b/>
        </w:rPr>
        <w:t xml:space="preserve"> </w:t>
      </w:r>
      <w:r>
        <w:t>acciones para el desarrollo de capacidades de los interlocutores sociales y las organizaciones de la sociedad civil, de conformidad con el considerando (28) y el artículo 9, apartado 1, del Reglamento (UE) n.º 1057/2021 (Reglamento del FSE +), tienen el objetivo general de garantizar la participación significativa de estos interlocutores sociales y organizaciones de la sociedad civil en la aplicación de las políticas de empleo, educación e inclusión social apoyadas por el FSE +. Por lo tanto, estas acciones van más allá del desarrollo de capacidades para la administración y el uso efectivos de los Fondos y deben programarse en el marco de cualquiera de los objetivos específicos establecidos en el artículo 4, apartado 1, del Reglamento del FSE +.</w:t>
      </w:r>
    </w:p>
    <w:p w:rsidR="00F83F12" w:rsidRDefault="00F83F12"/>
    <w:p w:rsidR="00F83F12" w:rsidRDefault="001C6219">
      <w:pPr>
        <w:pStyle w:val="P68B1DB1-Normal4"/>
      </w:pPr>
      <w:r>
        <w:t>Pregunta 2 (incluidos los hechos e información pertinentes):</w:t>
      </w:r>
    </w:p>
    <w:p w:rsidR="00F83F12" w:rsidRDefault="001C6219">
      <w:r>
        <w:t xml:space="preserve">¿Para qué tipos de acciones anteriores la AG utilizaría el código de intervención «170 — Mejorar la capacidad de las autoridades y organismos de los programas vinculados a la ejecución de los fondos», </w:t>
      </w:r>
      <w:r w:rsidR="002F3719">
        <w:t xml:space="preserve">ya que, </w:t>
      </w:r>
      <w:r>
        <w:t>no puede utilizarse para prioridades de asistencia técnica, sino solo para intervenciones en el marco de las OP 1-5?</w:t>
      </w:r>
    </w:p>
    <w:p w:rsidR="00F83F12" w:rsidRDefault="001C6219">
      <w:pPr>
        <w:pStyle w:val="P68B1DB1-Normal4"/>
      </w:pPr>
      <w:r>
        <w:t> </w:t>
      </w:r>
    </w:p>
    <w:p w:rsidR="00F83F12" w:rsidRDefault="001C6219">
      <w:pPr>
        <w:pStyle w:val="P68B1DB1-Normal4"/>
      </w:pPr>
      <w:r>
        <w:t>Respuesta.</w:t>
      </w:r>
    </w:p>
    <w:p w:rsidR="00F83F12" w:rsidRDefault="001C6219">
      <w:r>
        <w:t>El código «170 — Mejorar la capacidad de las autoridades y organismos de los programas vinculados a la ejecución de los fondos» del anexo I del RDC consiste en captar las actividades de desarrollo de capacidades con arreglo al artículo 3, apartado 4, letra a), y letra b), del Reglamento (UE) 2021/1058 integradas en la ayuda en el marco de los objetivos específicos del FEDER/FC y no deben utilizarse en el contexto de la asistencia técnica, para la que se han previsto códigos específicos 179-182.</w:t>
      </w:r>
    </w:p>
    <w:p w:rsidR="00F83F12" w:rsidRDefault="001C6219">
      <w:r>
        <w:t>Por lo que se refiere al FSE +, el desarrollo de capacidades de los interlocutores sociales y las organizaciones de la sociedad civil será objeto de seguimiento a efectos del artículo 9 del Reglamento del FSE + a través de los temas secundarios, a saber, los códigos 07 y 08 del cuadro 6 del anexo I del RDC.</w:t>
      </w:r>
    </w:p>
    <w:p w:rsidR="00F83F12" w:rsidRDefault="00F83F12"/>
    <w:p w:rsidR="00F83F12" w:rsidRDefault="001C6219">
      <w:pPr>
        <w:pStyle w:val="P68B1DB1-Normal4"/>
      </w:pPr>
      <w:r>
        <w:t>Pregunta 3 (incluidos los hechos e información pertinentes):</w:t>
      </w:r>
    </w:p>
    <w:p w:rsidR="00F83F12" w:rsidRDefault="001C6219">
      <w:r>
        <w:t>¿Puede la financiación de las intervenciones de desarrollo de capacidades con arreglo al artículo 9 (2) del Reglamento del FSE + cubrir los salarios del personal de los interlocutores sociales o de las organizaciones de la sociedad civil?</w:t>
      </w:r>
    </w:p>
    <w:p w:rsidR="00F83F12" w:rsidRDefault="00F83F12"/>
    <w:p w:rsidR="00F83F12" w:rsidRDefault="001C6219">
      <w:pPr>
        <w:pStyle w:val="P68B1DB1-Normal4"/>
      </w:pPr>
      <w:r>
        <w:t>Respuesta.</w:t>
      </w:r>
    </w:p>
    <w:p w:rsidR="00F83F12" w:rsidRDefault="001C6219">
      <w:r>
        <w:t xml:space="preserve">El apoyo exclusivo a los salarios de los interlocutores sociales y las organizaciones de la sociedad civil no se considera una operación de desarrollo de capacidades a efectos del cumplimiento del requisito establecido en el artículo 9, apartado 2, del Reglamento del FSE +. Este apoyo como parte de una operación de desarrollo de capacidades en virtud del artículo 9 (2) del FSE + podría ser considerado subvencionable por la AG proporcionada y solo en la medida en que se refiera a medidas que se hayan demostrado </w:t>
      </w:r>
      <w:r>
        <w:lastRenderedPageBreak/>
        <w:t>para aumentar la capacidad de estas organizaciones para llevar a cabo políticas de empleo, educación e inclusión social apoyadas por el FSE +.</w:t>
      </w:r>
    </w:p>
    <w:p w:rsidR="00F83F12" w:rsidRDefault="00F83F12"/>
    <w:p w:rsidR="00F83F12" w:rsidRDefault="001C6219">
      <w:pPr>
        <w:pStyle w:val="P68B1DB1-Normal4"/>
      </w:pPr>
      <w:r>
        <w:t>Pregunta 4 (incluidos los hechos e información pertinentes):</w:t>
      </w:r>
    </w:p>
    <w:p w:rsidR="00F83F12" w:rsidRDefault="001C6219">
      <w:r>
        <w:t>¿Puede la financiación de las intervenciones de desarrollo de capacidades con arreglo al artículo 9 (2) del Reglamento del FSE + adoptar la forma de «subvenciones de funcionamiento» anuales, es decir, la autoridad de gestión publica anualmente una convocatoria de apoyo a los interlocutores sociales/organizaciones de la sociedad civil activas en un ámbito específico de la política EMPL para financiar la «actividad regular» de estas organizaciones?</w:t>
      </w:r>
    </w:p>
    <w:p w:rsidR="00F83F12" w:rsidRDefault="00F83F12"/>
    <w:p w:rsidR="00F83F12" w:rsidRDefault="001C6219">
      <w:pPr>
        <w:pStyle w:val="P68B1DB1-Normal4"/>
      </w:pPr>
      <w:r>
        <w:t> Respuesta.</w:t>
      </w:r>
    </w:p>
    <w:p w:rsidR="00F83F12" w:rsidRDefault="001C6219">
      <w:r>
        <w:t>Por lo que se refiere a la financiación de las subvenciones de funcionamiento, debe seguirse la misma lógica que en el caso de los salarios. (véase la respuesta a la pregunta 3).</w:t>
      </w:r>
    </w:p>
    <w:p w:rsidR="00F83F12" w:rsidRDefault="00F83F12"/>
    <w:p w:rsidR="00F83F12" w:rsidRDefault="00F83F12"/>
    <w:p w:rsidR="00F83F12" w:rsidRDefault="001C6219">
      <w:pPr>
        <w:pStyle w:val="Ttulo1"/>
      </w:pPr>
      <w:bookmarkStart w:id="181" w:name="scroll-bookmark-181"/>
      <w:bookmarkStart w:id="182" w:name="scroll-bookmark-182"/>
      <w:bookmarkEnd w:id="181"/>
      <w:r>
        <w:t>QA00104- Durabilidad de las operaciones destinadas a adaptar los hogares a las personas necesitadas (por ejemplo, de edad avanzada)</w:t>
      </w:r>
      <w:bookmarkEnd w:id="182"/>
    </w:p>
    <w:p w:rsidR="00F83F12" w:rsidRDefault="001C6219">
      <w:r>
        <w:rPr>
          <w:noProof/>
          <w:lang w:val="es-ES"/>
        </w:rPr>
        <w:drawing>
          <wp:inline distT="0" distB="0" distL="0" distR="0" wp14:anchorId="0FC3A609" wp14:editId="5FC55E44">
            <wp:extent cx="152435" cy="152435"/>
            <wp:effectExtent l="0" t="0" r="0" b="0"/>
            <wp:docPr id="100367" name="Imagen 1003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2 y 65 del RDC</w:t>
      </w:r>
    </w:p>
    <w:p w:rsidR="00F83F12" w:rsidRDefault="001C6219">
      <w:r>
        <w:rPr>
          <w:noProof/>
          <w:lang w:val="es-ES"/>
        </w:rPr>
        <w:drawing>
          <wp:inline distT="0" distB="0" distL="0" distR="0" wp14:anchorId="31BE3CFB" wp14:editId="6A3640B3">
            <wp:extent cx="152435" cy="152435"/>
            <wp:effectExtent l="0" t="0" r="0" b="0"/>
            <wp:docPr id="100369" name="Imagen 1003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En el contexto de las medidas dirigidas a las personas que necesitan apoyo en su funcionamiento diario (por ejemplo, las personas de edad avanzada), ¿es posible financiar la adaptación de la vivienda privada para permitirles permanecer en sus hogares el mayor tiempo posible? ¿Es posible excluirla del requisito de durabilidad de la inversión?</w:t>
      </w:r>
    </w:p>
    <w:p w:rsidR="00F83F12" w:rsidRDefault="00F83F12"/>
    <w:p w:rsidR="00F83F12" w:rsidRDefault="001C6219">
      <w:pPr>
        <w:pStyle w:val="P68B1DB1-Normal4"/>
      </w:pPr>
      <w:r>
        <w:t>Respuesta.</w:t>
      </w:r>
    </w:p>
    <w:p w:rsidR="00F83F12" w:rsidRDefault="001C6219">
      <w:r>
        <w:t>Sobre la base de la definición de beneficiario que figura en el artículo 2, apartado 9, letra a), del RDC, las personas físicas (particulares) o los organismos privados pueden beneficiarse del apoyo de la UE si son responsables de iniciar o de iniciar y ejecutar una operación. No existe ninguna prohibición que impida a una persona física ser beneficiaria.</w:t>
      </w:r>
    </w:p>
    <w:p w:rsidR="00F83F12" w:rsidRDefault="001C6219">
      <w:r>
        <w:lastRenderedPageBreak/>
        <w:t>En la práctica, esto se refiere a la adaptación de la casa con equipos, por ejemplo, y otras herramientas que facilitan la vida en la casa personal. Se trata de algo que sigue las líneas políticas de la Comisión para apoyar que las personas (por ejemplo, las personas de edad avanzada, las personas con discapacidad) puedan vivir en sus hogares con el equipo necesario e infraestructuras adaptadas y tengan acceso a los servicios que necesitan en la comunidad.</w:t>
      </w:r>
    </w:p>
    <w:p w:rsidR="00F83F12" w:rsidRDefault="001C6219">
      <w:r>
        <w:t>Se aplicarán las disposiciones sobre durabilidad, de conformidad con el artículo 65 del RDC.</w:t>
      </w:r>
    </w:p>
    <w:p w:rsidR="00F83F12" w:rsidRDefault="00F83F12"/>
    <w:p w:rsidR="00F83F12" w:rsidRDefault="00F83F12"/>
    <w:p w:rsidR="00F83F12" w:rsidRDefault="00F83F12"/>
    <w:p w:rsidR="00F83F12" w:rsidRDefault="00F83F12"/>
    <w:p w:rsidR="00F83F12" w:rsidRDefault="001C6219">
      <w:pPr>
        <w:pStyle w:val="Ttulo1"/>
      </w:pPr>
      <w:bookmarkStart w:id="183" w:name="scroll-bookmark-183"/>
      <w:bookmarkStart w:id="184" w:name="scroll-bookmark-184"/>
      <w:bookmarkEnd w:id="183"/>
      <w:r>
        <w:t>QA00105 — Fase gradual de las operaciones REACT-UE y tratamiento de la cofinanciación</w:t>
      </w:r>
      <w:bookmarkEnd w:id="184"/>
    </w:p>
    <w:p w:rsidR="00F83F12" w:rsidRDefault="001C6219">
      <w:r>
        <w:rPr>
          <w:noProof/>
          <w:lang w:val="es-ES"/>
        </w:rPr>
        <w:drawing>
          <wp:inline distT="0" distB="0" distL="0" distR="0" wp14:anchorId="3E5CF2DC" wp14:editId="0EDDC7FA">
            <wp:extent cx="152435" cy="152435"/>
            <wp:effectExtent l="0" t="0" r="0" b="0"/>
            <wp:docPr id="100371" name="Imagen 1003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t>Artículo 92 ter, apartado 2, del Reglamento (UE) n.º 1303/2013;</w:t>
      </w:r>
    </w:p>
    <w:p w:rsidR="00F83F12" w:rsidRDefault="001C6219">
      <w:r>
        <w:t>El artículo 118 del Reglamento (UE) 2021/1060;</w:t>
      </w:r>
    </w:p>
    <w:p w:rsidR="00F83F12" w:rsidRDefault="001C6219">
      <w:r>
        <w:t>Artículo 112 del Reglamento (UE) 2021/1060</w:t>
      </w:r>
    </w:p>
    <w:p w:rsidR="00F83F12" w:rsidRDefault="001C6219">
      <w:r>
        <w:rPr>
          <w:noProof/>
          <w:lang w:val="es-ES"/>
        </w:rPr>
        <w:drawing>
          <wp:inline distT="0" distB="0" distL="0" distR="0" wp14:anchorId="6D4D846E" wp14:editId="51DE5C28">
            <wp:extent cx="152435" cy="152435"/>
            <wp:effectExtent l="0" t="0" r="0" b="0"/>
            <wp:docPr id="100373" name="Imagen 1003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F83F12" w:rsidRDefault="00F83F12"/>
    <w:p w:rsidR="00F83F12" w:rsidRDefault="001C6219">
      <w:pPr>
        <w:pStyle w:val="P68B1DB1-Normal4"/>
      </w:pPr>
      <w:r>
        <w:br/>
        <w:t>Pregunta 1 (incluidos los hechos e información pertinentes):</w:t>
      </w:r>
    </w:p>
    <w:p w:rsidR="00F83F12" w:rsidRDefault="001C6219">
      <w:pPr>
        <w:numPr>
          <w:ilvl w:val="0"/>
          <w:numId w:val="76"/>
        </w:numPr>
      </w:pPr>
      <w:r>
        <w:t>¿Es posible articular proyectos financiados en el marco de REACT-UE?</w:t>
      </w:r>
    </w:p>
    <w:p w:rsidR="00F83F12" w:rsidRDefault="001C6219">
      <w:pPr>
        <w:numPr>
          <w:ilvl w:val="0"/>
          <w:numId w:val="76"/>
        </w:numPr>
      </w:pPr>
      <w:r>
        <w:t>En caso afirmativo, ¿se mantiene el porcentaje de cofinanciación del 100 % durante el período 2021-2027?</w:t>
      </w:r>
    </w:p>
    <w:p w:rsidR="00F83F12" w:rsidRDefault="001C6219">
      <w:r>
        <w:rPr>
          <w:b/>
        </w:rPr>
        <w:t>Marco normativo</w:t>
      </w:r>
      <w:r>
        <w:t>:</w:t>
      </w:r>
    </w:p>
    <w:p w:rsidR="00F83F12" w:rsidRDefault="001C6219">
      <w:pPr>
        <w:numPr>
          <w:ilvl w:val="0"/>
          <w:numId w:val="77"/>
        </w:numPr>
      </w:pPr>
      <w:r>
        <w:t>Artículo 92 ter, apartado 2, párrafo tercero, del Reglamento (UE)</w:t>
      </w:r>
      <w:hyperlink w:anchor="scroll-bookmark-185" w:history="1">
        <w:r>
          <w:rPr>
            <w:rStyle w:val="Hipervnculo"/>
          </w:rPr>
          <w:t>n.º 1303/2013 [</w:t>
        </w:r>
      </w:hyperlink>
      <w:r>
        <w:t xml:space="preserve"> 1], sobre las modalidades de ejecución de los recursos REACT-UE:</w:t>
      </w:r>
    </w:p>
    <w:p w:rsidR="00F83F12" w:rsidRDefault="001C6219">
      <w:r>
        <w:rPr>
          <w:i/>
        </w:rPr>
        <w:t>«[...] Las disposiciones escalonadas establecidas en un Reglamento por el que se establecen las disposiciones comunes relativas al Fondo Europeo de Desarrollo Regional, al Fondo Social Europeo Plus, al Fondo de Cohesión, al Fondo de Transición Justa y al Fondo Europeo Marítimo y de Pesca, así como las normas financieras para dichos Fondos y para el Fondo de Asilo y Migración, el Fondo de Seguridad Interior y el Instrumento de Gestión de las Fronteras y Visados, son aplicables a las operaciones apoyadas por los recursos REACT-UE</w:t>
      </w:r>
      <w:r>
        <w:t>».</w:t>
      </w:r>
    </w:p>
    <w:p w:rsidR="00F83F12" w:rsidRDefault="001C6219">
      <w:pPr>
        <w:numPr>
          <w:ilvl w:val="0"/>
          <w:numId w:val="78"/>
        </w:numPr>
      </w:pPr>
      <w:r>
        <w:lastRenderedPageBreak/>
        <w:t>Artículo 118 del Reglamento (UE) 2021/1060 sobre las condiciones aplicables a las operaciones sujetas a ejecución escalonada</w:t>
      </w:r>
    </w:p>
    <w:p w:rsidR="00F83F12" w:rsidRDefault="001C6219">
      <w:r>
        <w:t>«1</w:t>
      </w:r>
      <w:r>
        <w:rPr>
          <w:i/>
        </w:rPr>
        <w:t>. La autoridad de gestión podrá proceder a la selección de una operación consistente en la segunda fase de una operación seleccionada para recibir ayuda e iniciada con arreglo al Reglamento (UE) n.º 1303/2013, siempre que se cumplan las siguientes condiciones acumulativas:</w:t>
      </w:r>
    </w:p>
    <w:p w:rsidR="00F83F12" w:rsidRDefault="001C6219">
      <w:pPr>
        <w:pStyle w:val="P68B1DB1-Normal5"/>
      </w:pPr>
      <w:r>
        <w:t>a) la operación, tal como fue seleccionada para recibir la ayuda en virtud del Reglamento (UE) n.º 1303/2013, tiene dos fases identificables desde un punto de vista financiero y con pistas de auditoría separadas;</w:t>
      </w:r>
    </w:p>
    <w:p w:rsidR="00F83F12" w:rsidRDefault="001C6219">
      <w:pPr>
        <w:pStyle w:val="P68B1DB1-Normal5"/>
      </w:pPr>
      <w:r>
        <w:t>b) el coste total de la operación a que se refiere la letra a) sea superior a 5 000 000 EUR;</w:t>
      </w:r>
    </w:p>
    <w:p w:rsidR="00F83F12" w:rsidRDefault="001C6219">
      <w:pPr>
        <w:pStyle w:val="P68B1DB1-Normal5"/>
      </w:pPr>
      <w:r>
        <w:t>C) el gasto incluido en una solicitud de pago perteneciente a la primera fase no está incluido en ninguna otra solicitud de pago perteneciente a la segunda fase;</w:t>
      </w:r>
    </w:p>
    <w:p w:rsidR="00F83F12" w:rsidRDefault="001C6219">
      <w:pPr>
        <w:pStyle w:val="P68B1DB1-Normal5"/>
      </w:pPr>
      <w:r>
        <w:t>d) la segunda fase de la operación cumple la legislación aplicable y puede optar a la ayuda del FEDER, el FSE +, el Fondo de Cohesión o el FEMPA en virtud de las disposiciones del presente Reglamento o de los Reglamentos específicos de cada Fondo;</w:t>
      </w:r>
    </w:p>
    <w:p w:rsidR="00F83F12" w:rsidRDefault="001C6219">
      <w:pPr>
        <w:pStyle w:val="P68B1DB1-Normal5"/>
      </w:pPr>
      <w:r>
        <w:t>e) el Estado miembro se compromete a completar durante el período de programación y poner en funcionamiento la segunda y última fase en el informe de ejecución final, o en el contexto del Fondo Europeo Marítimo y de Pesca en el último informe anual de ejecución, presentado de conformidad con el artículo 141 del Reglamento (UE) n.º 1303/2013.</w:t>
      </w:r>
    </w:p>
    <w:p w:rsidR="00F83F12" w:rsidRDefault="001C6219">
      <w:r>
        <w:rPr>
          <w:i/>
        </w:rPr>
        <w:t>2.Las disposiciones del presente Reglamento se aplicarán a la segunda fase de la operación</w:t>
      </w:r>
      <w:r>
        <w:t>.».</w:t>
      </w:r>
    </w:p>
    <w:p w:rsidR="00F83F12" w:rsidRDefault="00F83F12"/>
    <w:p w:rsidR="00F83F12" w:rsidRDefault="001C6219">
      <w:pPr>
        <w:numPr>
          <w:ilvl w:val="0"/>
          <w:numId w:val="79"/>
        </w:numPr>
      </w:pPr>
      <w:r>
        <w:t>Artículo 112 del Reglamento (UE) 2021/1060, sobre la determinación de los porcentajes de cofinanciación</w:t>
      </w:r>
    </w:p>
    <w:p w:rsidR="00F83F12" w:rsidRDefault="001C6219">
      <w:r>
        <w:t>«</w:t>
      </w:r>
      <w:r>
        <w:rPr>
          <w:i/>
        </w:rPr>
        <w:t>1. En la decisión por la que se apruebe un programa se fijarán el porcentaje de cofinanciación y el importe máximo de la ayuda de los Fondos para cada prioridad.</w:t>
      </w:r>
    </w:p>
    <w:p w:rsidR="00F83F12" w:rsidRDefault="001C6219">
      <w:pPr>
        <w:pStyle w:val="P68B1DB1-Normal5"/>
      </w:pPr>
      <w:r>
        <w:t>(2)  Por cada prioridad, se establecerá en la decisión de la Comisión si el porcentaje de cofinanciación de la prioridad se aplica a uno de los elementos siguientes: a) a la contribución total, incluidas la contribución pública y la privada; b) a la contribución pública. [...]»</w:t>
      </w:r>
    </w:p>
    <w:p w:rsidR="00F83F12" w:rsidRDefault="00F83F12"/>
    <w:p w:rsidR="00F83F12" w:rsidRDefault="00FC0FB1">
      <w:hyperlink w:anchor="scroll-bookmark-186" w:history="1">
        <w:r w:rsidR="001C6219">
          <w:rPr>
            <w:rStyle w:val="Hipervnculo"/>
          </w:rPr>
          <w:t>[1]</w:t>
        </w:r>
      </w:hyperlink>
      <w:r w:rsidR="001C6219">
        <w:t xml:space="preserve"> Modificado por el Reglamento (UE) 2020/2221 del Parlamento Europeo y del Consejo, de 23 de diciembre de 2020 (DOUE L-437 de 28.12.2020, p. 30) en lo que respecta a los recursos adicionales y las disposiciones de ejecución a fin de prestar asistencia para fomentar la reparación de la crisis en el contexto de la pandemia de COVID-19 y sus consecuencias sociales y para preparar una recuperación verde, digital y resiliente de la economía (REACT-UE).</w:t>
      </w:r>
    </w:p>
    <w:p w:rsidR="00F83F12" w:rsidRDefault="00F83F12"/>
    <w:p w:rsidR="00F83F12" w:rsidRDefault="001C6219">
      <w:pPr>
        <w:pStyle w:val="P68B1DB1-Normal4"/>
      </w:pPr>
      <w:r>
        <w:t>Respuesta.</w:t>
      </w:r>
    </w:p>
    <w:p w:rsidR="00F83F12" w:rsidRDefault="001C6219">
      <w:r>
        <w:t>1</w:t>
      </w:r>
      <w:r w:rsidRPr="00767CF5">
        <w:t>pregunta</w:t>
      </w:r>
      <w:r>
        <w:t>:</w:t>
      </w:r>
    </w:p>
    <w:p w:rsidR="00F83F12" w:rsidRDefault="001C6219">
      <w:r>
        <w:lastRenderedPageBreak/>
        <w:t>De conformidad con el artículo 92 ter, apartado 2, párrafo tercero, del Reglamento (UE) n.º 1303/2013, en su versión modificada, las disposiciones escalonadas del artículo 118 del RDC 2021-2027 [Reglamento (UE) 2021/1060] son aplicables a las operaciones apoyadas por recursos REACT-UE. Por lo tanto, si se cumplen todas las condiciones establecidas en el citado artículo 118 del Reglamento (UE) 2021/1060, las operaciones apoyadas por recursos REACT-UE pueden introducirse gradualmente en el período de programación 2021-2027.</w:t>
      </w:r>
    </w:p>
    <w:p w:rsidR="00F83F12" w:rsidRDefault="001C6219">
      <w:r>
        <w:t>Téngase en cuenta la sección 6 de las Directrices sobre el cierre de los programas operativos adoptados para la intervención del FEDER, el FSE, el Fondo de Cohesión y el FEMP (2014-2020)</w:t>
      </w:r>
      <w:hyperlink w:anchor="scroll-bookmark-185" w:history="1">
        <w:r>
          <w:rPr>
            <w:rStyle w:val="Hipervnculo"/>
          </w:rPr>
          <w:t>[1]</w:t>
        </w:r>
      </w:hyperlink>
      <w:r>
        <w:t>, en la que se detallan los requisitos y responsabilidades de los Estados miembros a este respecto, así como las posibles implicaciones.</w:t>
      </w:r>
    </w:p>
    <w:p w:rsidR="00F83F12" w:rsidRDefault="00F83F12"/>
    <w:p w:rsidR="00F83F12" w:rsidRDefault="001C6219">
      <w:r>
        <w:t>2</w:t>
      </w:r>
      <w:r w:rsidRPr="00767CF5">
        <w:t>pregunta</w:t>
      </w:r>
      <w:r>
        <w:t xml:space="preserve"> ND:</w:t>
      </w:r>
    </w:p>
    <w:p w:rsidR="00F83F12" w:rsidRDefault="001C6219">
      <w:r>
        <w:t xml:space="preserve">El porcentaje de cofinanciación </w:t>
      </w:r>
      <w:r>
        <w:rPr>
          <w:u w:val="single"/>
        </w:rPr>
        <w:t xml:space="preserve">en el eje prioritario </w:t>
      </w:r>
      <w:r>
        <w:t xml:space="preserve">del programa se fija en la decisión de la Comisión por la que se adopta un programa, mientras que el porcentaje de la ayuda de </w:t>
      </w:r>
      <w:r>
        <w:rPr>
          <w:u w:val="single"/>
        </w:rPr>
        <w:t>la Unión a nivel de operación</w:t>
      </w:r>
      <w:r>
        <w:t xml:space="preserve"> es establecido por las autoridades de los Estados miembros en el documento en el que se establecen las condiciones para la ayuda y puede ser superior o inferior al porcentaje de cofinanciación en el eje prioritario del programa. En conclusión, corresponde al Estado miembro establecer el porcentaje de la ayuda de la Unión a nivel de operación con arreglo a su subvencionabilidad nacional y a las normas del programa.</w:t>
      </w:r>
    </w:p>
    <w:p w:rsidR="00F83F12" w:rsidRDefault="00FC0FB1">
      <w:hyperlink w:anchor="scroll-bookmark-186" w:history="1">
        <w:r w:rsidR="001C6219">
          <w:rPr>
            <w:rStyle w:val="Hipervnculo"/>
          </w:rPr>
          <w:t>[1]</w:t>
        </w:r>
      </w:hyperlink>
      <w:r w:rsidR="001C6219">
        <w:t xml:space="preserve"> DO C 417 de 14.10.2021, p. 1.</w:t>
      </w:r>
    </w:p>
    <w:p w:rsidR="00F83F12" w:rsidRDefault="00F83F12"/>
    <w:p w:rsidR="00F83F12" w:rsidRDefault="00F83F12"/>
    <w:p w:rsidR="00F83F12" w:rsidRDefault="001C6219">
      <w:pPr>
        <w:pStyle w:val="Ttulo1"/>
      </w:pPr>
      <w:bookmarkStart w:id="185" w:name="scroll-bookmark-187"/>
      <w:bookmarkStart w:id="186" w:name="scroll-bookmark-188"/>
      <w:bookmarkEnd w:id="185"/>
      <w:r>
        <w:t>QA00106 — Solicitud de aclaración sobre la aplicación de instrumentos financieros</w:t>
      </w:r>
      <w:bookmarkEnd w:id="186"/>
    </w:p>
    <w:p w:rsidR="00F83F12" w:rsidRDefault="001C6219">
      <w:r>
        <w:rPr>
          <w:noProof/>
          <w:lang w:val="es-ES"/>
        </w:rPr>
        <w:drawing>
          <wp:inline distT="0" distB="0" distL="0" distR="0" wp14:anchorId="5A824F75" wp14:editId="542F2F0B">
            <wp:extent cx="152435" cy="152435"/>
            <wp:effectExtent l="0" t="0" r="0" b="0"/>
            <wp:docPr id="100375" name="Imagen 1003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58-60 del RDC</w:t>
      </w:r>
    </w:p>
    <w:p w:rsidR="00F83F12" w:rsidRDefault="001C6219">
      <w:r>
        <w:rPr>
          <w:noProof/>
          <w:lang w:val="es-ES"/>
        </w:rPr>
        <w:drawing>
          <wp:inline distT="0" distB="0" distL="0" distR="0" wp14:anchorId="312C9648" wp14:editId="168E2778">
            <wp:extent cx="152435" cy="152435"/>
            <wp:effectExtent l="0" t="0" r="0" b="0"/>
            <wp:docPr id="100377" name="Imagen 1003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F83F12" w:rsidRDefault="00F83F12"/>
    <w:p w:rsidR="00F83F12" w:rsidRDefault="001C6219">
      <w:pPr>
        <w:pStyle w:val="P68B1DB1-Normal4"/>
      </w:pPr>
      <w:r>
        <w:t>Pregunta 1 (incluidos los hechos e información pertinentes):</w:t>
      </w:r>
    </w:p>
    <w:p w:rsidR="00F83F12" w:rsidRDefault="001C6219">
      <w:r>
        <w:t>El Tribunal realizó una evaluación ex ante que recomienda que los tipos de instrumentos financieros más adecuados en los sectores analizados incluyan productos de deuda en forma de préstamos de riesgo compartido de inversión, garantías, micropréstamos y pequeños préstamos y combinación de ayudas.</w:t>
      </w:r>
    </w:p>
    <w:p w:rsidR="00F83F12" w:rsidRDefault="001C6219">
      <w:r>
        <w:t>Nuestras preguntas se refieren al préstamo de inversión con riesgo compartido:</w:t>
      </w:r>
    </w:p>
    <w:p w:rsidR="00F83F12" w:rsidRDefault="001C6219">
      <w:r>
        <w:t>En concreto, la evaluación ex ante sugiere que la aplicación de este instrumento financiero concreto debe llevarla a cabo un banco de desarrollo de propiedad estatal, el banco croata para la reconstrucción y el desarrollo (CBRD).</w:t>
      </w:r>
    </w:p>
    <w:p w:rsidR="00F83F12" w:rsidRDefault="001C6219">
      <w:r>
        <w:lastRenderedPageBreak/>
        <w:t>Está previsto que, mediante un procedimiento transparente y competitivo, el CBRD seleccione a los bancos comerciales que serán intermediarios financieros. El préstamo individual se financiaría con la contribución del programa FEMPA al instrumento financiero y con los fondos del banco comercial en la proporción de 50: 50).</w:t>
      </w:r>
    </w:p>
    <w:p w:rsidR="00F83F12" w:rsidRDefault="001C6219">
      <w:r>
        <w:rPr>
          <w:u w:val="single"/>
        </w:rPr>
        <w:t>PREGUNTAS</w:t>
      </w:r>
      <w:r>
        <w:t>:</w:t>
      </w:r>
    </w:p>
    <w:p w:rsidR="00F83F12" w:rsidRDefault="001C6219">
      <w:r>
        <w:t>En caso de que los bancos comerciales no estén interesados en la aplicación de este instrumento financiero (es decir, debido a una carga administrativa excesiva, suficiente liquidez propia), ¿puede el CBRD como banco de desarrollo estatal contribuir con sus propios fondos a este instrumento financiero concreto.</w:t>
      </w:r>
    </w:p>
    <w:p w:rsidR="00F83F12" w:rsidRDefault="001C6219">
      <w:r>
        <w:t xml:space="preserve">De este modo, el efecto de palanca seguiría siendo superior a 1, y el CBRD concedería los préstamos directamente a los beneficiarios finales sin intermediarios financieros. </w:t>
      </w:r>
      <w:r>
        <w:rPr>
          <w:i/>
        </w:rPr>
        <w:t>Tome nota de que el CBRD ejecuta sus programas de préstamos directamente y a través de bancos comerciales.</w:t>
      </w:r>
    </w:p>
    <w:p w:rsidR="00F83F12" w:rsidRDefault="001C6219">
      <w:r>
        <w:t>Si no se permite la contribución de financiación de un banco de propiedad estatal, otra opción es que cada préstamo individual se financie al 100 % con cargo al FEMPA (el efecto de apalancamiento es 1). En este caso, el CBRD seguiría gestionando la aplicación de este instrumento financiero y, por lo tanto, prestaría los fondos directamente a los beneficiarios finales.</w:t>
      </w:r>
    </w:p>
    <w:p w:rsidR="00F83F12" w:rsidRDefault="00F83F12"/>
    <w:p w:rsidR="00F83F12" w:rsidRDefault="001C6219">
      <w:pPr>
        <w:pStyle w:val="P68B1DB1-Normal4"/>
      </w:pPr>
      <w:r>
        <w:t>Respuesta.</w:t>
      </w:r>
    </w:p>
    <w:p w:rsidR="00F83F12" w:rsidRDefault="001C6219">
      <w:r>
        <w:t>La autoridad de gestión (AG) podrá adjudicar directamente un contrato para la ejecución de un instrumento financiero a un banco o institución de propiedad pública que cumpla las condiciones del artículo 59, apartado 3, del RDC. Si no se cumplen las condiciones enumeradas en el presente artículo o en el artículo 12 de la Directiva 2014/24/UE, la AG debe lanzar una licitación para seleccionar al organismo que ejecuta un instrumento financiero.</w:t>
      </w:r>
    </w:p>
    <w:p w:rsidR="00F83F12" w:rsidRDefault="001C6219">
      <w:r>
        <w:t>El préstamo de riesgo compartido significa que reúne fondos del RDC, en este caso el FEMPA, y fondos del intermediario financiero. Para respetar el principio de reparto de riesgos, el organismo que ejecute el instrumento financiero debe aportar sus recursos propios (normalmente un mínimo del 25 %). Así pues, es posible que el organismo que ejecute el instrumento financiero contribuya con fondos propios al instrumento financiero, si puede actuar como intermediario financiero con arreglo a la legislación nacional. En este caso, deben respetarse las normas sobre ayudas estatales.</w:t>
      </w:r>
    </w:p>
    <w:p w:rsidR="00F83F12" w:rsidRDefault="001C6219">
      <w:r>
        <w:t>Alternativamente, el CBRD podría desembolsar directamente los préstamos a los beneficiarios finales como organismo que ejecuta un fondo específico de préstamos de riesgo compartido de inversión (véase el artículo 2, apartado 21, del RDC).</w:t>
      </w:r>
    </w:p>
    <w:p w:rsidR="00F83F12" w:rsidRDefault="001C6219">
      <w:r>
        <w:t xml:space="preserve">La opción de que cada préstamo individual se financie al 100 % con cargo al FEMPA no se ajusta al resultado presentado de la evaluación ex ante ni a los objetivos de un préstamo de riesgo compartido para la inversión. En este caso, no existe un reparto de los riesgos, </w:t>
      </w:r>
      <w:r w:rsidR="002F3719">
        <w:t xml:space="preserve">ya que, </w:t>
      </w:r>
      <w:r>
        <w:t>todos ellos son asumidos por el FEMPA.</w:t>
      </w:r>
    </w:p>
    <w:p w:rsidR="00F83F12" w:rsidRDefault="00F83F12"/>
    <w:p w:rsidR="00F83F12" w:rsidRDefault="00F83F12"/>
    <w:p w:rsidR="00F83F12" w:rsidRDefault="001C6219">
      <w:pPr>
        <w:pStyle w:val="Ttulo1"/>
      </w:pPr>
      <w:bookmarkStart w:id="187" w:name="scroll-bookmark-189"/>
      <w:bookmarkStart w:id="188" w:name="scroll-bookmark-190"/>
      <w:bookmarkEnd w:id="187"/>
      <w:r>
        <w:lastRenderedPageBreak/>
        <w:t>QA00107 — Utilización del importe reembolsado con cargo a la asistencia técnica en virtud del artículo 36, apartado 5, (tipo fijo), del RDC para el que no hay gastos de asistencia técnica subyacentes</w:t>
      </w:r>
      <w:bookmarkEnd w:id="188"/>
    </w:p>
    <w:p w:rsidR="00F83F12" w:rsidRDefault="001C6219">
      <w:r>
        <w:rPr>
          <w:noProof/>
          <w:lang w:val="es-ES"/>
        </w:rPr>
        <w:drawing>
          <wp:inline distT="0" distB="0" distL="0" distR="0" wp14:anchorId="668CDBDE" wp14:editId="44DBB31B">
            <wp:extent cx="152435" cy="152435"/>
            <wp:effectExtent l="0" t="0" r="0" b="0"/>
            <wp:docPr id="100379" name="Imagen 1003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36 del RDC</w:t>
      </w:r>
    </w:p>
    <w:p w:rsidR="00F83F12" w:rsidRDefault="001C6219">
      <w:r>
        <w:rPr>
          <w:noProof/>
          <w:lang w:val="es-ES"/>
        </w:rPr>
        <w:drawing>
          <wp:inline distT="0" distB="0" distL="0" distR="0" wp14:anchorId="3B72FC62" wp14:editId="454912D1">
            <wp:extent cx="152435" cy="152435"/>
            <wp:effectExtent l="0" t="0" r="0" b="0"/>
            <wp:docPr id="100381" name="Imagen 1003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F83F12" w:rsidRDefault="00F83F12"/>
    <w:p w:rsidR="00F83F12" w:rsidRDefault="001C6219">
      <w:pPr>
        <w:pStyle w:val="P68B1DB1-Normal4"/>
      </w:pPr>
      <w:r>
        <w:br/>
        <w:t>Pregunta 1 (incluidos los hechos e información pertinentes):</w:t>
      </w:r>
    </w:p>
    <w:p w:rsidR="00F83F12" w:rsidRDefault="001C6219">
      <w:r>
        <w:t>En caso de que el programa FEMPA prevea el uso de asistencia técnica aplicando el tipo fijo del 6 % de conformidad con el artículo 36, apartado 5, el reembolso de una solicitud de pago se efectuará calculando el 6 % del gasto subvencionable certificado.</w:t>
      </w:r>
    </w:p>
    <w:p w:rsidR="00F83F12" w:rsidRDefault="001C6219">
      <w:r>
        <w:t>Si no hay gastos reales de asistencia técnica incluidos en la solicitud de pago, o si dichos gastos son inferiores al 6 %, ¿cuáles son las normas para utilizar el importe reembolsado por la Comisión que no corresponde a ningún gasto real en concepto de asistencia técnica? Por ejemplo, ¿puede utilizarse dicho importe para financiar otras operaciones en el marco del programa FEMPA o dentro del mismo objetivo específico distinto de la asistencia técnica?</w:t>
      </w:r>
    </w:p>
    <w:p w:rsidR="00F83F12" w:rsidRDefault="00F83F12"/>
    <w:p w:rsidR="00F83F12" w:rsidRDefault="001C6219">
      <w:pPr>
        <w:pStyle w:val="P68B1DB1-Normal4"/>
      </w:pPr>
      <w:r>
        <w:t>Respuesta.</w:t>
      </w:r>
    </w:p>
    <w:p w:rsidR="00F83F12" w:rsidRDefault="001C6219">
      <w:r>
        <w:t>Cuando un Estado miembro decida utilizar la financiación a tipo fijo para la asistencia técnica, el porcentaje a tanto alzado pertinente para el Fondo de que se trate previsto en el artículo 36, apartado 5, letra b), del RDC (es decir, el 6 % para la ayuda del FEMPA) se aplicará automáticamente al gasto no relacionado con la asistencia técnica o a la contribución pública, según proceda, incluida en cada solicitud de pago presentada a la Comisión.  </w:t>
      </w:r>
    </w:p>
    <w:p w:rsidR="00F83F12" w:rsidRDefault="001C6219">
      <w:r>
        <w:t>Es responsabilidad del Estado miembro decidir cómo utilizar los importes reembolsados para la asistencia técnica.  </w:t>
      </w:r>
    </w:p>
    <w:p w:rsidR="00F83F12" w:rsidRDefault="00F83F12"/>
    <w:p w:rsidR="00F83F12" w:rsidRDefault="00F83F12"/>
    <w:p w:rsidR="00F83F12" w:rsidRDefault="001C6219">
      <w:pPr>
        <w:pStyle w:val="Ttulo1"/>
      </w:pPr>
      <w:bookmarkStart w:id="189" w:name="scroll-bookmark-191"/>
      <w:bookmarkStart w:id="190" w:name="scroll-bookmark-192"/>
      <w:bookmarkEnd w:id="189"/>
      <w:r>
        <w:t>QA00108 — Cálculo del equivalente de subvención bruta para IF con descuento de capital</w:t>
      </w:r>
      <w:bookmarkEnd w:id="190"/>
    </w:p>
    <w:p w:rsidR="00F83F12" w:rsidRDefault="001C6219">
      <w:r>
        <w:rPr>
          <w:noProof/>
          <w:lang w:val="es-ES"/>
        </w:rPr>
        <w:drawing>
          <wp:inline distT="0" distB="0" distL="0" distR="0" wp14:anchorId="1F63C640" wp14:editId="51B9556C">
            <wp:extent cx="152435" cy="152435"/>
            <wp:effectExtent l="0" t="0" r="0" b="0"/>
            <wp:docPr id="100383" name="Imagen 1003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58 del RDC</w:t>
      </w:r>
    </w:p>
    <w:p w:rsidR="00F83F12" w:rsidRDefault="001C6219">
      <w:r>
        <w:rPr>
          <w:noProof/>
          <w:lang w:val="es-ES"/>
        </w:rPr>
        <w:drawing>
          <wp:inline distT="0" distB="0" distL="0" distR="0" wp14:anchorId="4E0EF7B6" wp14:editId="2F41D50A">
            <wp:extent cx="152435" cy="152435"/>
            <wp:effectExtent l="0" t="0" r="0" b="0"/>
            <wp:docPr id="100385" name="Imagen 1003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F83F12" w:rsidRDefault="00F83F12"/>
    <w:p w:rsidR="00F83F12" w:rsidRDefault="001C6219">
      <w:pPr>
        <w:pStyle w:val="P68B1DB1-Normal4"/>
      </w:pPr>
      <w:r>
        <w:lastRenderedPageBreak/>
        <w:br/>
        <w:t>Pregunta (resumida):</w:t>
      </w:r>
    </w:p>
    <w:p w:rsidR="00F83F12" w:rsidRDefault="001C6219">
      <w:r>
        <w:t>¿Cómo y cuándo calcular el elemento de ayuda cuando el elemento de subvención combinado dentro de una única operación de un instrumento financiero está condicionado al rendimiento alcanzado por el beneficiario final?</w:t>
      </w:r>
    </w:p>
    <w:p w:rsidR="00F83F12" w:rsidRDefault="001C6219">
      <w:r>
        <w:br/>
        <w:t>El Estado miembro desea saber si el elemento de subvención condicionado a la consecución de los objetivos definidos para el proyecto</w:t>
      </w:r>
      <w:hyperlink w:anchor="scroll-bookmark-193" w:history="1">
        <w:r>
          <w:rPr>
            <w:rStyle w:val="Hipervnculo"/>
          </w:rPr>
          <w:t>[1]</w:t>
        </w:r>
      </w:hyperlink>
      <w:r>
        <w:t xml:space="preserve"> debe calcularse y tenerse en cuenta en el equivalente bruto de subvención del apoyo al instrumento financiero (1) en el momento de la firma del contrato de préstamo inicial (incluida la cláusula del elemento de subvención potencial), o (2) basta con calcular y tener en cuenta la subvención cuando se cumplen las condiciones correspondientes y se verifica el derecho real al elemento de subvención (por ejemplo, en el año 3).</w:t>
      </w:r>
    </w:p>
    <w:p w:rsidR="00F83F12" w:rsidRDefault="001C6219">
      <w:r>
        <w:br/>
        <w:t xml:space="preserve">El Estado miembro afirma </w:t>
      </w:r>
      <w:r w:rsidR="00503869">
        <w:t>que,</w:t>
      </w:r>
      <w:r>
        <w:t xml:space="preserve"> si el elemento de subvención condicional se tuviera en cuenta desde el principio en el cálculo del equivalente de subvención bruta, esto sería desfavorable para el beneficiario final, </w:t>
      </w:r>
      <w:r w:rsidR="00214B1C">
        <w:t xml:space="preserve">por ejemplo, </w:t>
      </w:r>
      <w:r>
        <w:t>en el caso de las ayudas sujetas a límites máximos en valor absoluto (de minimis o similares). El beneficiario final percibiría este límite máximo ya en el año 0, aunque no se beneficiara realmente del descuento de capital o de la subvención recuperable, que finalmente se beneficiará en el cuarto año.</w:t>
      </w:r>
    </w:p>
    <w:p w:rsidR="00F83F12" w:rsidRDefault="00F83F12"/>
    <w:p w:rsidR="00F83F12" w:rsidRDefault="001C6219">
      <w:r>
        <w:rPr>
          <w:b/>
        </w:rPr>
        <w:t>Respuesta.</w:t>
      </w:r>
      <w:r>
        <w:br/>
        <w:t>La cuestión se refiere al cálculo ex ante de la parte de la subvención condicional de una ayuda concedida en forma de descuento de capital o subvención recuperable. Entendemos que el «descuento de capital» o «subvención recuperable» debe analizarse en el contexto de la ayuda estatal como «anticipo reembolsable», es decir, «anticipo reembolsable»: un préstamo para un proyecto que se paga en uno o varios plazos y cuyas condiciones de reembolso dependen del resultado del proyecto (véase el artículo 2, apartado 21,</w:t>
      </w:r>
      <w:hyperlink r:id="rId469" w:anchor="_ftn2" w:history="1">
        <w:r>
          <w:rPr>
            <w:rStyle w:val="Hipervnculo"/>
          </w:rPr>
          <w:t>del RGEC [</w:t>
        </w:r>
      </w:hyperlink>
      <w:r>
        <w:t>2]).</w:t>
      </w:r>
    </w:p>
    <w:p w:rsidR="00F83F12" w:rsidRDefault="00F83F12"/>
    <w:p w:rsidR="00F83F12" w:rsidRDefault="001C6219">
      <w:r>
        <w:t>Entendemos que el equivalente bruto de subvención de la parte del préstamo no es un problema, pero las preguntas son:</w:t>
      </w:r>
    </w:p>
    <w:p w:rsidR="00F83F12" w:rsidRDefault="001C6219">
      <w:r>
        <w:br/>
        <w:t>(1) ¿cuándo debe tenerse en cuenta la parte de la subvención condicional del anticipo reembolsable en el cálculo del ESB, desde el inicio de la concesión del préstamo subvencionado o cuando se cumple la condición desencadenante, es decir, al final del año 3?</w:t>
      </w:r>
      <w:r>
        <w:br/>
        <w:t>(2) ¿cómo calcular el contenido de ayuda del elemento de subvención?</w:t>
      </w:r>
      <w:r>
        <w:br/>
        <w:t>(3) ¿cómo proceder el ajuste del importe de la ayuda en el año 3, si finalmente se cumplen o no se cumplen las condiciones?</w:t>
      </w:r>
    </w:p>
    <w:p w:rsidR="00F83F12" w:rsidRDefault="001C6219">
      <w:r>
        <w:br/>
        <w:t xml:space="preserve">Sobre la primera cuestión prejudicial, de conformidad con el artículo 2, apartado 28, del RGEC: la «fecha de concesión de la ayuda es la fecha en que se confiere al beneficiario </w:t>
      </w:r>
      <w:r>
        <w:lastRenderedPageBreak/>
        <w:t xml:space="preserve">el derecho legal a recibir la ayuda en virtud del régimen jurídico nacional aplicable». La ayuda se considera concedida cuando la decisión de concesión se adopta al principio, </w:t>
      </w:r>
      <w:r w:rsidR="002F3719">
        <w:t xml:space="preserve">ya que, </w:t>
      </w:r>
      <w:r>
        <w:t>es el momento en que el Estado miembro otorga al beneficiario un derecho legalmente exigible a la ayuda. Aunque existan determinadas condiciones que deben cumplirse, el Estado miembro no tiene influencia alguna sobre si la condición se materializa o no en el futuro, y el Estado miembro no tendrá ningún margen de apreciación para modificar o no conceder la ayuda en ese momento, si efectivamente se cumplen las condiciones. Por lo tanto, la subvención condicional debe tenerse en cuenta en el cálculo del ESB desde el momento en que se concede el préstamo subvencionado, es decir, el método (1) descrito en la pregunta original es correcto.</w:t>
      </w:r>
    </w:p>
    <w:p w:rsidR="00F83F12" w:rsidRDefault="001C6219">
      <w:r>
        <w:t>En cuanto a la segunda pregunta, sobre cómo calcular el contenido de ayuda del elemento de subvención, el artículo 7, apartado 3, del RGEC establece que «las ayudas pagaderas en el futuro, incluidas las ayudas pagaderas en varios plazos, se actualizarán a su valor en el momento de su concesión. Los costes subvencionables se actualizarán a su valor en el momento en que se conceda la ayuda. El tipo de interés que se utilizará a efectos de actualización será el tipo de descuento aplicable en el momento de la concesión de la ayuda.» Por lo tanto, la subvención condicional debe tenerse en cuenta a su valor nominal (o a su valor actualizado, si es pagadero en el futuro) en el momento de la concesión inicial del préstamo para calcular el equivalente de subvención bruta del anticipo reembolsable. </w:t>
      </w:r>
    </w:p>
    <w:p w:rsidR="00F83F12" w:rsidRDefault="001C6219">
      <w:r>
        <w:t>Sobre la tercera cuestión, a efectos de la ayuda estatal, el límite máximo de minimis o el respeto de los porcentajes de ayuda aplicables en virtud del Reglamento (UE) 2021/2115, dado que el beneficiario final recibió al principio un derecho legalmente exigible a la ayuda, el importe calculado de la ayuda no puede modificarse en función de si el beneficiario final cumple o no las condiciones. En otras palabras, el porcentaje de ayuda del proyecto se mantiene sin cambios con independencia de la obligación de reembolso en caso de incumplimiento de las condiciones establecidas. </w:t>
      </w:r>
    </w:p>
    <w:p w:rsidR="00F83F12" w:rsidRDefault="001C6219">
      <w:r>
        <w:t>Sus preguntas se refieren tanto al apoyo en virtud del Reglamento sobre los planes estratégicos de la PAC como a las normas sobre ayudas estatales. Los principios explicados anteriormente para calcular el importe de la ayuda pública se basan en el RGEC, pero pueden aplicarse a todas las ayudas proporcionadas en el marco de los planes estratégicos de la PAC.</w:t>
      </w:r>
    </w:p>
    <w:p w:rsidR="00F83F12" w:rsidRDefault="00F83F12"/>
    <w:p w:rsidR="00F83F12" w:rsidRDefault="001C6219">
      <w:r>
        <w:t>TIERNA _</w:t>
      </w:r>
    </w:p>
    <w:p w:rsidR="00F83F12" w:rsidRDefault="00FC0FB1">
      <w:hyperlink w:anchor="scroll-bookmark-194" w:history="1">
        <w:r w:rsidR="001C6219">
          <w:rPr>
            <w:rStyle w:val="Hipervnculo"/>
          </w:rPr>
          <w:t>[1]</w:t>
        </w:r>
      </w:hyperlink>
      <w:r w:rsidR="001C6219">
        <w:t xml:space="preserve"> La pregunta incluía ejemplos numéricos con dos tipos de elemento combinado de subvención dentro de los instrumentos financieros: A) instrumento financiero con una opción de descuento de capital que permita cancelar parte del préstamo, B) instrumento financiero con un elemento de subvención recuperable que permita recuperar el elemento de subvención inicialmente proporcionado, tanto después de cumplir los acontecimientos desencadenantes predefinidos para el año 3 como en caso de incumplimiento, por ejemplo, alcanzar un determinado objetivo de empleo.</w:t>
      </w:r>
    </w:p>
    <w:p w:rsidR="00F83F12" w:rsidRDefault="001C6219">
      <w:r>
        <w:br/>
      </w:r>
      <w:hyperlink r:id="rId470" w:anchor="_ftnref2" w:history="1">
        <w:r>
          <w:rPr>
            <w:rStyle w:val="Hipervnculo"/>
          </w:rPr>
          <w:t>[2] Reglamento (UE) n.º 651/2014 de la Comisión</w:t>
        </w:r>
      </w:hyperlink>
      <w:r>
        <w:t xml:space="preserve">, de 17 de junio de 2014, por el que se declaran determinadas categorías de ayudas compatibles con el mercado interior en </w:t>
      </w:r>
      <w:r>
        <w:lastRenderedPageBreak/>
        <w:t>aplicación de los artículos 107 y 108 del Tratado (Texto pertinente a efectos del EEE) (DO L 187 de 26.6.2014, p. 1-78).</w:t>
      </w:r>
    </w:p>
    <w:p w:rsidR="00F83F12" w:rsidRDefault="00F83F12"/>
    <w:p w:rsidR="00F83F12" w:rsidRDefault="00F83F12"/>
    <w:p w:rsidR="00F83F12" w:rsidRDefault="001C6219">
      <w:pPr>
        <w:pStyle w:val="Ttulo1"/>
      </w:pPr>
      <w:bookmarkStart w:id="191" w:name="scroll-bookmark-195"/>
      <w:bookmarkStart w:id="192" w:name="scroll-bookmark-196"/>
      <w:bookmarkEnd w:id="191"/>
      <w:r>
        <w:t>QA00109 — Transferencia de financiación adicional para las regiones ultraperiféricas</w:t>
      </w:r>
      <w:bookmarkEnd w:id="192"/>
    </w:p>
    <w:p w:rsidR="00F83F12" w:rsidRDefault="001C6219">
      <w:r>
        <w:rPr>
          <w:noProof/>
          <w:lang w:val="es-ES"/>
        </w:rPr>
        <w:drawing>
          <wp:inline distT="0" distB="0" distL="0" distR="0" wp14:anchorId="0B96A4E5" wp14:editId="2D40AAE0">
            <wp:extent cx="152435" cy="152435"/>
            <wp:effectExtent l="0" t="0" r="0" b="0"/>
            <wp:docPr id="100387" name="Imagen 1003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26 y 110 del RDC y anexo V de la Decisión de Ejecución (UE) 2021/1131 de la Comisión </w:t>
      </w:r>
    </w:p>
    <w:p w:rsidR="00F83F12" w:rsidRDefault="001C6219">
      <w:r>
        <w:rPr>
          <w:noProof/>
          <w:lang w:val="es-ES"/>
        </w:rPr>
        <w:drawing>
          <wp:inline distT="0" distB="0" distL="0" distR="0" wp14:anchorId="24E82A5E" wp14:editId="79AE2D90">
            <wp:extent cx="152435" cy="152435"/>
            <wp:effectExtent l="0" t="0" r="0" b="0"/>
            <wp:docPr id="100389" name="Imagen 1003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F83F12" w:rsidRDefault="00F83F12"/>
    <w:p w:rsidR="00F83F12" w:rsidRDefault="001C6219">
      <w:pPr>
        <w:pStyle w:val="P68B1DB1-Normal4"/>
      </w:pPr>
      <w:r>
        <w:br/>
        <w:t>Pregunta 1 (incluidos los hechos e información pertinentes):</w:t>
      </w:r>
    </w:p>
    <w:p w:rsidR="00F83F12" w:rsidRDefault="001C6219">
      <w:r>
        <w:t>La Decisión de Ejecución (UE) 2021/1131 de la Comisión, en su anexo V, establece el desglose anual por Estado miembro de los recursos totales asignados a la financiación adicional para las regiones ultraperiféricas. El Estado miembro no tenía conocimiento de la división por fondos (a saber, el FEDER y el FSE +) de esta financiación adicional.</w:t>
      </w:r>
    </w:p>
    <w:p w:rsidR="00F83F12" w:rsidRDefault="001C6219">
      <w:pPr>
        <w:numPr>
          <w:ilvl w:val="0"/>
          <w:numId w:val="80"/>
        </w:numPr>
      </w:pPr>
      <w:r>
        <w:t>¿Pueden los Estados miembros proponer en el acuerdo de asociación (AP) una transferencia al FEDER de la parte total del FSE + de la financiación adicional para las regiones ultraperiféricas?</w:t>
      </w:r>
    </w:p>
    <w:p w:rsidR="00F83F12" w:rsidRDefault="001C6219">
      <w:pPr>
        <w:numPr>
          <w:ilvl w:val="0"/>
          <w:numId w:val="80"/>
        </w:numPr>
      </w:pPr>
      <w:r>
        <w:t>¿Puede justificarse esta transferencia únicamente por razones de simplificación? (es decir, concentrar todo el apoyo del FSE + sin dividir una parte en otro eje prioritario financiado por el FSE + OR)</w:t>
      </w:r>
    </w:p>
    <w:p w:rsidR="00F83F12" w:rsidRDefault="001C6219">
      <w:pPr>
        <w:numPr>
          <w:ilvl w:val="0"/>
          <w:numId w:val="80"/>
        </w:numPr>
      </w:pPr>
      <w:r>
        <w:t>El cuadro 5B de la plantilla del OP no incluye ninguna fila para las transferencias del FEDER/FSE +, de modo que las secciones del OP deben reflejar este tipo de transferencias?</w:t>
      </w:r>
    </w:p>
    <w:p w:rsidR="00F83F12" w:rsidRDefault="00F83F12"/>
    <w:p w:rsidR="00F83F12" w:rsidRDefault="001C6219">
      <w:pPr>
        <w:pStyle w:val="P68B1DB1-Normal4"/>
      </w:pPr>
      <w:r>
        <w:t>Respuesta.</w:t>
      </w:r>
    </w:p>
    <w:p w:rsidR="00F83F12" w:rsidRDefault="001C6219">
      <w:r>
        <w:t xml:space="preserve">(1) Para el período de programación 2021-27, el RDC establece en el artículo 110, apartado 1 sexies, la financiación adicional para las regiones ultraperiféricas y las zonas escasamente pobladas como parte de los recursos destinados al objetivo de inversión en crecimiento y empleo. Para perseguir los objetivos de una Europa más social e inclusiva, el artículo 110, apartado 2, del RDC establece el importe que debe asignarse al FSE + de esta financiación adicional. La Decisión de Ejecución (UE) 2021/1131 de la Comisión, de 5 de julio de 2021, establece el desglose de los recursos totales por Estado miembro, en particular los desgloses por fondo (anexos VI y VII), por categoría de región (anexos II-IV) y de la asignación específica (anexo V). La división inicial de la asignación específica para las regiones ultraperiféricas entre el FEDER y el FSE + se incluye en los anexos VI y VII, respetando el importe que debe asignarse al FSE + en el artículo 110, </w:t>
      </w:r>
      <w:r>
        <w:lastRenderedPageBreak/>
        <w:t>apartado 2, párrafo segundo. RDC (véase la referencia en el considerando 4 al desglose anual por Estado miembro de los recursos específicos para el Fondo Europeo de Desarrollo Regional (FEDER) y el Fondo Social Europeo Plus (FSE +), teniendo en cuenta que los importes del FEDER y del FSE + asignados a cada Estado miembro deben ser iguales a los importes de los recursos específicos asignados con arreglo a las diferentes categorías de regiones y recursos específicos en favor de las regiones ultraperiféricas de Francia, España y Portugal, y de las regiones de Finlandia y Suecia que cumplan los criterios establecidos en el artículo 2 del Protocolo n.º 6 del Acta de Adhesión de 1994 asignado al mismo Estado miembro.</w:t>
      </w:r>
    </w:p>
    <w:p w:rsidR="00F83F12" w:rsidRDefault="001C6219">
      <w:r>
        <w:t>El artículo 26 del RDC permite transferencias de la «asignación nacional inicial para cada Fondo», con sujeción a determinados límites máximos. De acuerdo con lo anterior, la asignación nacional inicial por Fondo se establece para cada Estado miembro en los anexos VI y VII de la Decisión de Ejecución e incluye la asignación respectiva de la asignación específica para las regiones ultraperiféricas al FEDER y al FSE +. Aunque no existe ninguna referencia explícita a la posibilidad de transferir recursos de la asignación específica del artículo 26 del RDC, esta disposición puede interpretarse en el sentido de que permite una transferencia de recursos entre el FEDER y el FSE + dentro de la asignación específica, respetando al mismo tiempo los límites máximos para las transferencias a nivel de fondo establecidos en el artículo 26, apartado 1, apartados 3 y 4, del RDC, establecida por referencia a la asignación nacional inicial establecida en los anexos VI y VII de la Decisión de Ejecución.</w:t>
      </w:r>
    </w:p>
    <w:p w:rsidR="00F83F12" w:rsidRDefault="00F83F12"/>
    <w:p w:rsidR="00F83F12" w:rsidRDefault="001C6219">
      <w:r>
        <w:t>(2) La financiación adicional para las regiones ultraperiféricas tiene por objeto compensar la situación estructural social y económica de las regiones ultraperiféricas, así como las desventajas derivadas de los factores mencionados en el artículo 349 del TFUE. En el caso del FEDER, el artículo 14 del Reglamento FEDER/FC establece disposiciones específicas para el uso de la asignación específica. La propuesta de transferencia entre los fondos dentro de la asignación específica se evaluará en este contexto, en particular si dicha transferencia socava la consecución de los objetivos de los fondos en las regiones ultraperiféricas. La simplificación por sí sola no puede considerarse un argumento suficiente.</w:t>
      </w:r>
    </w:p>
    <w:p w:rsidR="00F83F12" w:rsidRDefault="00F83F12"/>
    <w:p w:rsidR="00F83F12" w:rsidRDefault="001C6219">
      <w:r>
        <w:t xml:space="preserve">(3) La justificación de la asignación adicional específica para las regiones ultraperiféricas se establece en el artículo 14 del Reglamento FEDER/FC. Las disposiciones sobre transferencias no garantizan que la asignación específica se utilice en beneficio de las regiones ultraperiféricas o las zonas escasamente pobladas y en consonancia con los objetivos del artículo 349 del TFUE.  Debido a ello, la asignación específica para las regiones ultraperiféricas no se refleja en los cuadros de transferencia del Acuerdo de Asociación, </w:t>
      </w:r>
      <w:r w:rsidR="002F3719">
        <w:t xml:space="preserve">ya que, </w:t>
      </w:r>
      <w:r>
        <w:t xml:space="preserve">estos recursos no deben transferirse (a otras regiones, instrumentos o fondos de la UE). El importe de la asignación específica por Estado miembro, tal como se define en el anexo V de la Decisión de Ejecución (UE) 2021/1131 de la Comisión, no puede modificarse. Sin embargo, la transferencia entre el FEDER y el FSE + dentro de la asignación específica puede reflejarse en el cuadro 8 «Asignación financiera preliminar del FEDER, el Fondo de Cohesión, el FTJ, el FSE +, el FEMPA por objetivo político, objetivo específico del FTJ y asistencia técnica», </w:t>
      </w:r>
      <w:r w:rsidR="002F3719">
        <w:t xml:space="preserve">ya que, </w:t>
      </w:r>
      <w:r>
        <w:t xml:space="preserve">demuestra la división de la asignación </w:t>
      </w:r>
      <w:r>
        <w:lastRenderedPageBreak/>
        <w:t>específica para las regiones ultraperiféricas por fondo y objetivo político. En el caso preguntado, si se propuso transferir al FEDER la totalidad de la asignación del FSE + dentro de la financiación adicional para las regiones ultraperiféricas respetando los límites máximos establecidos en el artículo 26 del RDC, podría reflejarse en el cuadro 8 del acuerdo de asociación: la asignación del FSE + para las regiones ultraperiféricas en el marco del OP 4 puede incluso ser cero.</w:t>
      </w:r>
    </w:p>
    <w:p w:rsidR="00F83F12" w:rsidRDefault="00F83F12"/>
    <w:p w:rsidR="00F83F12" w:rsidRDefault="00F83F12"/>
    <w:p w:rsidR="00F83F12" w:rsidRDefault="001C6219">
      <w:pPr>
        <w:pStyle w:val="Ttulo1"/>
      </w:pPr>
      <w:bookmarkStart w:id="193" w:name="scroll-bookmark-197"/>
      <w:bookmarkStart w:id="194" w:name="scroll-bookmark-198"/>
      <w:bookmarkEnd w:id="193"/>
      <w:r>
        <w:t>QA00110 — Programación del DLP</w:t>
      </w:r>
      <w:bookmarkEnd w:id="194"/>
    </w:p>
    <w:p w:rsidR="00F83F12" w:rsidRDefault="001C6219">
      <w:r>
        <w:rPr>
          <w:noProof/>
          <w:lang w:val="es-ES"/>
        </w:rPr>
        <w:drawing>
          <wp:inline distT="0" distB="0" distL="0" distR="0" wp14:anchorId="2A16F037" wp14:editId="4D0A2E0B">
            <wp:extent cx="152435" cy="152435"/>
            <wp:effectExtent l="0" t="0" r="0" b="0"/>
            <wp:docPr id="100391" name="Imagen 1003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31-34 del RDC </w:t>
      </w:r>
    </w:p>
    <w:p w:rsidR="00F83F12" w:rsidRDefault="001C6219">
      <w:r>
        <w:rPr>
          <w:noProof/>
          <w:lang w:val="es-ES"/>
        </w:rPr>
        <w:drawing>
          <wp:inline distT="0" distB="0" distL="0" distR="0" wp14:anchorId="1A954174" wp14:editId="6AFCB05E">
            <wp:extent cx="152435" cy="152435"/>
            <wp:effectExtent l="0" t="0" r="0" b="0"/>
            <wp:docPr id="100393" name="Imagen 1003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 Comité que selecciona las estrategias de desarrollo local</w:t>
      </w:r>
    </w:p>
    <w:p w:rsidR="00F83F12" w:rsidRDefault="001C6219">
      <w:r>
        <w:t>El artículo 32, apartado 2, del RDC establece lo siguiente: «Las autoridades de gestión pertinentes definirán los criterios para la selección de dichas estrategias, crearán un comité para llevar a cabo dicha selección y aprobarán las estrategias seleccionadas por dicho comité.</w:t>
      </w:r>
      <w:r>
        <w:rPr>
          <w:i/>
        </w:rPr>
        <w:t xml:space="preserve"> </w:t>
      </w:r>
      <w:r>
        <w:t>«</w:t>
      </w:r>
    </w:p>
    <w:p w:rsidR="00F83F12" w:rsidRDefault="00F83F12"/>
    <w:p w:rsidR="00F83F12" w:rsidRDefault="001C6219">
      <w:r>
        <w:t>¿Qué funciones debería desempeñar este Comité? ¿Debería tratarse de un comité de seguimiento, como los comités de gestión de los programas regionales, con la participación de socios, etc., o bien de un organismo compuesto por representantes de las autoridades de gestión de los Fondos que financie las estrategias de desarrollo local en una región determinada? ¿Es posible crear un único comité conjunto para todas las autoridades de gestión que apliquen el DLP o debería funcionar dicho comité en cada región que aplique el DLP con financiación múltiple?</w:t>
      </w:r>
    </w:p>
    <w:p w:rsidR="00F83F12" w:rsidRDefault="00F83F12"/>
    <w:p w:rsidR="00F83F12" w:rsidRDefault="001C6219">
      <w:pPr>
        <w:pStyle w:val="P68B1DB1-Normal4"/>
      </w:pPr>
      <w:r>
        <w:t>Respuesta.</w:t>
      </w:r>
    </w:p>
    <w:p w:rsidR="00F83F12" w:rsidRDefault="001C6219">
      <w:r>
        <w:t>El comité a que se refiere el artículo 32, apartado 2, del RDC es responsable de la selección de las estrategias de desarrollo local participativo.</w:t>
      </w:r>
    </w:p>
    <w:p w:rsidR="00F83F12" w:rsidRDefault="001C6219">
      <w:r>
        <w:t>Si un Estado miembro así lo decide, podrá conferir funciones adicionales al comité, pero sin perjuicio de las tareas exclusivas de los grupos de acción local establecidas en el artículo 33, apartado 3, del RDC y de las funciones del comité de seguimiento del programa con arreglo al artículo 40, apartado 1, del RDC.</w:t>
      </w:r>
    </w:p>
    <w:p w:rsidR="00F83F12" w:rsidRDefault="00F83F12"/>
    <w:p w:rsidR="00F83F12" w:rsidRDefault="001C6219">
      <w:pPr>
        <w:pStyle w:val="P68B1DB1-Normal4"/>
      </w:pPr>
      <w:r>
        <w:t>Pregunta 2 (incluidos los hechos e información pertinentes):</w:t>
      </w:r>
    </w:p>
    <w:p w:rsidR="00F83F12" w:rsidRDefault="001C6219">
      <w:pPr>
        <w:pStyle w:val="P68B1DB1-Normal4"/>
      </w:pPr>
      <w:r>
        <w:lastRenderedPageBreak/>
        <w:t>¿Puede una estrategia de desarrollo local abarcar una zona y apoyar operaciones fuera de la zona del programa?</w:t>
      </w:r>
    </w:p>
    <w:p w:rsidR="00F83F12" w:rsidRDefault="001C6219">
      <w:r>
        <w:t>Si la estrategia de desarrollo local que abarca más de un voivodato se extiende más allá de la zona del programa regional, ¿puede el programa apoyar a municipios de otro voivodato, o solo a los situados en el voivodato que proporciona fondos?</w:t>
      </w:r>
    </w:p>
    <w:p w:rsidR="00F83F12" w:rsidRDefault="001C6219">
      <w:r>
        <w:t>Y si es posible apoyar a los municipios fuera de su voivodato, ¿cómo debería incluirse esto en el programa regional? ¿Es suficiente indicar en la medida de DLP que esto afecta al ámbito cubierto por la estrategia?</w:t>
      </w:r>
    </w:p>
    <w:p w:rsidR="00F83F12" w:rsidRDefault="00F83F12"/>
    <w:p w:rsidR="00F83F12" w:rsidRDefault="001C6219">
      <w:pPr>
        <w:pStyle w:val="P68B1DB1-Normal4"/>
      </w:pPr>
      <w:r>
        <w:t>Respuesta.</w:t>
      </w:r>
    </w:p>
    <w:p w:rsidR="00F83F12" w:rsidRDefault="001C6219">
      <w:r>
        <w:t>El programa podrá apoyar operaciones fuera de la zona cubierta por un programa, siempre que contribuyan a los objetivos del programa. Una estrategia de DLP define su zona geográfica, mientras que los Estados miembros deben garantizar que el DLP se centre en las zonas subregionales. Así pues, un programa regional puede apoyar un DLP, que abarca también municipios de otra región (voivodato). Bastaría con hacer referencia en el programa a los ámbitos cubiertos por las estrategias de DLP.</w:t>
      </w:r>
    </w:p>
    <w:p w:rsidR="00F83F12" w:rsidRDefault="001C6219">
      <w:pPr>
        <w:pStyle w:val="P68B1DB1-Normal4"/>
      </w:pPr>
      <w:r>
        <w:t>Pregunta 3 (incluidos los hechos e información pertinentes): Verificación de la admisibilidad de los proyectos de DLP </w:t>
      </w:r>
    </w:p>
    <w:p w:rsidR="00F83F12" w:rsidRDefault="001C6219">
      <w:r>
        <w:t>En las convocatorias estándar, el GAL evalúa y selecciona los proyectos y, a continuación, la AG verifica la subvencionabilidad de los costes. ¿Debería el MC aprobar los criterios (o las condiciones para la concesión de la ayuda) para esta verificación? No se trata de una evaluación fáctica (porque es competencia del GAL), por lo que, en teoría, no existe tal requisito, pero es prácticamente análogo a la evaluación, por lo que, en aras de la claridad y de un enfoque uniforme, debería presentarse al MC?</w:t>
      </w:r>
    </w:p>
    <w:p w:rsidR="00F83F12" w:rsidRDefault="00F83F12"/>
    <w:p w:rsidR="00F83F12" w:rsidRDefault="001C6219">
      <w:pPr>
        <w:pStyle w:val="P68B1DB1-Normal4"/>
      </w:pPr>
      <w:r>
        <w:t>Respuesta.</w:t>
      </w:r>
    </w:p>
    <w:p w:rsidR="00F83F12" w:rsidRDefault="001C6219">
      <w:r>
        <w:t>La autoridad de gestión responsable de la ejecución general de un programa debe llevar a cabo la verificación para garantizar que las propuestas se ajustan a las normas de subvencionabilidad establecidas de conformidad con el artículo 63, apartado 1, del RDC. Los Estados miembros podrán prever un papel en el procedimiento del comité de seguimiento del programa, sin perjuicio de las responsabilidades de la autoridad de gestión establecidas en los artículos 73 y 74 del RDC.</w:t>
      </w:r>
    </w:p>
    <w:p w:rsidR="00F83F12" w:rsidRDefault="001C6219">
      <w:r>
        <w:t>Dentro del FEADER, el organismo responsable de la verificación de la admisibilidad es el organismo pagador.</w:t>
      </w:r>
    </w:p>
    <w:p w:rsidR="00F83F12" w:rsidRDefault="00F83F12"/>
    <w:p w:rsidR="00F83F12" w:rsidRDefault="00F83F12"/>
    <w:p w:rsidR="00F83F12" w:rsidRDefault="001C6219">
      <w:pPr>
        <w:pStyle w:val="P68B1DB1-Normal4"/>
      </w:pPr>
      <w:r>
        <w:t>Pregunta 4 (incluidos los hechos e información pertinentes): Establecimiento de indicadores y objetivos para el DLP en el FSE +</w:t>
      </w:r>
    </w:p>
    <w:p w:rsidR="00F83F12" w:rsidRDefault="001C6219">
      <w:r>
        <w:t>Varias regiones polacas están interesadas en aplicar el DLP del FSE +, lo que plantea muchas preguntas sobre los indicadores que deben utilizarse y cómo deben estimarse los objetivos.</w:t>
      </w:r>
    </w:p>
    <w:p w:rsidR="00F83F12" w:rsidRDefault="001C6219">
      <w:r>
        <w:lastRenderedPageBreak/>
        <w:t>Existen dos maneras de programar el DLP en el programa:</w:t>
      </w:r>
    </w:p>
    <w:p w:rsidR="00F83F12" w:rsidRDefault="001C6219">
      <w:pPr>
        <w:numPr>
          <w:ilvl w:val="0"/>
          <w:numId w:val="81"/>
        </w:numPr>
      </w:pPr>
      <w:r>
        <w:t>El DLP puede programarse en el marco de cada objetivo específico (y, en consecuencia, en el marco de muchas prioridades).</w:t>
      </w:r>
    </w:p>
    <w:p w:rsidR="00F83F12" w:rsidRDefault="001C6219">
      <w:pPr>
        <w:numPr>
          <w:ilvl w:val="0"/>
          <w:numId w:val="81"/>
        </w:numPr>
      </w:pPr>
      <w:r>
        <w:t>El DLP puede programarse en el marco de una prioridad separada: se trata de una opción atractiva, ya que, según el RDC, la cofinanciación es superior al -95 %.</w:t>
      </w:r>
    </w:p>
    <w:p w:rsidR="00F83F12" w:rsidRDefault="001C6219">
      <w:r>
        <w:t xml:space="preserve">En la primera opción, la estimación de los objetivos no es tan difícil, </w:t>
      </w:r>
      <w:r w:rsidR="002F3719">
        <w:t xml:space="preserve">ya que, </w:t>
      </w:r>
      <w:r>
        <w:t xml:space="preserve">el DLP será una pequeña parte de la asignación de la prioridad y las acciones de DLP contribuirán al indicador para un objetivo específico determinado. Aunque las estimaciones no sean totalmente correctas, no deben ser visibles en el programa, </w:t>
      </w:r>
      <w:r w:rsidR="002F3719">
        <w:t xml:space="preserve">ya que, </w:t>
      </w:r>
      <w:r>
        <w:t>el importe debe ser inferior al error de estimación.</w:t>
      </w:r>
    </w:p>
    <w:p w:rsidR="00F83F12" w:rsidRDefault="001C6219">
      <w:r>
        <w:t xml:space="preserve">La situación es mucho más complicada cuando una AG selecciona la segunda opción. Las autoridades de gestión desearían utilizar el indicador de las estrategias de DLP apoyadas, pero este no es un indicador común para el FSE +, por lo que solo puede utilizarse como indicador específico. Los objetivos pueden estimarse sobre la base de las necesidades de los grupos de acción local (GAL), que son conocidas cuando la AG seleccionará sus estrategias locales lo que sucederá tras la adopción del programa (probablemente en 2023). ¿Es posible adoptar un programa sin valores objetivo o, por lo tanto, deberían establecerse algunos objetivos ficticios que se modificarán más adelante? La mayoría de las regiones desconocen los datos históricos, </w:t>
      </w:r>
      <w:r w:rsidR="002F3719">
        <w:t xml:space="preserve">ya que, </w:t>
      </w:r>
      <w:r>
        <w:t>el DLP se aplicará por primera vez.</w:t>
      </w:r>
    </w:p>
    <w:p w:rsidR="00F83F12" w:rsidRDefault="00F83F12"/>
    <w:p w:rsidR="00F83F12" w:rsidRDefault="001C6219">
      <w:pPr>
        <w:pStyle w:val="P68B1DB1-Normal4"/>
      </w:pPr>
      <w:r>
        <w:t>Respuesta.</w:t>
      </w:r>
    </w:p>
    <w:p w:rsidR="00F83F12" w:rsidRDefault="001C6219">
      <w:r>
        <w:t>De conformidad con el artículo 22, apartado 3, letra d), inciso ii), del RDC, cada objetivo específico, incluidos los ejecutados a través del DLP e independientemente del modo de ejecución, debe establecer indicadores de realización e indicadores de resultados con los hitos y objetivos correspondientes. Las estimaciones de los hitos y objetivos deben elaborarse de conformidad con la metodología establecida en el artículo 17 del RDC.</w:t>
      </w:r>
    </w:p>
    <w:p w:rsidR="00F83F12" w:rsidRDefault="001C6219">
      <w:r>
        <w:t>En casos debidamente justificados, el estado de previsiones podrá revisarse mediante solicitud de modificación del programa.</w:t>
      </w:r>
    </w:p>
    <w:p w:rsidR="00F83F12" w:rsidRDefault="00F83F12"/>
    <w:p w:rsidR="00F83F12" w:rsidRDefault="00F83F12"/>
    <w:p w:rsidR="00F83F12" w:rsidRDefault="001C6219">
      <w:pPr>
        <w:pStyle w:val="Ttulo1"/>
      </w:pPr>
      <w:bookmarkStart w:id="195" w:name="scroll-bookmark-199"/>
      <w:bookmarkStart w:id="196" w:name="scroll-bookmark-200"/>
      <w:bookmarkEnd w:id="195"/>
      <w:r>
        <w:t>QA00111 — Desarrollo territorial: aplicación de estrategias de DLP a través de operaciones consideradas como un grupo de proyectos</w:t>
      </w:r>
      <w:bookmarkEnd w:id="196"/>
    </w:p>
    <w:p w:rsidR="00F83F12" w:rsidRDefault="001C6219">
      <w:r>
        <w:rPr>
          <w:noProof/>
          <w:lang w:val="es-ES"/>
        </w:rPr>
        <w:drawing>
          <wp:inline distT="0" distB="0" distL="0" distR="0" wp14:anchorId="7B06ECF2" wp14:editId="53BD0835">
            <wp:extent cx="152435" cy="152435"/>
            <wp:effectExtent l="0" t="0" r="0" b="0"/>
            <wp:docPr id="100395" name="Imagen 1003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2 (4) y 33 del RDC</w:t>
      </w:r>
    </w:p>
    <w:p w:rsidR="00F83F12" w:rsidRDefault="001C6219">
      <w:r>
        <w:rPr>
          <w:noProof/>
          <w:lang w:val="es-ES"/>
        </w:rPr>
        <w:drawing>
          <wp:inline distT="0" distB="0" distL="0" distR="0" wp14:anchorId="15F0C2AE" wp14:editId="5069567D">
            <wp:extent cx="152435" cy="152435"/>
            <wp:effectExtent l="0" t="0" r="0" b="0"/>
            <wp:docPr id="100397" name="Imagen 1003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F83F12" w:rsidRDefault="00F83F12"/>
    <w:p w:rsidR="00F83F12" w:rsidRDefault="001C6219">
      <w:pPr>
        <w:pStyle w:val="P68B1DB1-Normal4"/>
      </w:pPr>
      <w:r>
        <w:lastRenderedPageBreak/>
        <w:br/>
        <w:t>Pregunta 1 (incluidos los hechos e información pertinentes):</w:t>
      </w:r>
    </w:p>
    <w:p w:rsidR="00F83F12" w:rsidRDefault="001C6219">
      <w:r>
        <w:t>¿Podría la aplicación de estrategias locales con arreglo a las disposiciones del RDC dar lugar a la formación de un grupo de proyectos que, de conformidad con el artículo 2, apartado 4, del RDC, se considerarían operaciones cuando la ejecución de dichas acciones fuera responsabilidad de los propios grupos de acción local?</w:t>
      </w:r>
    </w:p>
    <w:p w:rsidR="00F83F12" w:rsidRDefault="00F83F12"/>
    <w:p w:rsidR="00F83F12" w:rsidRDefault="001C6219">
      <w:pPr>
        <w:pStyle w:val="P68B1DB1-Normal4"/>
      </w:pPr>
      <w:r>
        <w:t>Respuesta.</w:t>
      </w:r>
    </w:p>
    <w:p w:rsidR="00F83F12" w:rsidRDefault="001C6219">
      <w:r>
        <w:t>De conformidad con el artículo 2, apartado 4, letra a), del RDC, por operación se entiende «un proyecto, contrato, acción o grupo de proyectos seleccionados en el marco de los programas de que se trate». Como tal, un grupo de acción local (GAL), seleccionado como beneficiario de conformidad con el artículo 33, apartado 5, del RDC, puede iniciar o ejecutar una operación consistente en un grupo de proyectos.</w:t>
      </w:r>
    </w:p>
    <w:p w:rsidR="00F83F12" w:rsidRDefault="00F83F12"/>
    <w:p w:rsidR="00F83F12" w:rsidRDefault="001C6219">
      <w:r>
        <w:t>No obstante, de conformidad con el artículo 33, apartado 3, letra d), del RDC, es el GAL el responsable de seleccionar las operaciones predefinidas (independientemente de que sean un proyecto o un grupo de proyectos) en consonancia con la estrategia de desarrollo local participativo. Cabe señalar que las funciones de un GAL como beneficiario (inicio o ejecución de operaciones) y como organismo responsable de la selección de las operaciones deben separarse.</w:t>
      </w:r>
    </w:p>
    <w:p w:rsidR="00F83F12" w:rsidRDefault="00F83F12"/>
    <w:p w:rsidR="00F83F12" w:rsidRDefault="00F83F12"/>
    <w:p w:rsidR="00F83F12" w:rsidRDefault="001C6219">
      <w:pPr>
        <w:pStyle w:val="Ttulo1"/>
      </w:pPr>
      <w:bookmarkStart w:id="197" w:name="scroll-bookmark-201"/>
      <w:bookmarkStart w:id="198" w:name="scroll-bookmark-202"/>
      <w:bookmarkEnd w:id="197"/>
      <w:r>
        <w:t>QA00112 — Financiación acumulativa de DIGITAL y FEDER (EDIH)</w:t>
      </w:r>
      <w:bookmarkEnd w:id="198"/>
    </w:p>
    <w:p w:rsidR="00F83F12" w:rsidRDefault="001C6219">
      <w:r>
        <w:rPr>
          <w:noProof/>
          <w:lang w:val="es-ES"/>
        </w:rPr>
        <w:drawing>
          <wp:inline distT="0" distB="0" distL="0" distR="0" wp14:anchorId="7427EBF9" wp14:editId="3A94A53F">
            <wp:extent cx="152435" cy="152435"/>
            <wp:effectExtent l="0" t="0" r="0" b="0"/>
            <wp:docPr id="100399" name="Imagen 1003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F83F12" w:rsidRDefault="001C6219">
      <w:r>
        <w:t>Artículo 63, apartado 9, del RDC;</w:t>
      </w:r>
    </w:p>
    <w:p w:rsidR="00F83F12" w:rsidRDefault="001C6219">
      <w:r>
        <w:t>Artículo 22 del DEP</w:t>
      </w:r>
    </w:p>
    <w:p w:rsidR="00F83F12" w:rsidRDefault="001C6219">
      <w:r>
        <w:rPr>
          <w:noProof/>
          <w:lang w:val="es-ES"/>
        </w:rPr>
        <w:drawing>
          <wp:inline distT="0" distB="0" distL="0" distR="0" wp14:anchorId="73942A0A" wp14:editId="161DBEC4">
            <wp:extent cx="152435" cy="152435"/>
            <wp:effectExtent l="0" t="0" r="0" b="0"/>
            <wp:docPr id="100401" name="Imagen 1004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br/>
        <w:t>Pregunta 1 (incluidos los hechos e información pertinentes):</w:t>
      </w:r>
    </w:p>
    <w:p w:rsidR="00F83F12" w:rsidRDefault="001C6219">
      <w:r>
        <w:t>La DG CNECT tiene previsto cofinanciar la creación de una red de aproximadamente 200 EDIH (con una media de 1 EDIH/región) en el marco del programa «DIGITAL». La ayuda de DIGITAL debe adoptar la forma de cofinanciación de hasta el 50 % de los costes de funcionamiento de cada EDIH (= gastos de personal, gastos de viaje, adquisición de equipos, costes de amortización). Por lo tanto, el reto es encontrar cofinanciadores para financiar el 50 % restante de cada EDIH.</w:t>
      </w:r>
    </w:p>
    <w:p w:rsidR="00F83F12" w:rsidRDefault="001C6219">
      <w:r>
        <w:lastRenderedPageBreak/>
        <w:t>En la parte francesa, varias regiones están estudiando seriamente la posibilidad de movilizar el FEDER a este respecto.</w:t>
      </w:r>
    </w:p>
    <w:p w:rsidR="00F83F12" w:rsidRDefault="00F83F12"/>
    <w:p w:rsidR="00F83F12" w:rsidRDefault="001C6219">
      <w:pPr>
        <w:numPr>
          <w:ilvl w:val="0"/>
          <w:numId w:val="82"/>
        </w:numPr>
      </w:pPr>
      <w:r>
        <w:t xml:space="preserve">Las autoridades francesas desean </w:t>
      </w:r>
      <w:r>
        <w:rPr>
          <w:b/>
        </w:rPr>
        <w:t xml:space="preserve">obtener confirmación de si es posible movilizar la contribución del FEDER para cubrir el 40 % de un gasto (o coste) determinado y movilizar de forma acumulativa el fondo directo del EDIH para cubrir el 50 % de esa </w:t>
      </w:r>
      <w:r>
        <w:rPr>
          <w:b/>
          <w:u w:val="single"/>
        </w:rPr>
        <w:t>misma</w:t>
      </w:r>
      <w:r>
        <w:rPr>
          <w:b/>
        </w:rPr>
        <w:t xml:space="preserve"> base de gastos </w:t>
      </w:r>
      <w:r>
        <w:t>(suponiendo que esta misma base de gastos sea subvencionable tanto en el marco del FEDER como de los programas digitales)</w:t>
      </w:r>
      <w:r>
        <w:rPr>
          <w:b/>
        </w:rPr>
        <w:t>.</w:t>
      </w:r>
      <w:r>
        <w:t xml:space="preserve"> Para información: el 10 % restante del gasto estaría cubierto por fuentes distintas de la contribución del FEDER o del programa digital.</w:t>
      </w:r>
    </w:p>
    <w:p w:rsidR="00F83F12" w:rsidRDefault="001C6219">
      <w:pPr>
        <w:numPr>
          <w:ilvl w:val="0"/>
          <w:numId w:val="82"/>
        </w:numPr>
      </w:pPr>
      <w:r>
        <w:t>Suponiendo que la respuesta a la pregunta 1 confirme la posibilidad de combinar el FEDER y DIGITAL en la misma base de gastos siempre que la financiación pública no supere el 100 % de los costes del proyecto, se solicita:</w:t>
      </w:r>
    </w:p>
    <w:p w:rsidR="00F83F12" w:rsidRDefault="001C6219">
      <w:pPr>
        <w:numPr>
          <w:ilvl w:val="1"/>
          <w:numId w:val="83"/>
        </w:numPr>
      </w:pPr>
      <w:r>
        <w:t xml:space="preserve">Confirmar que, </w:t>
      </w:r>
      <w:r>
        <w:rPr>
          <w:b/>
        </w:rPr>
        <w:t xml:space="preserve">para comprobar que la financiación pública no supera el 100 % de los costes del proyecto: </w:t>
      </w:r>
      <w:r>
        <w:t xml:space="preserve">la financiación del </w:t>
      </w:r>
      <w:r>
        <w:rPr>
          <w:b/>
        </w:rPr>
        <w:t>FEDER</w:t>
      </w:r>
      <w:r>
        <w:t xml:space="preserve"> se calcula teniendo en cuenta el </w:t>
      </w:r>
      <w:r>
        <w:rPr>
          <w:b/>
        </w:rPr>
        <w:t>porcentaje de cofinanciación a nivel de operación</w:t>
      </w:r>
      <w:r>
        <w:t xml:space="preserve"> y no teniendo en cuenta el porcentaje de cofinanciación a nivel de eje;</w:t>
      </w:r>
    </w:p>
    <w:p w:rsidR="00F83F12" w:rsidRDefault="001C6219">
      <w:pPr>
        <w:numPr>
          <w:ilvl w:val="1"/>
          <w:numId w:val="83"/>
        </w:numPr>
      </w:pPr>
      <w:r>
        <w:t xml:space="preserve">Confirmar que, tras la presentación por una autoridad de gestión (AG) a la Comisión de una solicitud de pago que incluya los gastos subvencionables de una operación EDIH (en el marco de un eje prioritario del programa del FEDER): la contribución del programa del </w:t>
      </w:r>
      <w:r>
        <w:rPr>
          <w:b/>
        </w:rPr>
        <w:t>FEDER</w:t>
      </w:r>
      <w:r>
        <w:t xml:space="preserve"> </w:t>
      </w:r>
      <w:r>
        <w:rPr>
          <w:b/>
        </w:rPr>
        <w:t>efectivamente desembolsada por la Comisión a la</w:t>
      </w:r>
      <w:r>
        <w:t xml:space="preserve"> AG se ajusta a las normas del artículo 112 del RDC del porcentaje de cofinanciación, lo que significa que </w:t>
      </w:r>
      <w:r>
        <w:rPr>
          <w:b/>
        </w:rPr>
        <w:t>la cofinanciación se realiza a nivel de</w:t>
      </w:r>
      <w:r>
        <w:t xml:space="preserve"> prioridad y no de operación.</w:t>
      </w:r>
    </w:p>
    <w:p w:rsidR="00F83F12" w:rsidRDefault="00F83F12"/>
    <w:p w:rsidR="00F83F12" w:rsidRDefault="00F83F12"/>
    <w:p w:rsidR="00F83F12" w:rsidRDefault="001C6219">
      <w:pPr>
        <w:pStyle w:val="P68B1DB1-Normal4"/>
      </w:pPr>
      <w:r>
        <w:t>Respuesta.</w:t>
      </w:r>
    </w:p>
    <w:p w:rsidR="00F83F12" w:rsidRDefault="001C6219">
      <w:r>
        <w:t>La posibilidad de acumular fondos procedentes de dos fondos o instrumentos diferentes de la Unión está permitida por el artículo 63, apartado 9, del RDC, que establece que una operación puede recibir ayuda de uno o varios Fondos o de uno o varios programas y de otros fondos de la Unión siempre que el mismo gasto no se declare dos veces a la Comisión. Existe una disposición correspondiente en los Reglamentos para los instrumentos gestionados directamente, incluido el Reglamento sobre el programa Europa Digital (véase su artículo 22).</w:t>
      </w:r>
    </w:p>
    <w:p w:rsidR="00F83F12" w:rsidRDefault="001C6219">
      <w:r>
        <w:t>Los servicios de la Comisión están preparando actualmente orientaciones con soluciones operativas y elementos de aplicación práctica que serían especialmente útiles para que las autoridades de gestión decidan permitir este apoyo combinado a las operaciones de sinergia. Las orientaciones sobre sinergias deben abordar las cuestiones planteadas.</w:t>
      </w:r>
    </w:p>
    <w:p w:rsidR="00F83F12" w:rsidRDefault="00F83F12"/>
    <w:p w:rsidR="00F83F12" w:rsidRDefault="00F83F12"/>
    <w:p w:rsidR="00F83F12" w:rsidRDefault="001C6219">
      <w:pPr>
        <w:pStyle w:val="Ttulo1"/>
      </w:pPr>
      <w:bookmarkStart w:id="199" w:name="scroll-bookmark-203"/>
      <w:bookmarkStart w:id="200" w:name="scroll-bookmark-204"/>
      <w:bookmarkEnd w:id="199"/>
      <w:r>
        <w:lastRenderedPageBreak/>
        <w:t>QA00113 — Alcance de la ayuda definida en el artículo 3 (1) (a) (iii) «fomentar el crecimiento sostenible y la competitividad de las pymes y la creación de empleo en las pymes, también mediante inversiones productivas»</w:t>
      </w:r>
      <w:bookmarkEnd w:id="200"/>
    </w:p>
    <w:p w:rsidR="00F83F12" w:rsidRDefault="001C6219">
      <w:r>
        <w:rPr>
          <w:noProof/>
          <w:lang w:val="es-ES"/>
        </w:rPr>
        <w:drawing>
          <wp:inline distT="0" distB="0" distL="0" distR="0" wp14:anchorId="0E2C25DF" wp14:editId="4EB5861F">
            <wp:extent cx="152435" cy="152435"/>
            <wp:effectExtent l="0" t="0" r="0" b="0"/>
            <wp:docPr id="100403" name="Imagen 1004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 (1) (a) (iii) del FEDER</w:t>
      </w:r>
    </w:p>
    <w:p w:rsidR="00F83F12" w:rsidRDefault="001C6219">
      <w:r>
        <w:rPr>
          <w:noProof/>
          <w:lang w:val="es-ES"/>
        </w:rPr>
        <w:drawing>
          <wp:inline distT="0" distB="0" distL="0" distR="0" wp14:anchorId="24E73040" wp14:editId="5432CAAF">
            <wp:extent cx="152435" cy="152435"/>
            <wp:effectExtent l="0" t="0" r="0" b="0"/>
            <wp:docPr id="100405" name="Imagen 1004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¿El alcance de la ayuda en el marco de este objetivo específico se limita a las empresas del sector de las pymes, o se centra en las pymes, pero puede ir más allá de ellas (es decir, apoyar a las pequeñas empresas de mediana capitalización y a las empresas de mediana capitalización)?</w:t>
      </w:r>
    </w:p>
    <w:p w:rsidR="00F83F12" w:rsidRDefault="001C6219">
      <w:r>
        <w:t>En particular, ¿es jurídicamente posible apoyar a las pequeñas empresas de mediana capitalización y a las empresas de mediana capitalización en el marco del OE1.3 mediante instrumentos financieros o combinaciones de subvenciones y financiación reembolsable?</w:t>
      </w:r>
    </w:p>
    <w:p w:rsidR="00F83F12" w:rsidRDefault="001C6219">
      <w:pPr>
        <w:pStyle w:val="P68B1DB1-Normal4"/>
      </w:pPr>
      <w:r>
        <w:t>Respuesta.</w:t>
      </w:r>
    </w:p>
    <w:p w:rsidR="00F83F12" w:rsidRDefault="001C6219">
      <w:r>
        <w:t>El artículo 5, apartado 2, del FEDER/FC enumera exhaustivamente las posibilidades de apoyar inversiones productivas distintas de las destinadas a las pymes. A diferencia del artículo 5, apartado 2, letra a), letras b) y d), del FEDER/FC, las disposiciones del artículo 5, apartado 2, letra c), del FEDER/FC no hacen referencia a ningún objetivo específico concreto. Por lo tanto, las inversiones productivas en pequeñas empresas de mediana capitalización y empresas de mediana capitalización financiadas a través de instrumentos financieros pueden recibir apoyo en el marco de cualquier objetivo específico, incluido el objetivo específico en virtud del artículo 3, apartado 1, letra a), inciso iii), del FEDER/FC.</w:t>
      </w:r>
    </w:p>
    <w:p w:rsidR="00F83F12" w:rsidRDefault="00F83F12"/>
    <w:p w:rsidR="00F83F12" w:rsidRDefault="00F83F12"/>
    <w:p w:rsidR="00F83F12" w:rsidRDefault="001C6219">
      <w:pPr>
        <w:pStyle w:val="Ttulo1"/>
      </w:pPr>
      <w:bookmarkStart w:id="201" w:name="scroll-bookmark-205"/>
      <w:bookmarkStart w:id="202" w:name="scroll-bookmark-206"/>
      <w:bookmarkEnd w:id="201"/>
      <w:r>
        <w:t>QA00114 — Actividades subvencionables en el marco del FTJ — actividad k) «Mejora de las capacidades y reciclaje profesional de los trabajadores y los solicitantes de empleo»</w:t>
      </w:r>
      <w:bookmarkEnd w:id="202"/>
    </w:p>
    <w:p w:rsidR="00F83F12" w:rsidRDefault="001C6219">
      <w:r>
        <w:rPr>
          <w:noProof/>
          <w:lang w:val="es-ES"/>
        </w:rPr>
        <w:drawing>
          <wp:inline distT="0" distB="0" distL="0" distR="0" wp14:anchorId="3B9687B2" wp14:editId="18E095A0">
            <wp:extent cx="152435" cy="152435"/>
            <wp:effectExtent l="0" t="0" r="0" b="0"/>
            <wp:docPr id="100407" name="Imagen 1004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2 y 8 (1) — (2) FTJ</w:t>
      </w:r>
    </w:p>
    <w:p w:rsidR="00F83F12" w:rsidRDefault="001C6219">
      <w:r>
        <w:rPr>
          <w:noProof/>
          <w:lang w:val="es-ES"/>
        </w:rPr>
        <w:drawing>
          <wp:inline distT="0" distB="0" distL="0" distR="0" wp14:anchorId="7AD8EC6B" wp14:editId="6EF2C825">
            <wp:extent cx="152435" cy="152435"/>
            <wp:effectExtent l="0" t="0" r="0" b="0"/>
            <wp:docPr id="100409" name="Imagen 1004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F83F12" w:rsidRDefault="00F83F12"/>
    <w:p w:rsidR="00F83F12" w:rsidRDefault="001C6219">
      <w:pPr>
        <w:pStyle w:val="P68B1DB1-Normal4"/>
      </w:pPr>
      <w:r>
        <w:lastRenderedPageBreak/>
        <w:br/>
        <w:t>Pregunta 1 (incluidos los hechos e información pertinentes):</w:t>
      </w:r>
    </w:p>
    <w:p w:rsidR="00F83F12" w:rsidRDefault="001C6219">
      <w:r>
        <w:t xml:space="preserve">La cuestión se refiere al alcance de las intervenciones contempladas en la letra k): la Comisión señala que </w:t>
      </w:r>
      <w:r>
        <w:rPr>
          <w:i/>
        </w:rPr>
        <w:t xml:space="preserve">«los trabajadores que vayan a recibir apoyo en virtud de la letra k) deben trabajar en las industrias y sectores afectados por la transición de las regiones ultraperiféricas </w:t>
      </w:r>
      <w:r>
        <w:rPr>
          <w:b/>
          <w:i/>
          <w:u w:val="single"/>
        </w:rPr>
        <w:t>en</w:t>
      </w:r>
      <w:r>
        <w:rPr>
          <w:i/>
        </w:rPr>
        <w:t xml:space="preserve"> </w:t>
      </w:r>
      <w:r>
        <w:rPr>
          <w:b/>
          <w:i/>
        </w:rPr>
        <w:t>industrias o sectores que desempeñarán un papel a la hora de abordar las repercusiones sociales, laborales, económicas y medioambientales de la transición (por ejemplo, empresas ecológicas, sectores con un elevado potencial de creación de empleo)»</w:t>
      </w:r>
      <w:r>
        <w:t>.</w:t>
      </w:r>
    </w:p>
    <w:p w:rsidR="00F83F12" w:rsidRDefault="001C6219">
      <w:r>
        <w:t>¿Es correcto interpretar que, una vez identificado un sector económico (justificado en relación con los objetivos del plan territorial de transición justa y conforme con el principio DNSH) como vector de diversificación para un territorio admisible, la AG no solo puede utilizar el FTJ para apoyar y formar a los solicitantes de empleo o a los empleados de sectores industriales contaminantes en declive hacia este sector, sino también apoyar a los empleados ya empleados en una empresa de este sector en el desarrollo de sus capacidades? Entendemos hasta ahora que estos sectores de diversificación constituían sectores de destino para los públicos prioritarios, que son los demandantes de empleo y los empleados de las industrias más emisoras, por lo que nos parecieron excluidos de poder trabajar directamente en el refuerzo de las capacidades, por ejemplo, en el sector de la economía verde. La confirmación de una apertura a este respecto (o de un malentendido anterior por nuestra parte) abriría perspectivas operativas que hemos descartado hasta ahora.</w:t>
      </w:r>
    </w:p>
    <w:p w:rsidR="00F83F12" w:rsidRDefault="00F83F12"/>
    <w:p w:rsidR="00F83F12" w:rsidRDefault="001C6219">
      <w:pPr>
        <w:pStyle w:val="P68B1DB1-Normal4"/>
      </w:pPr>
      <w:r>
        <w:t>Respuesta.</w:t>
      </w:r>
    </w:p>
    <w:p w:rsidR="00F83F12" w:rsidRDefault="001C6219">
      <w:r>
        <w:t>De conformidad con el artículo 8 (1) del FTJ: «El FTJ solo apoyará actividades que estén directamente vinculadas a su objetivo específico, tal como se establece en el artículo 2, y que contribuyan a la ejecución de los planes territoriales de transición justa establecidos de conformidad con el artículo 11.».</w:t>
      </w:r>
    </w:p>
    <w:p w:rsidR="00F83F12" w:rsidRDefault="001C6219">
      <w:r>
        <w:t>Tal como se establece en el artículo 2 del FTJ, el FTJ contribuirá al objetivo único específico de permitir que las regiones y las personas afronten las repercusiones sociales, laborales, económicas y medioambientales de la transición hacia los objetivos de la Unión para 2030 en materia de energía y clima y una economía de la Unión climáticamente neutra de aquí a 2050, sobre la base del Acuerdo de París.</w:t>
      </w:r>
    </w:p>
    <w:p w:rsidR="00F83F12" w:rsidRDefault="001C6219">
      <w:r>
        <w:t>Las actividades k), l), m) y o) del artículo 8 (2) del FTJ tienen por objeto abordar, en particular, el impacto social y en el empleo de la transición.</w:t>
      </w:r>
    </w:p>
    <w:p w:rsidR="00F83F12" w:rsidRDefault="001C6219">
      <w:r>
        <w:t>Para ser subvencionables, las actividades deben justificarse en los planes territoriales de transición y debe establecerse su vínculo para abordar el impacto de la transición.</w:t>
      </w:r>
    </w:p>
    <w:p w:rsidR="00F83F12" w:rsidRDefault="001C6219">
      <w:r>
        <w:t xml:space="preserve">Los trabajadores de sectores que desempeñarán un papel clave en la transición, </w:t>
      </w:r>
      <w:r w:rsidR="00214B1C">
        <w:t xml:space="preserve">por ejemplo, </w:t>
      </w:r>
      <w:r>
        <w:t>como vectores de la diversificación económica, pueden ser elegibles si el Estado miembro puede demostrar que la mejora de las capacidades y el reciclaje profesional de dichos trabajadores ayudarán a abordar el impacto de la transición en la región y las personas afectadas.</w:t>
      </w:r>
    </w:p>
    <w:p w:rsidR="00F83F12" w:rsidRDefault="001C6219">
      <w:r>
        <w:lastRenderedPageBreak/>
        <w:t xml:space="preserve">Como se indica en la sección 5.1 del </w:t>
      </w:r>
      <w:hyperlink r:id="rId471" w:history="1">
        <w:r>
          <w:rPr>
            <w:rStyle w:val="Hipervnculo"/>
          </w:rPr>
          <w:t>documento de trabajo de los servicios de la Comisión sobre los planes territoriales de transición justa</w:t>
        </w:r>
      </w:hyperlink>
      <w:r>
        <w:t xml:space="preserve"> relativos a la diversificación económica, «debe concederse la debida importancia a los sectores con un fuerte potencial de creación de empleo, a fin de mitigar las repercusiones negativas en el empleo, en particular en sectores con potencial de crecimiento, como la cadena de valor de las materias primas».</w:t>
      </w:r>
    </w:p>
    <w:p w:rsidR="00F83F12" w:rsidRDefault="001C6219">
      <w:r>
        <w:t>Por consiguiente, el Estado miembro debe explicar en su plan territorial de transición justa cómo la mejora de las capacidades y el reciclaje profesional de los trabajadores ya empleados en un sector con un elevado potencial de crecimiento, por ejemplo, contribuiría a mitigar las repercusiones negativas en el empleo.</w:t>
      </w:r>
    </w:p>
    <w:p w:rsidR="00F83F12" w:rsidRDefault="00F83F12"/>
    <w:p w:rsidR="00F83F12" w:rsidRDefault="00F83F12"/>
    <w:p w:rsidR="00F83F12" w:rsidRDefault="001C6219">
      <w:pPr>
        <w:pStyle w:val="Ttulo1"/>
      </w:pPr>
      <w:bookmarkStart w:id="203" w:name="scroll-bookmark-207"/>
      <w:bookmarkStart w:id="204" w:name="scroll-bookmark-208"/>
      <w:bookmarkEnd w:id="203"/>
      <w:r>
        <w:t>QA00116 — ¿Cómo aplicar en la práctica la «operación multifondo» y cómo difiere del mecanismo de «financiación cruzada»?</w:t>
      </w:r>
      <w:bookmarkEnd w:id="204"/>
    </w:p>
    <w:p w:rsidR="00F83F12" w:rsidRDefault="001C6219">
      <w:r>
        <w:rPr>
          <w:noProof/>
          <w:lang w:val="es-ES"/>
        </w:rPr>
        <w:drawing>
          <wp:inline distT="0" distB="0" distL="0" distR="0" wp14:anchorId="72F51645" wp14:editId="3F644562">
            <wp:extent cx="152435" cy="152435"/>
            <wp:effectExtent l="0" t="0" r="0" b="0"/>
            <wp:docPr id="100411" name="Imagen 1004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63, apartado 9, y artículo 25 (2) del RDC </w:t>
      </w:r>
    </w:p>
    <w:p w:rsidR="00F83F12" w:rsidRDefault="001C6219">
      <w:r>
        <w:rPr>
          <w:noProof/>
          <w:lang w:val="es-ES"/>
        </w:rPr>
        <w:drawing>
          <wp:inline distT="0" distB="0" distL="0" distR="0" wp14:anchorId="04C6A53C" wp14:editId="53BDA019">
            <wp:extent cx="152435" cy="152435"/>
            <wp:effectExtent l="0" t="0" r="0" b="0"/>
            <wp:docPr id="100413" name="Imagen 1004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En el actual período de programación 2014-2020, los Estados miembros han estado utilizando la opción multifondo al programar sus programas operativos: PO multifondo, eje prioritario multifondo e incluso proyectos integrados del FSE/FEDER. Estos últimos eran proyectos seleccionados en el marco de convocatorias de propuestas conjuntas. Aunque este enfoque constituía un paso hacia la complementariedad, resultó ser gravoso: los proyectos «multifondo» tenían, de hecho, dos conjuntos de normas de ejecución diferentes: 2 contratos separados y 2 solicitudes de pago separadas. </w:t>
      </w:r>
    </w:p>
    <w:p w:rsidR="00F83F12" w:rsidRDefault="001C6219">
      <w:r>
        <w:t xml:space="preserve">En el proyecto de Reglamento para 2021-2027, el artículo 63, apartado 9, del RDC prevé </w:t>
      </w:r>
      <w:r w:rsidR="00503869">
        <w:t>que</w:t>
      </w:r>
      <w:r w:rsidR="00503869">
        <w:rPr>
          <w:i/>
        </w:rPr>
        <w:t xml:space="preserve"> “una</w:t>
      </w:r>
      <w:r>
        <w:rPr>
          <w:i/>
        </w:rPr>
        <w:t xml:space="preserve"> operación podrá recibir ayuda de uno o varios Fondos o de uno o varios programas y de otros instrumentos de la Unión</w:t>
      </w:r>
      <w:r>
        <w:t>».</w:t>
      </w:r>
    </w:p>
    <w:p w:rsidR="00F83F12" w:rsidRDefault="001C6219">
      <w:r>
        <w:t>Las cuestiones prejudiciales son:</w:t>
      </w:r>
    </w:p>
    <w:p w:rsidR="00F83F12" w:rsidRDefault="001C6219">
      <w:pPr>
        <w:numPr>
          <w:ilvl w:val="0"/>
          <w:numId w:val="84"/>
        </w:numPr>
      </w:pPr>
      <w:r>
        <w:t>¿Cómo está previsto que esta disposición se aplique en la práctica a operaciones individuales? ¿Puede dar una ilustración e indicar qué debería hacer la AG? ¿Funcionaría de la misma manera que los proyectos integrados del FSE/FEDER en el período actual y, de no ser así, qué sería diferente?</w:t>
      </w:r>
    </w:p>
    <w:p w:rsidR="00F83F12" w:rsidRDefault="001C6219">
      <w:pPr>
        <w:numPr>
          <w:ilvl w:val="0"/>
          <w:numId w:val="84"/>
        </w:numPr>
      </w:pPr>
      <w:r>
        <w:t>¿De qué manera difiere esta opción del mecanismo de «financiación cruzada», tal como se define en el artículo 25 (</w:t>
      </w:r>
      <w:r>
        <w:rPr>
          <w:i/>
        </w:rPr>
        <w:t xml:space="preserve">«El FEDER y el FSE + podrán financiar, de forma complementaria y con un límite del 15 % de la ayuda de dichos Fondos </w:t>
      </w:r>
      <w:r>
        <w:rPr>
          <w:i/>
        </w:rPr>
        <w:lastRenderedPageBreak/>
        <w:t xml:space="preserve">para cada prioridad de un programa, la totalidad o parte de una operación cuyos costes puedan optar a la ayuda del otro Fondo sobre la base de las normas de subvencionabilidad aplicadas a dicho Fondo, siempre que dichos costes sean necesarios para </w:t>
      </w:r>
      <w:r w:rsidR="00503869">
        <w:rPr>
          <w:i/>
        </w:rPr>
        <w:t>la</w:t>
      </w:r>
      <w:r w:rsidR="00503869">
        <w:t xml:space="preserve"> ejecución</w:t>
      </w:r>
      <w:r>
        <w:t>»)?</w:t>
      </w:r>
    </w:p>
    <w:p w:rsidR="00F83F12" w:rsidRDefault="00F83F12"/>
    <w:p w:rsidR="00F83F12" w:rsidRDefault="001C6219">
      <w:pPr>
        <w:pStyle w:val="P68B1DB1-Normal4"/>
      </w:pPr>
      <w:r>
        <w:t>Respuesta.</w:t>
      </w:r>
    </w:p>
    <w:p w:rsidR="00F83F12" w:rsidRDefault="001C6219">
      <w:r>
        <w:t>El artículo 63, apartado 9, del RDC establece que una operación puede recibir ayuda de uno o varios Fondos o de uno o varios programas y de otros instrumentos de la Unión, siempre que el mismo gasto se declare a la Comisión una sola vez. Ofrece la posibilidad de acumular ayuda procedente de diferentes Fondos en el marco del RDC (el FEDER, el FSE +, el FTJ, el FEMPA, el FAMI, el FSI y el IGFV) y de otros instrumentos de la Unión. Los gastos que deban incluirse en las solicitudes de pago podrán calcularse a prorrata.</w:t>
      </w:r>
    </w:p>
    <w:p w:rsidR="00F83F12" w:rsidRDefault="001C6219">
      <w:r>
        <w:t>Los servicios de la Comisión están preparando actualmente orientaciones con soluciones operativas y elementos de aplicación práctica que serían especialmente útiles para que las autoridades de gestión decidan permitir este apoyo combinado a las operaciones de sinergia. Las orientaciones sobre sinergias abordarán las cuestiones planteadas.</w:t>
      </w:r>
    </w:p>
    <w:p w:rsidR="00F83F12" w:rsidRDefault="001C6219">
      <w:r>
        <w:t xml:space="preserve">La financiación cruzada en virtud del artículo 25, apartado 2, del RDC permite al FEDER y al FSE + financiar la totalidad o parte de una operación cuyos costes sean subvencionables por el otro Fondo. A diferencia de 2014-2020, el artículo 25, apartado 2, del RDC 2021-2027 permite la financiación complementaria de toda una operación. Las cuestiones relacionadas con la financiación cruzada se han explicado en </w:t>
      </w:r>
      <w:r w:rsidR="0054633B">
        <w:t>la</w:t>
      </w:r>
      <w:r>
        <w:t xml:space="preserve"> </w:t>
      </w:r>
      <w:hyperlink r:id="rId472" w:history="1">
        <w:r w:rsidR="0054633B">
          <w:rPr>
            <w:rStyle w:val="Hipervnculo"/>
          </w:rPr>
          <w:t>QA</w:t>
        </w:r>
        <w:r>
          <w:rPr>
            <w:rStyle w:val="Hipervnculo"/>
          </w:rPr>
          <w:t>00026</w:t>
        </w:r>
      </w:hyperlink>
      <w:r>
        <w:t>.</w:t>
      </w:r>
    </w:p>
    <w:p w:rsidR="00F83F12" w:rsidRDefault="00F83F12"/>
    <w:p w:rsidR="00F83F12" w:rsidRDefault="00F83F12"/>
    <w:p w:rsidR="00F83F12" w:rsidRDefault="001C6219">
      <w:pPr>
        <w:pStyle w:val="Ttulo1"/>
      </w:pPr>
      <w:bookmarkStart w:id="205" w:name="scroll-bookmark-209"/>
      <w:bookmarkStart w:id="206" w:name="scroll-bookmark-210"/>
      <w:bookmarkEnd w:id="205"/>
      <w:r>
        <w:t>QA00117 — Aclaración relativa a los anexos XXIII (solicitud de pago) y XXIV (cuentas) del RDC en el período de programación 2021-2027</w:t>
      </w:r>
      <w:bookmarkEnd w:id="206"/>
    </w:p>
    <w:p w:rsidR="00F83F12" w:rsidRDefault="001C6219">
      <w:r>
        <w:rPr>
          <w:noProof/>
          <w:lang w:val="es-ES"/>
        </w:rPr>
        <w:drawing>
          <wp:inline distT="0" distB="0" distL="0" distR="0" wp14:anchorId="2CB3CCDA" wp14:editId="08C6A502">
            <wp:extent cx="152435" cy="152435"/>
            <wp:effectExtent l="0" t="0" r="0" b="0"/>
            <wp:docPr id="100415" name="Imagen 1004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 91, 94 y 95 del RDC</w:t>
      </w:r>
    </w:p>
    <w:p w:rsidR="00F83F12" w:rsidRDefault="001C6219">
      <w:r>
        <w:t>Anexo XXIII (Solicitud de pago), anexo XXIV (Cuentas)</w:t>
      </w:r>
    </w:p>
    <w:p w:rsidR="00F83F12" w:rsidRDefault="001C6219">
      <w:r>
        <w:rPr>
          <w:noProof/>
          <w:lang w:val="es-ES"/>
        </w:rPr>
        <w:drawing>
          <wp:inline distT="0" distB="0" distL="0" distR="0" wp14:anchorId="47B50116" wp14:editId="05F78E26">
            <wp:extent cx="152435" cy="152435"/>
            <wp:effectExtent l="0" t="0" r="0" b="0"/>
            <wp:docPr id="100417" name="Imagen 1004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t>Pregunta 1 (incluidos los hechos e información pertinentes):</w:t>
      </w:r>
    </w:p>
    <w:p w:rsidR="00F83F12" w:rsidRDefault="001C6219">
      <w:pPr>
        <w:pStyle w:val="P68B1DB1-Normal8"/>
      </w:pPr>
      <w:r>
        <w:t>Solicitud de pago — Anexo XXIII</w:t>
      </w:r>
    </w:p>
    <w:p w:rsidR="00F83F12" w:rsidRDefault="001C6219">
      <w:pPr>
        <w:pStyle w:val="P68B1DB1-Normal4"/>
      </w:pPr>
      <w:r>
        <w:t>Cuadro «Gastos desglosados por prioridad y, en su caso, por categoría de región según se anotan en las cuentas del organismo que desempeña la función de contabilidad»</w:t>
      </w:r>
    </w:p>
    <w:p w:rsidR="00F83F12" w:rsidRDefault="00F83F12"/>
    <w:p w:rsidR="00F83F12" w:rsidRDefault="001C6219">
      <w:pPr>
        <w:pStyle w:val="P68B1DB1-Normal8"/>
      </w:pPr>
      <w:r>
        <w:t>Solicitud de pago — Anexo XXIII</w:t>
      </w:r>
    </w:p>
    <w:p w:rsidR="00F83F12" w:rsidRDefault="001C6219">
      <w:pPr>
        <w:pStyle w:val="P68B1DB1-Normal4"/>
      </w:pPr>
      <w:r>
        <w:lastRenderedPageBreak/>
        <w:t>(1) Cuadro «Gastos desglosados por prioridad y, en su caso, por categoría de región según se anotan en las cuentas del organismo que desempeña la función de contabilidad»</w:t>
      </w:r>
    </w:p>
    <w:p w:rsidR="00F83F12" w:rsidRDefault="001C6219">
      <w:r>
        <w:t>a) No está claro si los importes de las columnas B y E se excluyen mutuamente con los importes de la columna C, es decir, los importes con arreglo al artículo 91 (4) (a), (b) (artículos 94 y 95) también deben incluirse en la columna B (Total) y en la columna E (Total público)?</w:t>
      </w:r>
    </w:p>
    <w:p w:rsidR="00F83F12" w:rsidRDefault="001C6219">
      <w:r>
        <w:t>b) El título de la columna C sugiere que solo debe incluirse el importe de la contribución de la UE; sin embargo, de acuerdo con la lógica subyacente del cálculo del pago (aplicación del porcentaje de cofinanciación de la prioridad a la base de cálculo en la columna A), sería más adecuado presentar el importe de la base de cálculo pertinente (total o total público), ¿es correcta nuestra interpretación?</w:t>
      </w:r>
    </w:p>
    <w:p w:rsidR="00F83F12" w:rsidRDefault="001C6219">
      <w:r>
        <w:t>lo mismo ocurre con la columna D (tanto alzado para la asistencia técnica), en la que no está claro si debe presentarse la contribución pública de la UE, total o total.</w:t>
      </w:r>
    </w:p>
    <w:p w:rsidR="00F83F12" w:rsidRDefault="00F83F12"/>
    <w:p w:rsidR="00F83F12" w:rsidRDefault="001C6219">
      <w:pPr>
        <w:pStyle w:val="P68B1DB1-Normal4"/>
      </w:pPr>
      <w:r>
        <w:t>(2) Apéndice 2 — Información sobre los gastos vinculados a objetivos específicos para los que no se cumplen las condiciones favorecedoras, con excepción de las operaciones que contribuyen al cumplimiento de las condiciones favorables (acumulativas desde el inicio del período de programación)</w:t>
      </w:r>
    </w:p>
    <w:p w:rsidR="00F83F12" w:rsidRDefault="001C6219">
      <w:r>
        <w:t>De conformidad con el artículo 15, apartado 5, o (6), el Estado miembro podrá incluir los gastos relacionados con el pliego de cargos para los que no se cumplan las condiciones favorables en las solicitudes de pago. Estos importes no se incluirán en el cuadro «Gastos desglosados por prioridad y, en su caso, por categoría de región según lo anotado en las cuentas del organismo que desempeña la función de contabilidad», sino que se incluirán en el apéndice 2 (columnas B y C), por lo que no se reembolsarán hasta que se cumpla la condición favorable, pero se tendrán en cuenta para la norma N + 3.</w:t>
      </w:r>
    </w:p>
    <w:p w:rsidR="00F83F12" w:rsidRDefault="00F83F12"/>
    <w:p w:rsidR="00F83F12" w:rsidRDefault="001C6219">
      <w:r>
        <w:t>Lo que es menos claro es el procedimiento una vez que se cumple la condición favorable. Por ejemplo, el Estado miembro presentará su primera solicitud de pago cuando 10 millones EUR del gasto estén relacionados con el incumplimiento de las condiciones favorables (columnas B y C del apéndice 2) y 90 millones EUR del gasto estén relacionados con condiciones favorables cumplidas (columnas D y E del apéndice 2). Posteriormente, pongamos su opinión antes de la presentación de la segunda solicitud de pago (AP), todas las condiciones favorables. Los nuevos gastos que deben presentarse en la segunda solicitud de pago ascienden a 200 millones EUR (todos ellos vinculados al cumplimiento de las condiciones favorables). ¿Debe añadirse el importe de 10 millones EUR previamente declarado únicamente en el apéndice 2 como vinculado al incumplimiento de las condiciones favorecedoras al nuevo gasto en el cuadro «Gastos desglosados por prioridad y, en su caso, por categoría de región según lo anotado en las cuentas del organismo que desempeña la función de contabilidad» en el 2.º OP o no? En caso negativo, ¿añadirá y reembolsará la Comisión este importe además del importe que se obtendría del cálculo de los pagos estándar sobre la base de los importes del cuadro Gastos desglosados por prioridad y, en su caso, por categoría de región, según lo anotado en las cuentas del organismo que desempeña la función de contabilidad?</w:t>
      </w:r>
    </w:p>
    <w:p w:rsidR="00F83F12" w:rsidRDefault="00F83F12"/>
    <w:p w:rsidR="00F83F12" w:rsidRDefault="001C6219">
      <w:pPr>
        <w:pStyle w:val="P68B1DB1-Normal4"/>
      </w:pPr>
      <w:r>
        <w:t>(3) Cuentas — Anexo XXIV</w:t>
      </w:r>
    </w:p>
    <w:p w:rsidR="00F83F12" w:rsidRDefault="001C6219">
      <w:pPr>
        <w:pStyle w:val="P68B1DB1-Normal4"/>
      </w:pPr>
      <w:r>
        <w:t> Apéndice 1 — Importes anotados en los sistemas contables de la función de contabilidad</w:t>
      </w:r>
    </w:p>
    <w:p w:rsidR="00F83F12" w:rsidRDefault="001C6219">
      <w:r>
        <w:t>En comparación con el cuadro Gastos desglosados por prioridad y, en su caso, por categoría de región, tal como figuran en las cuentas del organismo que desempeña la función de contabilidad, no existe una columna específica para la declaración de los importes de conformidad con el artículo 94 y 95, ¿podría explicar por qué no es necesario declarar el artículo 94 y 95 por separado en las cuentas? ¿Entendemos correctamente que los importes con arreglo al artículo 94 y 95 deben incluirse en las columnas A y C?</w:t>
      </w:r>
    </w:p>
    <w:p w:rsidR="00F83F12" w:rsidRDefault="00F83F12"/>
    <w:p w:rsidR="00F83F12" w:rsidRDefault="00F83F12"/>
    <w:p w:rsidR="00F83F12" w:rsidRDefault="001C6219">
      <w:pPr>
        <w:pStyle w:val="P68B1DB1-Normal8"/>
      </w:pPr>
      <w:r>
        <w:t>Respuesta.</w:t>
      </w:r>
    </w:p>
    <w:p w:rsidR="00F83F12" w:rsidRDefault="001C6219">
      <w:pPr>
        <w:pStyle w:val="P68B1DB1-Normal4"/>
      </w:pPr>
      <w:r>
        <w:t>Cuestión 1 a)</w:t>
      </w:r>
    </w:p>
    <w:p w:rsidR="00F83F12" w:rsidRDefault="001C6219">
      <w:pPr>
        <w:pStyle w:val="P68B1DB1-Normal16"/>
      </w:pPr>
      <w:r>
        <w:t>Esta respuesta se actualizó el 23 de abril de 2024. Los cambios se toleran.</w:t>
      </w:r>
    </w:p>
    <w:p w:rsidR="00F83F12" w:rsidRDefault="001C6219">
      <w:r>
        <w:t>Los importes de las columnas B y C se excluyen mutuamente.</w:t>
      </w:r>
    </w:p>
    <w:p w:rsidR="00F83F12" w:rsidRDefault="001C6219">
      <w:r>
        <w:t>La columna C debe incluir los gastos subvencionables cuando la contribución de la Unión se realice de conformidad con el artículo 51, letra a), letras c), d) y e), del RDC. Estos corresponden al gasto total subvencionable incluido en las solicitudes de pago con arreglo al artículo 91, apartado 4, letra a), y letra b), del RDC.</w:t>
      </w:r>
    </w:p>
    <w:p w:rsidR="00F83F12" w:rsidRDefault="001C6219">
      <w:r>
        <w:t>La columna B debe incluir todos los gastos declarados relacionados con el cumplimiento de las condiciones favorables o que contribuyan a su cumplimiento, con excepción del importe a tanto alzado de la asistencia técnica (cuando proceda, calculado en la columna D) y los gastos subvencionables incluidos en la columna C.</w:t>
      </w:r>
    </w:p>
    <w:p w:rsidR="00F83F12" w:rsidRDefault="001C6219">
      <w:r>
        <w:t>Los importes reembolsados al beneficiario en los casos contemplados en el artículo 91, apartado 4, letra a), y letra b), del RDC consignados en la columna C no se incluirán en la columna B para evitar la doble financiación del mismo gasto.</w:t>
      </w:r>
    </w:p>
    <w:p w:rsidR="00F83F12" w:rsidRDefault="001C6219">
      <w:r>
        <w:t>En caso de que una parte del gasto de la operación se declare a la Comisión sobre la base de los gastos subvencionables contraídos por el beneficiario y pagados en la ejecución de la operación, y otra parte esté cubierta por un régimen de OCS/FNLC acordado entre la Comisión e incluido en el programa, el gasto de dicha operación se incluirá parcialmente en la columna B y parcialmente en la columna C de las solicitudes de pago.</w:t>
      </w:r>
    </w:p>
    <w:p w:rsidR="00F83F12" w:rsidRDefault="001C6219">
      <w:r>
        <w:t>Las columnas E y C no se excluyen mutuamente. El gasto de la columna E cubre la contribución pública, tal como se define en el artículo 2, apartado 28, del RDC, independientemente de la forma de la contribución de la Unión, y debe cumplimentarse</w:t>
      </w:r>
      <w:r>
        <w:rPr>
          <w:strike/>
        </w:rPr>
        <w:t>. En su caso, en consonancia con el programa (se cumplimenta la columna E o las columnas B + C</w:t>
      </w:r>
      <w:r>
        <w:t>).</w:t>
      </w:r>
    </w:p>
    <w:p w:rsidR="00F83F12" w:rsidRDefault="00F83F12"/>
    <w:p w:rsidR="00F83F12" w:rsidRDefault="001C6219">
      <w:pPr>
        <w:pStyle w:val="P68B1DB1-Normal4"/>
      </w:pPr>
      <w:r>
        <w:t>Sobre la cuestión 1, letra b)</w:t>
      </w:r>
    </w:p>
    <w:p w:rsidR="00F83F12" w:rsidRDefault="001C6219">
      <w:r>
        <w:lastRenderedPageBreak/>
        <w:t>Su interpretación es correcta. La columna C debe incluir el gasto total subvencionable cuando la contribución de la Unión se realice de conformidad con el artículo 51, letra a), letras c), d) y e), del RDC. Esto está vinculado a los importes aprobados en el programa [artículo 94, apartado 3, o 95 (2) del RDC] o establecidos en un acto delegado [artículo 94, apartado 4, o 95 (4) del RDC].</w:t>
      </w:r>
    </w:p>
    <w:p w:rsidR="00F83F12" w:rsidRDefault="00F83F12"/>
    <w:p w:rsidR="00F83F12" w:rsidRDefault="001C6219">
      <w:pPr>
        <w:pStyle w:val="P68B1DB1-Normal4"/>
      </w:pPr>
      <w:r>
        <w:t>Pregunta 1c)</w:t>
      </w:r>
    </w:p>
    <w:p w:rsidR="00F83F12" w:rsidRDefault="001C6219">
      <w:r>
        <w:t>Los importes de la columna D serán calculados automáticamente por SFC2021, aplicando los porcentajes a tanto alzado de asistencia técnica resultantes del plan de financiación del programa (cuadro 11), bien a la suma de los importes de las columnas B y C (cuando los programas hayan elegido el gasto subvencionable total), bien al importe de la columna E (cuando los programas hayan optado por la contribución pública).</w:t>
      </w:r>
    </w:p>
    <w:p w:rsidR="00F83F12" w:rsidRDefault="00F83F12"/>
    <w:p w:rsidR="00F83F12" w:rsidRDefault="001C6219">
      <w:pPr>
        <w:pStyle w:val="P68B1DB1-Normal4"/>
      </w:pPr>
      <w:r>
        <w:t>Pregunta 2</w:t>
      </w:r>
    </w:p>
    <w:p w:rsidR="00F83F12" w:rsidRDefault="001C6219">
      <w:r>
        <w:t>Cuando se cumpla la condición favorable, los gastos inicialmente incluidos en el apéndice 2 de la solicitud de pago (columnas B y C) deben incluirse en el cuadro «Gastos desglosados por prioridad y, en su caso, por categoría de región, tal como figuren en las cuentas del organismo que desempeña la función de contabilidad» de la siguiente solicitud de pago. El cálculo de los importes que debe reembolsar la Comisión se basa en los importes incluidos en este cuadro.</w:t>
      </w:r>
    </w:p>
    <w:p w:rsidR="00F83F12" w:rsidRDefault="00F83F12"/>
    <w:p w:rsidR="00F83F12" w:rsidRDefault="001C6219">
      <w:pPr>
        <w:pStyle w:val="P68B1DB1-Normal4"/>
      </w:pPr>
      <w:r>
        <w:t>Pregunta 3</w:t>
      </w:r>
    </w:p>
    <w:p w:rsidR="00F83F12" w:rsidRDefault="001C6219">
      <w:r>
        <w:t>La columna A de la plantilla de cuentas corresponde a la suma de las columnas B y C de la plantilla para las solicitudes de pago.</w:t>
      </w:r>
    </w:p>
    <w:p w:rsidR="00F83F12" w:rsidRDefault="00F83F12"/>
    <w:p w:rsidR="00F83F12" w:rsidRDefault="00F83F12"/>
    <w:p w:rsidR="00F83F12" w:rsidRDefault="001C6219">
      <w:pPr>
        <w:pStyle w:val="Ttulo1"/>
      </w:pPr>
      <w:bookmarkStart w:id="207" w:name="scroll-bookmark-211"/>
      <w:bookmarkStart w:id="208" w:name="scroll-bookmark-212"/>
      <w:bookmarkEnd w:id="207"/>
      <w:r>
        <w:t>QA00118 — Revisión intermedia y apoyo del FSE + a la privación material</w:t>
      </w:r>
      <w:bookmarkEnd w:id="208"/>
    </w:p>
    <w:p w:rsidR="00F83F12" w:rsidRDefault="001C6219">
      <w:r>
        <w:rPr>
          <w:noProof/>
          <w:lang w:val="es-ES"/>
        </w:rPr>
        <w:drawing>
          <wp:inline distT="0" distB="0" distL="0" distR="0" wp14:anchorId="05150387" wp14:editId="1234FC9B">
            <wp:extent cx="152435" cy="152435"/>
            <wp:effectExtent l="0" t="0" r="0" b="0"/>
            <wp:docPr id="100419" name="Imagen 1004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 16 (2) y 18 del RDC</w:t>
      </w:r>
    </w:p>
    <w:p w:rsidR="00F83F12" w:rsidRDefault="001C6219">
      <w:r>
        <w:rPr>
          <w:noProof/>
          <w:lang w:val="es-ES"/>
        </w:rPr>
        <w:drawing>
          <wp:inline distT="0" distB="0" distL="0" distR="0" wp14:anchorId="15CB8062" wp14:editId="3B08DA50">
            <wp:extent cx="152435" cy="152435"/>
            <wp:effectExtent l="0" t="0" r="0" b="0"/>
            <wp:docPr id="100421" name="Imagen 1004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F83F12"/>
    <w:p w:rsidR="00F83F12" w:rsidRDefault="001C6219">
      <w:pPr>
        <w:pStyle w:val="P68B1DB1-Normal4"/>
      </w:pPr>
      <w:r>
        <w:br/>
        <w:t>Pregunta 1 (incluidos los hechos e información pertinentes):</w:t>
      </w:r>
    </w:p>
    <w:p w:rsidR="00F83F12" w:rsidRDefault="001C6219">
      <w:r>
        <w:t>Los Estados miembros desearían disponer de un programa separado del FSE + para los OE (m). ¿Se someterá este programa a la revisión intermedia (es decir, es obligatorio)?</w:t>
      </w:r>
    </w:p>
    <w:p w:rsidR="00F83F12" w:rsidRDefault="001C6219">
      <w:r>
        <w:lastRenderedPageBreak/>
        <w:t xml:space="preserve">La AG considera que la revisión intermedia se deriva del marco de rendimiento. La AG considera que el artículo 18, apartado 1, del RDC no se refiere al programa del antiguo FEAD, </w:t>
      </w:r>
      <w:r w:rsidR="002F3719">
        <w:t xml:space="preserve">ya que, </w:t>
      </w:r>
      <w:r>
        <w:t>el artículo 16, apartado 2, excluye el objetivo específico «m) de abordar la privación material» de tener hitos y metas. Así pues, la AG no ve la obligación de llevar a cabo una revisión intermedia del programa y ha preguntado si existe alguna orientación o documento que indique lo contrario.</w:t>
      </w:r>
    </w:p>
    <w:p w:rsidR="00F83F12" w:rsidRDefault="00F83F12"/>
    <w:p w:rsidR="00F83F12" w:rsidRDefault="001C6219">
      <w:pPr>
        <w:pStyle w:val="P68B1DB1-Normal4"/>
      </w:pPr>
      <w:r>
        <w:t>Respuesta.</w:t>
      </w:r>
    </w:p>
    <w:p w:rsidR="00F83F12" w:rsidRDefault="001C6219">
      <w:r>
        <w:t>El artículo 18, apartado 1, del Reglamento (UE) 2021/1060 (RDC) establece que la revisión intermedia se aplicará a los programas apoyados por el FEDER, el FSE +, el Fondo de Cohesión y el FTJ. Por lo tanto, dado que no se prevé ninguna excepción para los programas (o prioridades) del FSE + dedicados a apoyar el objetivo específico establecido en el artículo 4, apartado 1, letra m) [objetivo específico «m)»] del Reglamento (UE) 2021/1057 (Reglamento del FSE +), esta revisión intermedia también se aplicará a este objetivo específico y abarcará este objetivo específico.</w:t>
      </w:r>
    </w:p>
    <w:p w:rsidR="00F83F12" w:rsidRDefault="001C6219">
      <w:r>
        <w:t>El progreso en la consecución de los hitos fijados para los objetivos específicos de un programa es solo uno de los varios aspectos establecidos en el artículo 18, apartado 1, del RDC, que deben tenerse en cuenta durante la revisión intermedia.</w:t>
      </w:r>
    </w:p>
    <w:p w:rsidR="00F83F12" w:rsidRDefault="001C6219">
      <w:r>
        <w:t>Por lo tanto, aunque un objetivo específico (m) en programas o prioridades está exento de la obligación de establecer hitos y objetivos para los indicadores (artículo 16, apartado 2, del RDC), existen otros elementos que deben tenerse en cuenta para la revisión intermedia.</w:t>
      </w:r>
    </w:p>
    <w:p w:rsidR="00F83F12" w:rsidRDefault="001C6219">
      <w:r>
        <w:t>Por último, aunque no se han fijado hitos para el objetivo específico (m), sigue siendo posible evaluar la ejecución de este objetivo específico, en particular, sobre la base de los datos notificados para los indicadores aplicables al objetivo específico (m).</w:t>
      </w:r>
    </w:p>
    <w:p w:rsidR="00F83F12" w:rsidRDefault="00F83F12"/>
    <w:p w:rsidR="00F83F12" w:rsidRDefault="00F83F12"/>
    <w:p w:rsidR="00F83F12" w:rsidRDefault="001C6219">
      <w:pPr>
        <w:pStyle w:val="Ttulo1"/>
      </w:pPr>
      <w:bookmarkStart w:id="209" w:name="scroll-bookmark-213"/>
      <w:bookmarkStart w:id="210" w:name="scroll-bookmark-214"/>
      <w:bookmarkEnd w:id="209"/>
      <w:r>
        <w:t>QA00119 — Disposiciones sobre visibilidad, transparencia y comunicación y objetivo específico para abordar la privación material en el marco del FSE +</w:t>
      </w:r>
      <w:bookmarkEnd w:id="210"/>
    </w:p>
    <w:p w:rsidR="00F83F12" w:rsidRDefault="001C6219">
      <w:r>
        <w:rPr>
          <w:noProof/>
          <w:lang w:val="es-ES"/>
        </w:rPr>
        <w:drawing>
          <wp:inline distT="0" distB="0" distL="0" distR="0" wp14:anchorId="5DABF711" wp14:editId="2932365F">
            <wp:extent cx="152435" cy="152435"/>
            <wp:effectExtent l="0" t="0" r="0" b="0"/>
            <wp:docPr id="100423" name="Imagen 1004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del RDC</w:t>
      </w:r>
    </w:p>
    <w:p w:rsidR="00F83F12" w:rsidRDefault="001C6219">
      <w:r>
        <w:rPr>
          <w:noProof/>
          <w:lang w:val="es-ES"/>
        </w:rPr>
        <w:drawing>
          <wp:inline distT="0" distB="0" distL="0" distR="0" wp14:anchorId="065CA345" wp14:editId="2AF04FDB">
            <wp:extent cx="152435" cy="152435"/>
            <wp:effectExtent l="0" t="0" r="0" b="0"/>
            <wp:docPr id="100425" name="Imagen 1004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F83F12" w:rsidRDefault="001C6219">
      <w:r>
        <w:t> </w:t>
      </w:r>
    </w:p>
    <w:p w:rsidR="00F83F12" w:rsidRDefault="001C6219">
      <w:pPr>
        <w:pStyle w:val="P68B1DB1-Normal4"/>
      </w:pPr>
      <w:r>
        <w:t>Pregunta 1 (incluidos los hechos e información pertinentes):</w:t>
      </w:r>
    </w:p>
    <w:p w:rsidR="00F83F12" w:rsidRDefault="001C6219">
      <w:r>
        <w:t>Si el producto, como un cepillo de dientes, está en un envase individual, donde deben colocarse la bandera de la UE y la mención «cofinanciado por la UE» en el envase del producto o en el propio cepillo, que generalmente se vende en un envase?</w:t>
      </w:r>
    </w:p>
    <w:p w:rsidR="00F83F12" w:rsidRDefault="001C6219">
      <w:pPr>
        <w:pStyle w:val="P68B1DB1-Normal4"/>
      </w:pPr>
      <w:r>
        <w:t>Respuesta.</w:t>
      </w:r>
    </w:p>
    <w:p w:rsidR="00F83F12" w:rsidRDefault="001C6219">
      <w:r>
        <w:lastRenderedPageBreak/>
        <w:t xml:space="preserve">El artículo 50 del RDC exige que los beneficiarios reconozcan la ayuda de los Fondos a la operación. Además, impone obligaciones específicas a los beneficiarios a este respecto, </w:t>
      </w:r>
      <w:r>
        <w:rPr>
          <w:i/>
        </w:rPr>
        <w:t>entre otras cosas</w:t>
      </w:r>
      <w:r>
        <w:t>, exigiendo una declaración en la que se destaque la ayuda de los Fondos en documentos y material de comunicación sobre la operación. Sin embargo, esta disposición no exige que, en el caso de las operaciones subvencionadas en el marco del objetivo específico establecido en el artículo 4, apartado 1, letra m), del Reglamento del FSE +, los alimentos o los productos de asistencia material básica tengan una etiqueta que haga referencia a la ayuda de</w:t>
      </w:r>
      <w:r>
        <w:rPr>
          <w:b/>
        </w:rPr>
        <w:t xml:space="preserve"> </w:t>
      </w:r>
      <w:r>
        <w:t>la UE (los productos alimenticios no son «documentos»).</w:t>
      </w:r>
    </w:p>
    <w:p w:rsidR="00F83F12" w:rsidRDefault="001C6219">
      <w:pPr>
        <w:pStyle w:val="P68B1DB1-Normal4"/>
      </w:pPr>
      <w:r>
        <w:t>Pregunta 2 (incluidos los hechos e información pertinentes):</w:t>
      </w:r>
    </w:p>
    <w:p w:rsidR="00F83F12" w:rsidRDefault="001C6219">
      <w:r>
        <w:t>En el caso de la ayuda concedida en forma de almuerzo caliente (en la mayoría de los casos, se proporciona en envases desechables, pero también hay casos en los que se suministra en contenedores a los destinatarios finales? Teniendo en cuenta que el producto es un almuerzo caliente y se coloca en diferentes envases o recipientes, ¿debería haber una visualización y cómo?</w:t>
      </w:r>
    </w:p>
    <w:p w:rsidR="00F83F12" w:rsidRDefault="00F83F12"/>
    <w:p w:rsidR="00F83F12" w:rsidRDefault="001C6219">
      <w:pPr>
        <w:pStyle w:val="P68B1DB1-Normal4"/>
      </w:pPr>
      <w:r>
        <w:t>Respuesta.</w:t>
      </w:r>
    </w:p>
    <w:p w:rsidR="00F83F12" w:rsidRDefault="001C6219">
      <w:r>
        <w:t>Como se ha explicado anteriormente, el artículo 50 del RDC ofrece flexibilidad a los Estados miembros sobre cómo destacar el apoyo a los beneficiarios finales de las operaciones en el marco del objetivo específico establecido en el artículo 4, apartado 1, letra m), del Reglamento del FSE +. El RDC no exige que los productos alimenticios y la asistencia material básica lleven una etiqueta que haga referencia al apoyo prestado por la UE. El beneficiario debe utilizar otros medios para informar a los destinatarios finales de la ayuda proporcionada por la UE que no dé lugar a su estigmatización (por ejemplo, documentación que acompañe a la distribución de la ayuda).</w:t>
      </w:r>
    </w:p>
    <w:p w:rsidR="00F83F12" w:rsidRDefault="001C6219">
      <w:r>
        <w:t> </w:t>
      </w:r>
    </w:p>
    <w:p w:rsidR="00F83F12" w:rsidRDefault="001C6219">
      <w:pPr>
        <w:pStyle w:val="P68B1DB1-Normal4"/>
      </w:pPr>
      <w:r>
        <w:t>Pregunta 3 (incluidos los hechos e información pertinentes):</w:t>
      </w:r>
    </w:p>
    <w:p w:rsidR="00F83F12" w:rsidRDefault="001C6219">
      <w:r>
        <w:t>En el caso de la ayuda proporcionada mediante vales o tarjetas para la cocina infantil, ¿debe visualizarse el bono o la tarjeta? En nuestra opinión, es necesario visualizar el bono o la tarjeta con la bandera de la UE y la inscripción «cofinanciado por la UE». ¿Es esto suficiente para seguir las normas de visualización?</w:t>
      </w:r>
    </w:p>
    <w:p w:rsidR="00F83F12" w:rsidRDefault="001C6219">
      <w:pPr>
        <w:pStyle w:val="P68B1DB1-Normal4"/>
      </w:pPr>
      <w:r>
        <w:t>Respuesta.</w:t>
      </w:r>
    </w:p>
    <w:p w:rsidR="00F83F12" w:rsidRDefault="001C6219">
      <w:r>
        <w:t>Los bonos o tarjetas son «documentos» en el sentido del artículo 50, apartado 1, letra b), por lo que deben referirse al apoyo prestado por la UE. Esto puede hacerse utilizando el emblema de la Unión e incluyendo una declaración relativa a «Financiado por la Unión Europea» o «Cofinanciado por la Unión Europea», tal como se establece en el artículo 49 y en el anexo IX del RDC.</w:t>
      </w:r>
    </w:p>
    <w:p w:rsidR="00F83F12" w:rsidRDefault="00F83F12"/>
    <w:p w:rsidR="00F83F12" w:rsidRDefault="00F83F12"/>
    <w:p w:rsidR="00F83F12" w:rsidRDefault="001C6219">
      <w:pPr>
        <w:pStyle w:val="Ttulo1"/>
      </w:pPr>
      <w:bookmarkStart w:id="211" w:name="scroll-bookmark-215"/>
      <w:bookmarkStart w:id="212" w:name="scroll-bookmark-216"/>
      <w:bookmarkEnd w:id="211"/>
      <w:r>
        <w:lastRenderedPageBreak/>
        <w:t>QA00120 — Regeneración y descontaminación de antiguas zonas industriales — proyectos de reorientación</w:t>
      </w:r>
      <w:bookmarkEnd w:id="212"/>
    </w:p>
    <w:p w:rsidR="00F83F12" w:rsidRDefault="00FC0FB1">
      <w:hyperlink r:id="rId473" w:history="1">
        <w:r w:rsidR="001C6219">
          <w:rPr>
            <w:rStyle w:val="Hipervnculo"/>
          </w:rPr>
          <w:t>FTJ — UE 2021/1056 — artículo 8 — Ámbito de aplicación de la ayuda</w:t>
        </w:r>
      </w:hyperlink>
    </w:p>
    <w:p w:rsidR="00F83F12" w:rsidRDefault="001C6219">
      <w:r>
        <w:rPr>
          <w:noProof/>
          <w:lang w:val="es-ES"/>
        </w:rPr>
        <w:drawing>
          <wp:inline distT="0" distB="0" distL="0" distR="0" wp14:anchorId="60344A77" wp14:editId="5119A320">
            <wp:extent cx="152435" cy="152435"/>
            <wp:effectExtent l="0" t="0" r="0" b="0"/>
            <wp:docPr id="100427" name="Imagen 1004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8 (2) (I) del Reglamento del FTJ</w:t>
      </w:r>
    </w:p>
    <w:p w:rsidR="00F83F12" w:rsidRDefault="001C6219">
      <w:r>
        <w:rPr>
          <w:noProof/>
          <w:lang w:val="es-ES"/>
        </w:rPr>
        <w:drawing>
          <wp:inline distT="0" distB="0" distL="0" distR="0" wp14:anchorId="5F93F20B" wp14:editId="49B96DA8">
            <wp:extent cx="152435" cy="152435"/>
            <wp:effectExtent l="0" t="0" r="0" b="0"/>
            <wp:docPr id="100429" name="Imagen 1004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br/>
        <w:t>Pregunta 1 (incluidos los hechos e información pertinentes):</w:t>
      </w:r>
    </w:p>
    <w:p w:rsidR="00F83F12" w:rsidRDefault="001C6219">
      <w:r>
        <w:t>Nos gustaría confirmar la interpretación del artículo 8 (2) (i) del Reglamento del FTJ. Este artículo permite apoyar «</w:t>
      </w:r>
      <w:r w:rsidR="00503869">
        <w:t>las</w:t>
      </w:r>
      <w:r w:rsidR="00503869">
        <w:rPr>
          <w:i/>
        </w:rPr>
        <w:t xml:space="preserve"> inversiones</w:t>
      </w:r>
      <w:r>
        <w:rPr>
          <w:i/>
        </w:rPr>
        <w:t xml:space="preserve"> en regeneración y descontaminación de antiguas zonas industriales, la rehabilitación de tierras y, cuando sea necesario, proyectos de infraestructura verde y de reorientación, teniendo en cuenta el principio de «quien contamina paga»</w:t>
      </w:r>
      <w:r>
        <w:t>».</w:t>
      </w:r>
    </w:p>
    <w:p w:rsidR="00F83F12" w:rsidRDefault="001C6219">
      <w:r>
        <w:t>¿Existen limitaciones en lo que podemos considerar un proyecto de reorientación?</w:t>
      </w:r>
    </w:p>
    <w:p w:rsidR="00F83F12" w:rsidRDefault="001C6219">
      <w:r>
        <w:t>Creemos que podemos apoyar cualquier proyecto que cumpla las siguientes condiciones:</w:t>
      </w:r>
    </w:p>
    <w:p w:rsidR="00F83F12" w:rsidRDefault="001C6219">
      <w:pPr>
        <w:numPr>
          <w:ilvl w:val="0"/>
          <w:numId w:val="85"/>
        </w:numPr>
      </w:pPr>
      <w:r>
        <w:t>Cumple el objetivo del FTJ.</w:t>
      </w:r>
    </w:p>
    <w:p w:rsidR="00F83F12" w:rsidRDefault="001C6219">
      <w:pPr>
        <w:numPr>
          <w:ilvl w:val="0"/>
          <w:numId w:val="85"/>
        </w:numPr>
      </w:pPr>
      <w:r>
        <w:t>Contribuye a la aplicación del plan territorial de transición justa.</w:t>
      </w:r>
    </w:p>
    <w:p w:rsidR="00F83F12" w:rsidRDefault="001C6219">
      <w:pPr>
        <w:numPr>
          <w:ilvl w:val="0"/>
          <w:numId w:val="85"/>
        </w:numPr>
      </w:pPr>
      <w:r>
        <w:t>No está excluida de la ayuda en virtud del artículo 9 del Reglamento del FTJ.</w:t>
      </w:r>
    </w:p>
    <w:p w:rsidR="00F83F12" w:rsidRDefault="001C6219">
      <w:pPr>
        <w:numPr>
          <w:ilvl w:val="0"/>
          <w:numId w:val="85"/>
        </w:numPr>
      </w:pPr>
      <w:r>
        <w:t>Está ubicada en el lugar afectado por la minería del carbón o cualquier industria relacionada.</w:t>
      </w:r>
    </w:p>
    <w:p w:rsidR="00F83F12" w:rsidRDefault="001C6219">
      <w:pPr>
        <w:numPr>
          <w:ilvl w:val="0"/>
          <w:numId w:val="85"/>
        </w:numPr>
      </w:pPr>
      <w:r>
        <w:t>Dispone de autorización de ayudas estatales.</w:t>
      </w:r>
    </w:p>
    <w:p w:rsidR="00F83F12" w:rsidRDefault="001C6219">
      <w:pPr>
        <w:numPr>
          <w:ilvl w:val="0"/>
          <w:numId w:val="85"/>
        </w:numPr>
      </w:pPr>
      <w:r>
        <w:t>Las grandes empresas deben cumplir las condiciones para las inversiones productivas.</w:t>
      </w:r>
    </w:p>
    <w:p w:rsidR="00F83F12" w:rsidRDefault="001C6219">
      <w:pPr>
        <w:numPr>
          <w:ilvl w:val="0"/>
          <w:numId w:val="85"/>
        </w:numPr>
      </w:pPr>
      <w:r>
        <w:t>En la medida de lo posible, se recomienda utilizar edificios antiguos y patrimonio minero.</w:t>
      </w:r>
    </w:p>
    <w:p w:rsidR="00F83F12" w:rsidRDefault="001C6219">
      <w:r>
        <w:t>¿Podría confirmar que nuestra interpretación es correcta y que las siguientes actividades pueden considerarse un proyecto de reorientación?</w:t>
      </w:r>
    </w:p>
    <w:p w:rsidR="00F83F12" w:rsidRDefault="001C6219">
      <w:pPr>
        <w:numPr>
          <w:ilvl w:val="0"/>
          <w:numId w:val="86"/>
        </w:numPr>
      </w:pPr>
      <w:r>
        <w:t>Infraestructura técnica</w:t>
      </w:r>
    </w:p>
    <w:p w:rsidR="00F83F12" w:rsidRDefault="001C6219">
      <w:pPr>
        <w:numPr>
          <w:ilvl w:val="0"/>
          <w:numId w:val="86"/>
        </w:numPr>
      </w:pPr>
      <w:r>
        <w:t>Funciones públicas (educación, cultura, deporte y ocio)</w:t>
      </w:r>
    </w:p>
    <w:p w:rsidR="00F83F12" w:rsidRDefault="001C6219">
      <w:pPr>
        <w:numPr>
          <w:ilvl w:val="0"/>
          <w:numId w:val="86"/>
        </w:numPr>
      </w:pPr>
      <w:r>
        <w:t>I — D (centro de innovación, universidad)</w:t>
      </w:r>
    </w:p>
    <w:p w:rsidR="00F83F12" w:rsidRDefault="001C6219">
      <w:pPr>
        <w:numPr>
          <w:ilvl w:val="0"/>
          <w:numId w:val="86"/>
        </w:numPr>
      </w:pPr>
      <w:r>
        <w:t>Infraestructura para pymes o grandes empresas</w:t>
      </w:r>
    </w:p>
    <w:p w:rsidR="00F83F12" w:rsidRDefault="001C6219">
      <w:pPr>
        <w:numPr>
          <w:ilvl w:val="0"/>
          <w:numId w:val="86"/>
        </w:numPr>
      </w:pPr>
      <w:r>
        <w:t>Energías renovables</w:t>
      </w:r>
    </w:p>
    <w:p w:rsidR="00F83F12" w:rsidRDefault="001C6219">
      <w:pPr>
        <w:numPr>
          <w:ilvl w:val="0"/>
          <w:numId w:val="86"/>
        </w:numPr>
      </w:pPr>
      <w:r>
        <w:t>Vivienda</w:t>
      </w:r>
    </w:p>
    <w:p w:rsidR="00F83F12" w:rsidRDefault="001C6219">
      <w:pPr>
        <w:numPr>
          <w:ilvl w:val="0"/>
          <w:numId w:val="86"/>
        </w:numPr>
      </w:pPr>
      <w:r>
        <w:t>Residuos</w:t>
      </w:r>
    </w:p>
    <w:p w:rsidR="00F83F12" w:rsidRDefault="001C6219">
      <w:pPr>
        <w:numPr>
          <w:ilvl w:val="0"/>
          <w:numId w:val="86"/>
        </w:numPr>
      </w:pPr>
      <w:r>
        <w:t>Atracciones turísticas</w:t>
      </w:r>
    </w:p>
    <w:p w:rsidR="00F83F12" w:rsidRDefault="00F83F12"/>
    <w:p w:rsidR="00F83F12" w:rsidRDefault="001C6219">
      <w:pPr>
        <w:pStyle w:val="P68B1DB1-Normal4"/>
      </w:pPr>
      <w:r>
        <w:t>Respuesta.</w:t>
      </w:r>
    </w:p>
    <w:p w:rsidR="00F83F12" w:rsidRDefault="001C6219">
      <w:r>
        <w:t xml:space="preserve">De conformidad </w:t>
      </w:r>
      <w:hyperlink r:id="rId474" w:history="1">
        <w:r>
          <w:rPr>
            <w:rStyle w:val="Hipervnculo"/>
          </w:rPr>
          <w:t>con el artículo 8, apartado 2, letra i), del Reglamento del FTJ</w:t>
        </w:r>
      </w:hyperlink>
      <w:r>
        <w:t xml:space="preserve">, los proyectos de reorientación pueden </w:t>
      </w:r>
      <w:r>
        <w:rPr>
          <w:b/>
        </w:rPr>
        <w:t xml:space="preserve">ejecutarse, cuando sea </w:t>
      </w:r>
      <w:r>
        <w:t>necesario, como parte de las inversiones en regeneración y descontaminación de antiguas zonas industriales o la restauración de tierras. Esto significa que los proyectos de reorientación solo pueden ser subvencionables si dicha reorientación es necesaria para las inversiones subvencionables destinadas principalmente a la restauración o regeneración de tierras y a la descontaminación de antiguas zonas industriales (como la rehabilitación de minas total o parcialmente abandonadas, zonas de extracción de esquisto bituminoso o tierras de antiguas turberas e industrias intensivas en gases de efecto invernadero, teniendo en cuenta al mismo tiempo el principio de «quien contamina paga»).</w:t>
      </w:r>
    </w:p>
    <w:p w:rsidR="00F83F12" w:rsidRDefault="001C6219">
      <w:r>
        <w:t>El Reglamento del FTJ no restringe aún más el alcance de los proyectos de reorientación. No obstante, todo el apoyo prestado a través del FTJ debe entrar en el ámbito de aplicación de la ayuda del FTJ para ser subvencionable, lo que abarca también la reorientación de los proyectos necesarios para las actividades previstas en el artículo 8 (2) (i) del Reglamento del FTJ. Cuando un proyecto de reorientación sea necesario para la actividad prevista en el artículo 8 (2) (i) del Reglamento del FTJ, se aplicarán todas las condiciones de ayuda aplicables en virtud del RDC y del Reglamento del FTJ. En particular, debe estar en consonancia con el artículo 8 y 9 del Reglamento del FTJ, estar directamente vinculado al objetivo específico del FTJ y contribuir a la ejecución del plan territorial de transición justa, y debe justificarse por su contribución a la mitigación de los efectos de la transición y su vínculo con los retos de la transición identificados en el plan territorial de transición justa.</w:t>
      </w:r>
    </w:p>
    <w:p w:rsidR="00F83F12" w:rsidRDefault="001C6219">
      <w:r>
        <w:t>Por lo que se refiere a las actividades enumeradas en el último párrafo de su pregunta como posibles proyectos de reorientación, pueden, por tanto, poder optar a ayuda como parte de las inversiones en rehabilitación de tierras en el marco del FTJ si se cumplen las condiciones antes mencionadas. La Comisión evaluará las medidas concretas en el contexto del plan territorial de transición justa presentado.</w:t>
      </w:r>
    </w:p>
    <w:p w:rsidR="00F83F12" w:rsidRDefault="00F83F12"/>
    <w:p w:rsidR="00F83F12" w:rsidRDefault="00F83F12"/>
    <w:p w:rsidR="00F83F12" w:rsidRDefault="00F83F12"/>
    <w:p w:rsidR="00F83F12" w:rsidRDefault="001C6219">
      <w:pPr>
        <w:pStyle w:val="Ttulo1"/>
      </w:pPr>
      <w:bookmarkStart w:id="213" w:name="scroll-bookmark-217"/>
      <w:bookmarkStart w:id="214" w:name="scroll-bookmark-218"/>
      <w:bookmarkEnd w:id="213"/>
      <w:r>
        <w:t>QA00121 — Admisibilidad de las inversiones urbanas en el marco de la OP 5 SO e ii)</w:t>
      </w:r>
      <w:bookmarkEnd w:id="214"/>
    </w:p>
    <w:p w:rsidR="00F83F12" w:rsidRDefault="001C6219">
      <w:r>
        <w:rPr>
          <w:noProof/>
          <w:lang w:val="es-ES"/>
        </w:rPr>
        <w:drawing>
          <wp:inline distT="0" distB="0" distL="0" distR="0" wp14:anchorId="69B0A1D1" wp14:editId="383CBC52">
            <wp:extent cx="152435" cy="152435"/>
            <wp:effectExtent l="0" t="0" r="0" b="0"/>
            <wp:docPr id="100431" name="Imagen 1004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29 del RDC</w:t>
      </w:r>
    </w:p>
    <w:p w:rsidR="00F83F12" w:rsidRDefault="001C6219">
      <w:r>
        <w:rPr>
          <w:noProof/>
          <w:lang w:val="es-ES"/>
        </w:rPr>
        <w:drawing>
          <wp:inline distT="0" distB="0" distL="0" distR="0" wp14:anchorId="0D117720" wp14:editId="7213B83A">
            <wp:extent cx="152435" cy="152435"/>
            <wp:effectExtent l="0" t="0" r="0" b="0"/>
            <wp:docPr id="100433" name="Imagen 1004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F83F12" w:rsidRDefault="00F83F12"/>
    <w:p w:rsidR="00F83F12" w:rsidRDefault="001C6219">
      <w:pPr>
        <w:pStyle w:val="P68B1DB1-Normal4"/>
      </w:pPr>
      <w:r>
        <w:br/>
        <w:t>Pregunta 1 (incluidos los hechos e información pertinentes):</w:t>
      </w:r>
    </w:p>
    <w:p w:rsidR="00F83F12" w:rsidRDefault="001C6219">
      <w:r>
        <w:lastRenderedPageBreak/>
        <w:t>Las inversiones en zonas urbanas/funcionales urbanas están previstas en el enfoque de desarrollo territorial integrado e integradas en las estrategias de condado diseñadas para dirigirse tanto a las zonas urbanas más pequeñas (zonas urbanas urbanas/funcionales) como a las zonas rurales. Las zonas urbanas están compuestas por municipios y ciudades urbanas, pero también por unidades administrativas en zonas rurales (pueblos/municipios) situadas dentro de zonas urbanas funcionales. En el marco de estas estrategias territoriales no urbanas, ¿pueden optar a financiación las operaciones ubicadas dentro de las unidades administrativas urbanas (municipios y ciudades) en el marco del OE 5 e)?</w:t>
      </w:r>
    </w:p>
    <w:p w:rsidR="00F83F12" w:rsidRDefault="00F83F12"/>
    <w:p w:rsidR="00F83F12" w:rsidRDefault="001C6219">
      <w:pPr>
        <w:pStyle w:val="P68B1DB1-Normal4"/>
      </w:pPr>
      <w:r>
        <w:t>Respuesta.</w:t>
      </w:r>
    </w:p>
    <w:p w:rsidR="00F83F12" w:rsidRDefault="001C6219">
      <w:r>
        <w:t>La ayuda en el marco de los objetivos específicos del FEDER establecidos en el artículo 3 (1) (e) debe prestarse a través de estrategias de desarrollo territorial y local, a través de los instrumentos territoriales establecidos en el artículo 28 del RDC.</w:t>
      </w:r>
    </w:p>
    <w:p w:rsidR="00F83F12" w:rsidRDefault="001C6219">
      <w:r>
        <w:t>El territorio identificado al que se dirige la estrategia territorial constituye el ámbito geográfico de las inversiones en el marco de los objetivos específicos de que se trate.</w:t>
      </w:r>
    </w:p>
    <w:p w:rsidR="00F83F12" w:rsidRDefault="001C6219">
      <w:r>
        <w:t>En el marco del objetivo específico e (i), todas las medidas deben basarse en estrategias de desarrollo territorial o local centradas en las zonas urbanas, incluidas las zonas urbanas funcionales, y contribuir así a la asignación al desarrollo urbano sostenible establecida en el artículo 11 del FEDER.</w:t>
      </w:r>
    </w:p>
    <w:p w:rsidR="00F83F12" w:rsidRDefault="001C6219">
      <w:r>
        <w:t>En virtud del objetivo específico establecido en el artículo 3, apartado 1, letra e), inciso ii), del FEDER/FC (OE 5.2), el enfoque territorial de las estrategias de desarrollo territorial o local puede ser cualquier territorio no urbano situado por debajo del nivel del programa (subregiones, zonas funcionales), si la lógica de intervención del programa lo justifica. Estas estrategias territoriales no urbanas también pueden incluir el apoyo a las zonas urbanas, pero este apoyo en el marco del OE 5.2 no puede contabilizarse para la asignación urbana del 8 %.</w:t>
      </w:r>
    </w:p>
    <w:p w:rsidR="00F83F12" w:rsidRDefault="00F83F12"/>
    <w:p w:rsidR="00F83F12" w:rsidRDefault="00F83F12"/>
    <w:p w:rsidR="00F83F12" w:rsidRDefault="001C6219">
      <w:pPr>
        <w:pStyle w:val="Ttulo1"/>
      </w:pPr>
      <w:bookmarkStart w:id="215" w:name="scroll-bookmark-219"/>
      <w:bookmarkStart w:id="216" w:name="scroll-bookmark-220"/>
      <w:bookmarkEnd w:id="215"/>
      <w:r>
        <w:t>QA00122 — ¿Pueden recibir ayudas en virtud del objetivo específico 3.2 otros aeródromos distintos de los aeropuertos?</w:t>
      </w:r>
      <w:bookmarkEnd w:id="216"/>
    </w:p>
    <w:p w:rsidR="00F83F12" w:rsidRDefault="001C6219">
      <w:r>
        <w:rPr>
          <w:noProof/>
          <w:lang w:val="es-ES"/>
        </w:rPr>
        <w:drawing>
          <wp:inline distT="0" distB="0" distL="0" distR="0" wp14:anchorId="798F6C59" wp14:editId="0E3C861A">
            <wp:extent cx="152435" cy="152435"/>
            <wp:effectExtent l="0" t="0" r="0" b="0"/>
            <wp:docPr id="100435" name="Imagen 1004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F83F12" w:rsidRDefault="001C6219">
      <w:pPr>
        <w:numPr>
          <w:ilvl w:val="0"/>
          <w:numId w:val="87"/>
        </w:numPr>
      </w:pPr>
      <w:r>
        <w:t>Artículo 7, apartado (1), letra e), del Reglamento (CE) no 2021/1058</w:t>
      </w:r>
    </w:p>
    <w:p w:rsidR="00F83F12" w:rsidRDefault="001C6219">
      <w:pPr>
        <w:numPr>
          <w:ilvl w:val="0"/>
          <w:numId w:val="87"/>
        </w:numPr>
      </w:pPr>
      <w:r>
        <w:t>Puntos (144), (145), (146), (147) y (153) del artículo 2 del Reglamento (UE) n.º 651/2014</w:t>
      </w:r>
    </w:p>
    <w:p w:rsidR="00F83F12" w:rsidRDefault="001C6219">
      <w:pPr>
        <w:numPr>
          <w:ilvl w:val="0"/>
          <w:numId w:val="87"/>
        </w:numPr>
      </w:pPr>
      <w:r>
        <w:t>Artículo 3, punto 16, del Reglamento (CE) no 2018/1139</w:t>
      </w:r>
    </w:p>
    <w:p w:rsidR="00F83F12" w:rsidRDefault="001C6219">
      <w:pPr>
        <w:numPr>
          <w:ilvl w:val="0"/>
          <w:numId w:val="87"/>
        </w:numPr>
      </w:pPr>
      <w:r>
        <w:t>Artículo 2, puntos 4 y 7, del Reglamento 1008/2008</w:t>
      </w:r>
    </w:p>
    <w:p w:rsidR="00F83F12" w:rsidRDefault="001C6219">
      <w:r>
        <w:rPr>
          <w:noProof/>
          <w:lang w:val="es-ES"/>
        </w:rPr>
        <w:lastRenderedPageBreak/>
        <w:drawing>
          <wp:inline distT="0" distB="0" distL="0" distR="0" wp14:anchorId="42F138FC" wp14:editId="3B23F576">
            <wp:extent cx="152435" cy="152435"/>
            <wp:effectExtent l="0" t="0" r="0" b="0"/>
            <wp:docPr id="100437" name="Imagen 1004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br/>
        <w:t>Pregunta 1 (incluidos los hechos e información pertinentes):</w:t>
      </w:r>
    </w:p>
    <w:p w:rsidR="00F83F12" w:rsidRDefault="001C6219">
      <w:r>
        <w:t>Las autoridades polacas solicitaron ayuda a determinados tipos de aeródromos que no se utilizan para operaciones comerciales de compañías aéreas. El alcance de la inversión abarcaría todos los elementos posibles de infraestructura, incluidas pistas, plataformas, sistemas de navegación aérea y otras instalaciones, edificios y equipos utilizados para las operaciones y movimientos de aeronaves.</w:t>
      </w:r>
    </w:p>
    <w:p w:rsidR="00F83F12" w:rsidRDefault="001C6219">
      <w:r>
        <w:t xml:space="preserve">De conformidad con el artículo 7, apartado 1, letra e), del Reglamento (CE) no 2021/1058, el FEDER y el Fondo de Cohesión no </w:t>
      </w:r>
      <w:r>
        <w:rPr>
          <w:b/>
        </w:rPr>
        <w:t>apoyarán las inversiones en</w:t>
      </w:r>
      <w:r>
        <w:t xml:space="preserve"> infraestructuras aeroportuarias, salvo disposición en contrario del presente artículo. Las autoridades polacas observan que, siguiendo la terminología utilizada en la legislación internacional y de la UE en materia de aviación, el término «</w:t>
      </w:r>
      <w:r>
        <w:rPr>
          <w:b/>
        </w:rPr>
        <w:t>aeropuerto»</w:t>
      </w:r>
      <w:r>
        <w:t xml:space="preserve"> es más restringido que «</w:t>
      </w:r>
      <w:r>
        <w:rPr>
          <w:b/>
        </w:rPr>
        <w:t xml:space="preserve">aeródromo», ya </w:t>
      </w:r>
      <w:r>
        <w:t>que:</w:t>
      </w:r>
    </w:p>
    <w:p w:rsidR="00F83F12" w:rsidRDefault="001C6219">
      <w:pPr>
        <w:numPr>
          <w:ilvl w:val="0"/>
          <w:numId w:val="88"/>
        </w:numPr>
      </w:pPr>
      <w:r>
        <w:t>«aeródromo»: zona definida (incluidos edificios, instalaciones y equipos) destinada a ser utilizada para la llegada, salida y movimiento en superficie de las aeronaves [artículo 3, punto 16, del Reglamento (CE) n.º 2018/1139];</w:t>
      </w:r>
    </w:p>
    <w:p w:rsidR="00F83F12" w:rsidRDefault="001C6219">
      <w:pPr>
        <w:numPr>
          <w:ilvl w:val="0"/>
          <w:numId w:val="88"/>
        </w:numPr>
      </w:pPr>
      <w:r>
        <w:t xml:space="preserve">«aeropuerto»: cualquier zona de un Estado miembro especialmente adaptada a los servicios aéreos, es decir, un vuelo o una serie de vuelos que </w:t>
      </w:r>
      <w:r>
        <w:rPr>
          <w:u w:val="single"/>
        </w:rPr>
        <w:t>transporten pasajeros, carga o correo a cambio de remuneración o alquiler</w:t>
      </w:r>
      <w:r>
        <w:t xml:space="preserve"> (artículo 2, puntos 4 y 7, del Reglamento (CE) no 1008/2008).</w:t>
      </w:r>
    </w:p>
    <w:p w:rsidR="00F83F12" w:rsidRDefault="001C6219">
      <w:r>
        <w:t>Esto implica que la exclusión establecida en el artículo 7, apartado 1, letra e), del Reglamento (CE) no 2021/1058 no se aplica a los aeródromos que se utilizan para fines distintos del transporte comercial de pasajeros, carga o correo. Estos otros fines pueden consistir, por ejemplo, en:</w:t>
      </w:r>
    </w:p>
    <w:p w:rsidR="00F83F12" w:rsidRDefault="001C6219">
      <w:pPr>
        <w:numPr>
          <w:ilvl w:val="0"/>
          <w:numId w:val="89"/>
        </w:numPr>
      </w:pPr>
      <w:r>
        <w:t>formación en el ámbito de la aviación;</w:t>
      </w:r>
    </w:p>
    <w:p w:rsidR="00F83F12" w:rsidRDefault="001C6219">
      <w:pPr>
        <w:numPr>
          <w:ilvl w:val="0"/>
          <w:numId w:val="89"/>
        </w:numPr>
      </w:pPr>
      <w:r>
        <w:t>deportes aéreos;</w:t>
      </w:r>
    </w:p>
    <w:p w:rsidR="00F83F12" w:rsidRDefault="001C6219">
      <w:pPr>
        <w:numPr>
          <w:ilvl w:val="0"/>
          <w:numId w:val="89"/>
        </w:numPr>
      </w:pPr>
      <w:r>
        <w:t>otras obras aéreas que no impliquen transporte comercial de pasajeros, correo o mercancías (por ejemplo, fotografía aérea, vigilancia aérea, vuelos de lucha contra incendios, vuelos agrícolas, etc.)</w:t>
      </w:r>
    </w:p>
    <w:p w:rsidR="00F83F12" w:rsidRDefault="001C6219">
      <w:pPr>
        <w:numPr>
          <w:ilvl w:val="0"/>
          <w:numId w:val="89"/>
        </w:numPr>
      </w:pPr>
      <w:r>
        <w:t>la denominada «aviación general», es decir, operaciones no comerciales realizadas por propietarios de aeronaves privadas (incluidas las de negocios, turismo o arrendamiento financiero).</w:t>
      </w:r>
    </w:p>
    <w:p w:rsidR="00F83F12" w:rsidRDefault="001C6219">
      <w:r>
        <w:t>Por consiguiente, las autoridades polacas solicitan la confirmación de que las categorías de aeródromos antes mencionadas que no constituyen «aeropuertos» pueden recibir ayuda del FEDER en virtud del objetivo específico 3.2 sin restricciones.</w:t>
      </w:r>
    </w:p>
    <w:p w:rsidR="00F83F12" w:rsidRDefault="00F83F12"/>
    <w:p w:rsidR="00F83F12" w:rsidRDefault="001C6219">
      <w:pPr>
        <w:pStyle w:val="P68B1DB1-Normal4"/>
      </w:pPr>
      <w:r>
        <w:t>Respuesta.</w:t>
      </w:r>
    </w:p>
    <w:p w:rsidR="00F83F12" w:rsidRDefault="001C6219">
      <w:r>
        <w:t xml:space="preserve">De conformidad con el artículo 7, apartado 1, letra e), del Reglamento (UE) 2021/1058, el FEDER y el Fondo de Cohesión no apoyarán las </w:t>
      </w:r>
      <w:r>
        <w:rPr>
          <w:b/>
        </w:rPr>
        <w:t>inversiones en</w:t>
      </w:r>
      <w:r>
        <w:t xml:space="preserve"> infraestructuras </w:t>
      </w:r>
      <w:r>
        <w:lastRenderedPageBreak/>
        <w:t>aeroportuarias, excepto en el caso de las regiones ultraperiféricas o en los aeropuertos regionales existentes, tal como se definen en el artículo 2, punto (153), del Reglamento (UE) n.º 651/2014, en cualquiera de los casos siguientes:</w:t>
      </w:r>
    </w:p>
    <w:p w:rsidR="00F83F12" w:rsidRDefault="001C6219">
      <w:pPr>
        <w:numPr>
          <w:ilvl w:val="0"/>
          <w:numId w:val="90"/>
        </w:numPr>
      </w:pPr>
      <w:r>
        <w:t>en medidas de mitigación del impacto medioambiental; o</w:t>
      </w:r>
    </w:p>
    <w:p w:rsidR="00F83F12" w:rsidRDefault="001C6219">
      <w:pPr>
        <w:numPr>
          <w:ilvl w:val="0"/>
          <w:numId w:val="90"/>
        </w:numPr>
      </w:pPr>
      <w:r>
        <w:t>en los sistemas de seguridad, seguridad y gestión del tránsito aéreo resultantes de la investigación sobre la gestión del tráfico aéreo en el contexto del Cielo Único Europeo.</w:t>
      </w:r>
    </w:p>
    <w:p w:rsidR="00F83F12" w:rsidRDefault="001C6219">
      <w:r>
        <w:t>El Reglamento FEDER/FC no ofrece una definición de «infraestructura aeroportuaria», pero se remite al artículo 2, apartado (153), del Reglamento (CE) no 651/2014 para la definición de «aeropuerto regional». Teniendo en cuenta los objetivos perseguidos por la ayuda a través de la política de cohesión, en particular el FEDER y el FC, y de conformidad con las normas de interpretación sistémica, debe tenerse en cuenta el mismo artículo del Reglamento (CE) n.º 651/2014 a la hora de determinar el concepto de «infraestructura aeroportuaria» y no las definiciones de los marcos jurídicos de la UE que sirven a diferentes fines.</w:t>
      </w:r>
    </w:p>
    <w:p w:rsidR="00F83F12" w:rsidRDefault="001C6219">
      <w:r>
        <w:t>De conformidad con el punto (144), en relación con los puntos (145), (146) y (147) del artículo 2 del Reglamento (UE) n.º 651/2014, se entiende por infraestructura aeroportuaria la infraestructura y los equipos para la prestación de servicios aeroportuarios por el aeropuerto a las compañías aéreas y a los distintos prestadores de servicios, incluidas las pistas, terminales, plataformas, pistas de rodaje, infraestructuras centralizadas de asistencia en tierra y cualquier otra instalación que apoye directamente los servicios aeroportuarios, con exclusión de las infraestructuras y los equipos que sean necesarios principalmente para el desarrollo de actividades no aeronáuticas. Servicios aeroportuarios: de conformidad con el punto 147, los servicios prestados a las compañías aéreas por un aeropuerto o cualquiera de sus filiales, para garantizar el manejo de aeronaves, desde el aterrizaje hasta el despegue, así como de pasajeros y mercancías, de modo que las compañías aéreas puedan prestar servicios de transporte aéreo, incluida la prestación de servicios de asistencia en tierra y el suministro de infraestructuras centralizadas de asistencia en tierra.</w:t>
      </w:r>
    </w:p>
    <w:p w:rsidR="00F83F12" w:rsidRDefault="001C6219">
      <w:r>
        <w:t>Esto implica que la «infraestructura aeroportuaria» no incluye infraestructuras para la manipulación de aeronaves, salvo para el transporte comercial de pasajeros, carga o correo, y no está excluida de la ayuda del FEDER en virtud del artículo 7 del Reglamento (CE) no 2021/1058.</w:t>
      </w:r>
    </w:p>
    <w:p w:rsidR="00F83F12" w:rsidRDefault="001C6219">
      <w:r>
        <w:t>Sin embargo, esto no significa que los aeródromos que sirven para operaciones aéreas distintas del transporte comercial de pasajeros, mercancías o correo puedan optar a la ayuda en virtud del objetivo específico 3.2.</w:t>
      </w:r>
    </w:p>
    <w:p w:rsidR="00F83F12" w:rsidRDefault="001C6219">
      <w:r>
        <w:t xml:space="preserve">Como se indica en el artículo 3, punto 1, letra c), inciso ii), del Reglamento (UE) 2021/1058, las inversiones en el marco del objetivo específico 3.2 deben contribuir a «desarrollar y mejorar la movilidad nacional, regional y local sostenible, resiliente al cambio climático, inteligente e intermodal». En principio, los aeródromos distintos de los aeropuertos no se utilizan para la circulación de personas y mercancías, y su función principal es permitir y promover el deporte y la formación de la aviación. Aunque estos aeródromos también pueden utilizarse para operaciones de «aviación general», su uso con fines de movilidad (como medio de transporte para negocios o turismo) es </w:t>
      </w:r>
      <w:r>
        <w:lastRenderedPageBreak/>
        <w:t>extremadamente raro, y la proporción de personas que utilizan su propio avión privado como medio de transporte es insignificante.</w:t>
      </w:r>
    </w:p>
    <w:p w:rsidR="00F83F12" w:rsidRDefault="001C6219">
      <w:r>
        <w:t>Por último, cabe señalar, además, que la intención de los colegisladores se expresa claramente en el considerando 41 del Reglamento FEDER/FC, en el sentido de que solo podrían recibir ayudas las medidas en los aeropuertos regionales que se ajusten a las normas sobre ayudas estatales.</w:t>
      </w:r>
    </w:p>
    <w:p w:rsidR="00F83F12" w:rsidRDefault="001C6219">
      <w:r>
        <w:t>Por lo tanto, se concluye que las operaciones de aviación general no desempeñan un papel práctico a la hora de permitir la circulación de mercancías y personas. Por consiguiente, las inversiones en aeródromos distintos de los aeropuertos no contribuirían a «desarrollar y mejorar la movilidad sostenible, resiliente al cambio climático, inteligente e intermodal nacional, regional y local» y no pueden optar a la ayuda del FEDER en virtud del objetivo específico 3.2.</w:t>
      </w:r>
    </w:p>
    <w:p w:rsidR="00F83F12" w:rsidRDefault="00F83F12"/>
    <w:p w:rsidR="00F83F12" w:rsidRDefault="00F83F12"/>
    <w:p w:rsidR="00F83F12" w:rsidRDefault="001C6219">
      <w:pPr>
        <w:pStyle w:val="Ttulo1"/>
      </w:pPr>
      <w:bookmarkStart w:id="217" w:name="scroll-bookmark-221"/>
      <w:bookmarkStart w:id="218" w:name="scroll-bookmark-222"/>
      <w:bookmarkEnd w:id="217"/>
      <w:r>
        <w:t>QA00123 — Admisibilidad de las operaciones en el marco del FTJ</w:t>
      </w:r>
      <w:bookmarkEnd w:id="218"/>
    </w:p>
    <w:p w:rsidR="00F83F12" w:rsidRDefault="001C6219">
      <w:r>
        <w:rPr>
          <w:noProof/>
          <w:lang w:val="es-ES"/>
        </w:rPr>
        <w:drawing>
          <wp:inline distT="0" distB="0" distL="0" distR="0" wp14:anchorId="6D8C8881" wp14:editId="435DB87F">
            <wp:extent cx="152435" cy="152435"/>
            <wp:effectExtent l="0" t="0" r="0" b="0"/>
            <wp:docPr id="100439" name="Imagen 1004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(2) y considerandos 12 y 15 del Reglamento del FTJ</w:t>
      </w:r>
    </w:p>
    <w:p w:rsidR="00F83F12" w:rsidRDefault="001C6219">
      <w:r>
        <w:rPr>
          <w:noProof/>
          <w:lang w:val="es-ES"/>
        </w:rPr>
        <w:drawing>
          <wp:inline distT="0" distB="0" distL="0" distR="0" wp14:anchorId="7D7BAEE2" wp14:editId="0CF110A3">
            <wp:extent cx="152435" cy="152435"/>
            <wp:effectExtent l="0" t="0" r="0" b="0"/>
            <wp:docPr id="100441" name="Imagen 1004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t>Pregunta 1 (incluidos los hechos e información pertinentes):</w:t>
      </w:r>
    </w:p>
    <w:p w:rsidR="00F83F12" w:rsidRDefault="001C6219">
      <w:pPr>
        <w:pStyle w:val="P68B1DB1-Normal4"/>
      </w:pPr>
      <w:r>
        <w:t>¿Cuándo debe firmar la AG el contrato y gastar los recursos del FTJ NGEU y certificarlos a la Comisión? ¿Cuál de estas medidas es tratado por la Comisión como compromiso financiero/presupuestario? ¿Cuál es el margen de maniobra en lo que respecta a los plazos reglamentarios para la firma de contratos, el gasto efectivo y la certificación de los recursos del Instrumento Europeo de Recuperación de conformidad con el Reglamento (CE) n.º 2020/2094 y el Reglamento Financiero?</w:t>
      </w:r>
    </w:p>
    <w:p w:rsidR="00F83F12" w:rsidRDefault="001C6219">
      <w:r>
        <w:t>Las autoridades de gestión de Alta Silesia y Baja Silesia tienen serias dudas en cuanto a la viabilidad de un gasto más rápido de la parte de NextGenerationEU del FTJ en comparación con la parte del MFP. En vista del largo proceso legislativo, el proceso participativo y el trabajo para formular los objetivos de los planes territoriales de transición justa y configurar los programas de ejecución del FTJ, el calendario relacionado con la contratación de fondos es una preocupación relacionada con la aplicación efectiva de los ambiciosos objetivos del Pacto Verde Europeo.</w:t>
      </w:r>
    </w:p>
    <w:p w:rsidR="00F83F12" w:rsidRDefault="001C6219">
      <w:r>
        <w:t xml:space="preserve">Otras regiones europeas similares albergan preocupaciones, como se refleja en el debate mantenido en la reunión «Reunión de la Plataforma de Transición Justa — Semana virtual de las regiones carboníferas en transición y seminarios sobre regiones intensivas en carbón», en la que se plantearon preguntas sobre cómo abordará la UE el problema de la utilización de los fondos del Instrumento Europeo de Recuperación para </w:t>
      </w:r>
      <w:r>
        <w:lastRenderedPageBreak/>
        <w:t>finales de 2023, lo que se traduce en la necesidad de gastar más de la mitad de los fondos del FTJ hasta 2026.</w:t>
      </w:r>
    </w:p>
    <w:p w:rsidR="00F83F12" w:rsidRDefault="001C6219">
      <w:r>
        <w:t>Para los organismos que ejecutan el programa del FTJ, así como para las partes interesadas en proyectos de transformación y planificación posteriores a la minería, existe una enorme presión de tiempo y un riesgo de infrautilización de los fondos específicos cofinanciados por el FTJ. Así lo demuestran los plazos de aceptación por parte de la Comisión. Los programas del FTJ, seguidos de la activación de la administración que ejecuta el programa, que necesita tiempo para cumplir las formalidades de publicación y evaluación de las propuestas de proyectos presentadas. Por otra parte, los beneficiarios necesitan tiempo para ejecutar y liquidar proyectos pertinentes para hacer frente a los retos que surjan en el proceso de transición. Las autoridades regionales desean estudiar la posibilidad de reprogramar el período de desembolso de los fondos del FTJ.</w:t>
      </w:r>
    </w:p>
    <w:p w:rsidR="00F83F12" w:rsidRDefault="001C6219">
      <w:r>
        <w:t>Las autoridades regionales también piden claridad en cuanto a cuándo tienen que gastar los recursos del Instrumento Europeo de Recuperación, lo que repercute en la programación del FTJ. La respuesta requiere una interpretación jurídica combinada de 4 Reglamentos (FTJ, RDC, NextGenerationEU y Reglamento Financiero).</w:t>
      </w:r>
    </w:p>
    <w:p w:rsidR="00F83F12" w:rsidRDefault="00F83F12"/>
    <w:p w:rsidR="00F83F12" w:rsidRDefault="001C6219">
      <w:pPr>
        <w:pStyle w:val="P68B1DB1-Normal4"/>
      </w:pPr>
      <w:r>
        <w:t>Respuesta a la pregunta 1:</w:t>
      </w:r>
    </w:p>
    <w:p w:rsidR="00F83F12" w:rsidRDefault="001C6219">
      <w:r>
        <w:t>De conformidad con el artículo 4, apartado 2, del Reglamento del FTJ, deben asumirse compromisos en el presupuesto de la UE para los ingresos afectados externos (NGEU) para los años 2021 a 2023. Sin embargo, esto no significa que las autoridades de gestión deban contratar recursos de NextGenerationEU para finales de 2023. Los compromisos se realizan a nivel de un programa.</w:t>
      </w:r>
    </w:p>
    <w:p w:rsidR="00F83F12" w:rsidRDefault="001C6219">
      <w:pPr>
        <w:numPr>
          <w:ilvl w:val="0"/>
          <w:numId w:val="91"/>
        </w:numPr>
      </w:pPr>
      <w:r>
        <w:t xml:space="preserve">En los programas no presentados para su adopción a finales de 2021, se reprogramará el tramo de 2021 de los recursos del FTJ. Mientras que la parte de la asignación relativa al MFP se dividirá en cuatro cuartas partes de 2022 a 2025, los recursos de </w:t>
      </w:r>
      <w:r w:rsidR="00AC303E">
        <w:t>NGUE</w:t>
      </w:r>
      <w:r>
        <w:t xml:space="preserve"> se dividirán en dos mitades iguales a lo largo de 2022 y 2023. Esto también debe reflejarse en el plan financiero de cada programa.</w:t>
      </w:r>
    </w:p>
    <w:p w:rsidR="00F83F12" w:rsidRDefault="001C6219">
      <w:pPr>
        <w:numPr>
          <w:ilvl w:val="0"/>
          <w:numId w:val="92"/>
        </w:numPr>
      </w:pPr>
      <w:r>
        <w:t>Si no se ha comprometido a finales de 2022, el tramo de 2022 del Instrumento Europeo de Recuperación se beneficia de una prórroga automática a 2023, sobre la base del artículo 12, apartado 4, letra c), del Reglamento Financiero. Esta norma no se aplica a los créditos del MFP.</w:t>
      </w:r>
    </w:p>
    <w:p w:rsidR="00F83F12" w:rsidRDefault="001C6219">
      <w:r>
        <w:t>Los pagos en el marco del Instrumento Europeo de Recuperación a nivel de programa deben efectuarse a más tardar el 31 de diciembre de 2026</w:t>
      </w:r>
      <w:hyperlink w:anchor="scroll-bookmark-223" w:history="1">
        <w:r>
          <w:rPr>
            <w:rStyle w:val="Hipervnculo"/>
          </w:rPr>
          <w:t>[1]</w:t>
        </w:r>
      </w:hyperlink>
      <w:r>
        <w:t>. Los pagos del FTJ a los programas se efectuarán con cargo a los compromisos abiertos contraídos con cargo a los recursos de NextGenerationEU hasta que se agoten.</w:t>
      </w:r>
    </w:p>
    <w:p w:rsidR="00F83F12" w:rsidRDefault="001C6219">
      <w:r>
        <w:t xml:space="preserve">De conformidad con el artículo 4, apartado 4, del Reglamento del FTJ, las normas de liberación de los recursos del MFP, tal como se establecen en el RDC (norma N + 3), también se aplican a los compromisos presupuestarios de NextGenerationEU. Por consiguiente, la Comisión liberará los recursos de NextGenerationEU que no se hayan utilizado para prefinanciación o para los que no se haya presentado una solicitud de pago a más tardar el 31 de diciembre del tercer año civil siguiente al año de los </w:t>
      </w:r>
      <w:r>
        <w:lastRenderedPageBreak/>
        <w:t>compromisos presupuestarios para 2022 y 2023, de conformidad con las normas establecidas en los artículos 105 a 107 del RDC.</w:t>
      </w:r>
    </w:p>
    <w:p w:rsidR="00F83F12" w:rsidRDefault="00F83F12"/>
    <w:p w:rsidR="00F83F12" w:rsidRDefault="001C6219">
      <w:pPr>
        <w:pStyle w:val="P68B1DB1-Normal4"/>
      </w:pPr>
      <w:r>
        <w:t>Pregunta 2 (incluidos los hechos e información pertinentes):</w:t>
      </w:r>
    </w:p>
    <w:p w:rsidR="00F83F12" w:rsidRDefault="001C6219">
      <w:pPr>
        <w:pStyle w:val="P68B1DB1-Normal4"/>
      </w:pPr>
      <w:r>
        <w:t>¿En qué medida puede el FTJ financiar proyectos en zonas fuera de la subregión cubiertas por el anexo D y el plan territorial de transición justa?</w:t>
      </w:r>
    </w:p>
    <w:p w:rsidR="00F83F12" w:rsidRDefault="001C6219">
      <w:r>
        <w:t>En el caso de dos regiones polacas del anexo D, las autoridades regionales tienen la intención de financiar proyectos que no estén situados en subregiones afectadas por el plan territorial de transición justa.</w:t>
      </w:r>
    </w:p>
    <w:p w:rsidR="00F83F12" w:rsidRDefault="001C6219">
      <w:r>
        <w:t xml:space="preserve">En el caso de Malopolska, se reconoce que la zona de Malopolska occidental también sufrirá en gran medida la transición en la vecina Silesia, con unas 500 pymes en las cadenas de valor y unas 4500 mineros de Małopolska que trabajan en Silesia. Sin embargo, es probable que esta subregión no esté cubierta por el FTJ, </w:t>
      </w:r>
      <w:r w:rsidR="002F3719">
        <w:t xml:space="preserve">ya que, </w:t>
      </w:r>
      <w:r>
        <w:t xml:space="preserve">está previsto que las dos minas restantes de Malopolska se cierren en 2040 y 2049, lo que supera la perspectiva de 2030 que determina la subvencionabilidad del FTJ. La comisaria Ferreira ha pedido que se encuentre una solución para los trabajadores y las pymes de Malopolska. Silesia informó de que estarían dispuestos a apoyar a los mineros de Malopolska, que se verían afectados negativamente por la transición en Silesia. La AG de Silesian podría prestar apoyo del FTJ a las pymes de Malopolska con cargo a su programa regional, si la asignación propuesta por el FTJ de Malopolska se </w:t>
      </w:r>
      <w:r w:rsidR="003D0420">
        <w:t>reasigna</w:t>
      </w:r>
      <w:r>
        <w:t xml:space="preserve"> a la región de Silesia. </w:t>
      </w:r>
    </w:p>
    <w:p w:rsidR="00F83F12" w:rsidRDefault="001C6219">
      <w:r>
        <w:t>El asunto Konin se describe detalladamente en el punto 8.</w:t>
      </w:r>
    </w:p>
    <w:p w:rsidR="00F83F12" w:rsidRDefault="001C6219">
      <w:pPr>
        <w:pStyle w:val="P68B1DB1-Normal4"/>
      </w:pPr>
      <w:r>
        <w:t>Respuesta a la pregunta 2: </w:t>
      </w:r>
    </w:p>
    <w:p w:rsidR="00F83F12" w:rsidRDefault="001C6219">
      <w:r>
        <w:t>De conformidad con el artículo 8, apartado 1, del Reglamento del FTJ, este solo apoyará actividades directamente relacionadas con su objetivo específico y que contribuyan a la ejecución de los planes territoriales de transición justa establecidos de conformidad con el artículo 11. Así pues, un proyecto en una zona fuera de la subregión cubierta por el plan territorial de transición justa podría optar a la financiación del FTJ siempre que, por una parte, este proyecto esté claramente vinculado al objetivo de permitir que las regiones y las personas afronten las repercusiones sociales, laborales, económicas y medioambientales de la transición hacia los objetivos de la Unión para 2030 en materia de energía y clima y una economía de la Unión climáticamente neutra de aquí a 2050, sobre la base del Acuerdo de París, y, por otra parte, contribuya a la aplicación del plan territorial de transición justa.</w:t>
      </w:r>
    </w:p>
    <w:p w:rsidR="00F83F12" w:rsidRDefault="00714CBA">
      <w:r>
        <w:t>Además</w:t>
      </w:r>
      <w:r w:rsidR="001C6219">
        <w:t>, de conformidad con el considerando (13) y el artículo 8, apartado 2, letra k), letra m), todos los demandantes de empleo, en este caso concreto, por ejemplo, los mineros de Malopolska que trabajan en Silesia, que han perdido su empleo en sectores afectados por la transición en una región cubierta por el plan territorial de transición justa pueden optar a recibir apoyo del FTJ incluso si los trabajadores despedidos no residen en dicha región.</w:t>
      </w:r>
    </w:p>
    <w:p w:rsidR="00F83F12" w:rsidRDefault="00F83F12"/>
    <w:p w:rsidR="00F83F12" w:rsidRDefault="001C6219">
      <w:pPr>
        <w:pStyle w:val="P68B1DB1-Normal4"/>
      </w:pPr>
      <w:r>
        <w:t>Pregunta 3 (incluidos los hechos e información pertinentes):</w:t>
      </w:r>
    </w:p>
    <w:p w:rsidR="00F83F12" w:rsidRDefault="001C6219">
      <w:pPr>
        <w:pStyle w:val="P68B1DB1-Normal4"/>
      </w:pPr>
      <w:r>
        <w:lastRenderedPageBreak/>
        <w:t>¿Puede el FTJ apoyar proyectos de turismo sostenible? ¿Qué significa que «el turismo sostenible podría formar parte del apoyo a las economías locales estimulando su potencial de crecimiento endógeno»? ¿Qué tipo de proyectos pueden calificarse de proyectos de turismo sostenible?</w:t>
      </w:r>
    </w:p>
    <w:p w:rsidR="00F83F12" w:rsidRDefault="001C6219">
      <w:r>
        <w:t>El considerando 12 del Reglamento del FTJ hace referencia al turismo sostenible como tipo de proyectos subvencionables. Sin embargo, el artículo 8, apartado 2, no incluye las actividades turísticas en la lista exhaustiva de actividades apoyadas por el FTJ.</w:t>
      </w:r>
    </w:p>
    <w:p w:rsidR="00F83F12" w:rsidRDefault="001C6219">
      <w:pPr>
        <w:pStyle w:val="P68B1DB1-Normal4"/>
      </w:pPr>
      <w:r>
        <w:t>Respuesta a la pregunta 3:</w:t>
      </w:r>
    </w:p>
    <w:p w:rsidR="00F83F12" w:rsidRDefault="001C6219">
      <w:r>
        <w:t>El apoyo a las infraestructuras turísticas per se no es subvencionable en virtud del artículo 8, apartado 2, del Reglamento del FTJ. Sin embargo, los proyectos de turismo sostenible pueden ser subvencionables en el marco del FTJ si, por ejemplo, tienen por objeto apoyar a los operadores turísticos como forma de diversificar o modernizar la actividad económica en los territorios del FTJ y si forman parte de otras medidas subvencionables en el marco del FTJ, por ejemplo, inversiones productivas en pymes o apoyo a la creación de nuevas empresas en el sector turístico, etc.</w:t>
      </w:r>
    </w:p>
    <w:p w:rsidR="00F83F12" w:rsidRDefault="001C6219">
      <w:r>
        <w:t>De conformidad con el considerando 12 del Reglamento del FTJ, dicho apoyo debe estimular el potencial de crecimiento endógeno y aprovechar las ventajas comparativas del territorio subvencionable en consonancia con las estrategias de especialización inteligente aplicables. Por consiguiente, las RIS3 deben demostrar que el territorio del FTJ tiene un potencial significativo en el sector turístico para mantener su crecimiento de la productividad.  </w:t>
      </w:r>
    </w:p>
    <w:p w:rsidR="00F83F12" w:rsidRDefault="001C6219">
      <w:r>
        <w:t>Las inversiones turísticas también deben ser sostenibles a largo plazo, teniendo en cuenta todos los objetivos del Pacto Verde Europeo. Los proyectos subvencionables deben contribuir a la transición hacia una economía sostenible, climáticamente neutra y circular, incluidas medidas destinadas a aumentar la eficiencia en el uso de los recursos.</w:t>
      </w:r>
    </w:p>
    <w:p w:rsidR="00F83F12" w:rsidRDefault="001C6219">
      <w:r>
        <w:t>Todos los proyectos apoyarán actividades estrictamente vinculadas al objetivo específico del FTJ y que contribuyan a la ejecución de los planes territoriales de transición justa (artículo 8, apartado 1, del FTJ).</w:t>
      </w:r>
    </w:p>
    <w:p w:rsidR="00F83F12" w:rsidRDefault="00F83F12"/>
    <w:p w:rsidR="00F83F12" w:rsidRDefault="001C6219">
      <w:pPr>
        <w:pStyle w:val="P68B1DB1-Normal4"/>
      </w:pPr>
      <w:r>
        <w:t>Pregunta 4 (incluidos los hechos e información pertinentes):</w:t>
      </w:r>
    </w:p>
    <w:p w:rsidR="00F83F12" w:rsidRDefault="001C6219">
      <w:pPr>
        <w:pStyle w:val="P68B1DB1-Normal4"/>
      </w:pPr>
      <w:r>
        <w:t>¿La revitalización de las zonas urbanas y rurales degradadas, incluidos los edificios de viviendas que anteriormente eran propiedad de minas de carbón, puede optar a la ayuda del FTJ de conformidad con el Reglamento del FTJ?</w:t>
      </w:r>
    </w:p>
    <w:p w:rsidR="00F83F12" w:rsidRDefault="001C6219">
      <w:r>
        <w:t>Las zonas degradadas por actividades mineras y de paramin</w:t>
      </w:r>
      <w:r w:rsidR="00776CF7">
        <w:t>eras</w:t>
      </w:r>
      <w:r>
        <w:t xml:space="preserve"> requieren muy a menudo una revitalización integral, no solo la sustitución de las fuentes de calor y la mejora de la eficiencia energética de los edificios, sino también la revitalización de las zonas urbanas degradadas, incluidas las infraestructuras verdes y otras infraestructuras exteriores. Las autoridades regionales prevén la regeneración y reutilización de antiguas zonas industriales en las ciudades y zonas urbanas, lo que constituye un factor importante para reducir el impacto negativo de la transición en las regiones carboníferas. La conversión eficiente de antiguas zonas industriales puede crear oportunidades únicas, pero la regeneración de antiguas zonas industriales debe tratarse </w:t>
      </w:r>
      <w:r>
        <w:lastRenderedPageBreak/>
        <w:t xml:space="preserve">horizontalmente y aplicarse a toda la zona de la subregión, </w:t>
      </w:r>
      <w:r w:rsidR="002F3719">
        <w:t xml:space="preserve">ya que, </w:t>
      </w:r>
      <w:r>
        <w:t>el proceso de devaluación de las zonas no solo afecta a las zonas posindustriales, incluidas las zonas posmineras. Como consecuencia de las actividades del sector minero y energético, la degradación social, económica y económica se extiende más allá de la propia zona industrial.</w:t>
      </w:r>
    </w:p>
    <w:p w:rsidR="00F83F12" w:rsidRDefault="001C6219">
      <w:r>
        <w:t>Los residentes de pueblos despoblados desplazados por minas, como compensación por la pérdida de bienes, se trasladaron a otros asentamientos del mismo municipio o a otros municipios y ciudades. Por lo tanto, las actividades de la mina afectaron, por una parte, a la dispersión de los hábitats y, por otra, a su concentración. Se han perdido las funciones socioeconómicas de los municipios o localidades, lo que ha provocado un empeoramiento de los problemas existentes, entre ellos: un aumento del desempleo y un deterioro de la calidad de las infraestructuras. El cambio medioambiental también ha afectado negativamente a la supervivencia de las personas: problemas sociales (exclusión social, adicción, etc.). Algunos ejemplos de municipios muestran que una de las consecuencias de la minería a cielo abierto es el aumento de las distancias a los servicios públicos y culturales básicos (centros culturales, centros comunitarios, escuelas, centros de salud), por ejemplo, al romper el sistema de comunicación, que ha dado lugar a una lenta concentración de fenómenos sociales negativos, en particular el desempleo, la pobreza, la delincuencia, los bajos niveles educativos y la participación insuficiente en la vida pública y cultural en las zonas afectadas por el sector minero y energético. Esto ha dado lugar a una reducción de la participación de la población en la vida social de la región. A menudo, se están acumulando fenómenos sociales negativos en las localidades afectadas por el sector minero y energético. Además, una parte significativa de los habitantes de los municipios afectados por el sector minero y energético han sido o están empleados en la industria minera o en los servicios asociados de apoyo a la industria extractiva. Una vez que la mina y la central eléctrica han llegado a su fin, los habitantes de estas zonas (a menudo definidas como zonas de regeneración en los programas de regeneración) tienen que encontrarse en una nueva realidad y revitalizar el espíritu empresarial local.</w:t>
      </w:r>
    </w:p>
    <w:p w:rsidR="00F83F12" w:rsidRDefault="001C6219">
      <w:r>
        <w:t>Encontrar una nueva aplicación para las zonas urbanas y rurales degradadas puede liberar oportunidades de negocio, crear diversificación económica y crear nuevos puestos de trabajo que sustenten el éxito de una transición justa en las regiones carboníferas. En opinión de la región, estas acciones entran en el ámbito de aplicación del Reglamento, por una parte, en el artículo 8, apartado artículo 2, letra i), y en el artículo 8, apartado 2. 2 o).</w:t>
      </w:r>
    </w:p>
    <w:p w:rsidR="00F83F12" w:rsidRDefault="001C6219">
      <w:r>
        <w:t xml:space="preserve">Como parte del marco desarrollado por el Grupo de Expertos sobre Transformación Justa (15 de mayo de 2020) en el marco del equipo de desarrollo de la industria renovable para fuentes de energía y beneficios para la economía polaca, dependiente del ministro de Clima (Orden del Ministro de Clima de 2.4.2020, punto 2), señaló que el reto es la regeneración intensiva de las estructuras urbanas, que requieren procesos de regeneración intensivos. El reto y el objetivo de las acciones de transición justa deben ser promover y aplicar la economía circular en los procesos de regeneración. La transición a una economía circular brinda la oportunidad de cambiar los enfoques de la gestión espacial y de crear apertura a la innovación ecológica en barrios regenerados, que a menudo son los ámbitos más valiosos y valiosos para la economía y la comunidad local. Las zonas regeneradas no solo pueden ser «sanas» per se a través de proyectos </w:t>
      </w:r>
      <w:r>
        <w:lastRenderedPageBreak/>
        <w:t>circulares, sino que, al mismo tiempo, pueden convertirse en un «motor» de cambios circulares en la estructura de toda la ciudad o zona rural, a partir de la cual comenzará un cambio circular más amplio. Este enfoque crea grandes oportunidades para lograr la sostenibilidad y la eficacia de los procesos de regeneración. Utilizando soluciones circulares, tenemos la oportunidad de configurar zonas autosuficientes y regenerativas. El proceso de asignarles nuevas funciones utilizando métodos innovadores y respetuosos con el medio ambiente, a menudo considerados «revolucionarios», debe llevarse a cabo con la fuerte participación de todos los agentes locales, aumentando así la sostenibilidad, la eficiencia y la eficacia de los procesos de regeneración.</w:t>
      </w:r>
    </w:p>
    <w:p w:rsidR="00F83F12" w:rsidRDefault="00F83F12"/>
    <w:p w:rsidR="00F83F12" w:rsidRDefault="001C6219">
      <w:pPr>
        <w:pStyle w:val="P68B1DB1-Normal4"/>
      </w:pPr>
      <w:r>
        <w:t>Respuesta a la pregunta 4:</w:t>
      </w:r>
    </w:p>
    <w:p w:rsidR="00F83F12" w:rsidRDefault="001C6219">
      <w:r>
        <w:t>El FTJ solo puede apoyar actividades directamente relacionadas con su objetivo específico, tal como se establece en el artículo 2 del Reglamento del FTJ. Estas actividades también deben contribuir a la aplicación del plan territorial de transición justa.</w:t>
      </w:r>
    </w:p>
    <w:p w:rsidR="00F83F12" w:rsidRDefault="001C6219">
      <w:r>
        <w:t>Por lo tanto, la revitalización general de las zonas urbanas y rurales no puede optar a la ayuda del FTJ, excepto en el caso de las inversiones en regeneración y descontaminación de antiguas zonas industriales (tierras abandonadas de antiguas minas o centrales eléctricas) y en la restauración de tierras, de conformidad con el artículo 8, apartado 2, letra i), del Reglamento del FTJ.</w:t>
      </w:r>
    </w:p>
    <w:p w:rsidR="00F83F12" w:rsidRDefault="001C6219">
      <w:r>
        <w:t>La revitalización de las zonas posmineras o posindustriales debe llevarse a cabo de manera global, con el apoyo complementario a la diversificación económica, el reciclaje profesional y la mejora de las capacidades de los trabajadores afectados o la rehabilitación medioambiental. Estas inversiones también pueden incluir, cuando sea necesario, infraestructuras verdes y proyectos de reorientación.</w:t>
      </w:r>
    </w:p>
    <w:p w:rsidR="00F83F12" w:rsidRDefault="001C6219">
      <w:r>
        <w:t>Desde la perspectiva política de los servicios de la Comisión, la atención debe centrarse en la transición económica. Por lo tanto, las inversiones en viviendas puramente residenciales (construcción, reconstrucción) no deben recibir ninguna ayuda en el marco del FTJ.</w:t>
      </w:r>
    </w:p>
    <w:p w:rsidR="00F83F12" w:rsidRDefault="001C6219">
      <w:r>
        <w:t>No obstante, de conformidad con el considerando 12 y el artículo 8, apartado 2, letra e), del Reglamento del FTJ, las inversiones del FTJ, que contribuyen a reducir la pobreza energética, principalmente mediante mejoras de la eficiencia energética del parque de viviendas, son subvencionables siempre que contribuyan a la consecución del objetivo específico del FTJ y contribuyan a la ejecución de los planes territoriales de transición justa.</w:t>
      </w:r>
    </w:p>
    <w:p w:rsidR="00F83F12" w:rsidRDefault="001C6219">
      <w:r>
        <w:t>La regeneración general de las zonas urbanas y rurales degradadas puede apoyarse a través del FEDER. Por consiguiente, la autoridad de gestión debe explorar posibles sinergias entre las inversiones realizadas en el territorio del FTJ en el marco de los diferentes fondos.</w:t>
      </w:r>
    </w:p>
    <w:p w:rsidR="00F83F12" w:rsidRDefault="00F83F12"/>
    <w:p w:rsidR="00F83F12" w:rsidRDefault="001C6219">
      <w:pPr>
        <w:pStyle w:val="P68B1DB1-Normal4"/>
      </w:pPr>
      <w:r>
        <w:t>Pregunta 5 (incluidos los hechos e información pertinentes):</w:t>
      </w:r>
    </w:p>
    <w:p w:rsidR="00F83F12" w:rsidRDefault="001C6219">
      <w:pPr>
        <w:pStyle w:val="P68B1DB1-Normal4"/>
      </w:pPr>
      <w:r>
        <w:t xml:space="preserve">¿Qué tipo de proyectos se incluyen en la definición de </w:t>
      </w:r>
      <w:r>
        <w:rPr>
          <w:i/>
        </w:rPr>
        <w:t xml:space="preserve">movilidad local sostenible, descarbonización del sector del transporte local y sus infraestructuras </w:t>
      </w:r>
      <w:r>
        <w:t xml:space="preserve">de conformidad </w:t>
      </w:r>
      <w:r>
        <w:lastRenderedPageBreak/>
        <w:t>con el Reglamento del FTJ? ¿Se incluye en esta definición el material rodante ferroviario y la modernización de las líneas ferroviarias?</w:t>
      </w:r>
    </w:p>
    <w:p w:rsidR="00F83F12" w:rsidRDefault="001C6219">
      <w:pPr>
        <w:pStyle w:val="P68B1DB1-Normal4"/>
      </w:pPr>
      <w:r>
        <w:t> </w:t>
      </w:r>
    </w:p>
    <w:p w:rsidR="00F83F12" w:rsidRDefault="001C6219">
      <w:pPr>
        <w:pStyle w:val="P68B1DB1-Normal4"/>
      </w:pPr>
      <w:r>
        <w:t>Respuesta a la pregunta 5:</w:t>
      </w:r>
    </w:p>
    <w:p w:rsidR="00F83F12" w:rsidRDefault="001C6219">
      <w:r>
        <w:t>De conformidad con el artículo 8, apartado 2, letra f), del Reglamento del FTJ, este puede apoyar inversiones en movilidad local inteligente y sostenible, incluida la descarbonización del sector del transporte local y sus infraestructuras. Dichas inversiones también deben contribuir a abordar los efectos de la transición en el territorio subvencionable y estar justificadas en el plan territorial de transición justa. Por lo tanto, desde una perspectiva política, no deben aspirar a mejorar la movilidad general del transporte.</w:t>
      </w:r>
    </w:p>
    <w:p w:rsidR="00F83F12" w:rsidRDefault="001C6219">
      <w:r>
        <w:t>Entre los ejemplos de inversiones cabe citar las infraestructuras de transporte público, el material rodante, las estaciones de intercambio, incluidos los parques de aparcamientos o los parques ciclistas y los sistemas de transporte inteligentes que mejorarían el acceso de la población al empleo.</w:t>
      </w:r>
    </w:p>
    <w:p w:rsidR="00F83F12" w:rsidRDefault="001C6219">
      <w:r>
        <w:t>Desde la perspectiva política de los servicios de la Comisión, el desarrollo de una movilidad local sostenible en el marco del FTJ también requiere un enfoque integrado. Así pues, es importante apoyar estas inversiones mediante un plan de movilidad urbana y local sostenible y multimodal. Vincular el apoyo a las operaciones de movilidad urbana a la existencia de un PMUS puede ser un mecanismo eficaz para garantizar el cumplimiento de los requisitos del artículo 73 del RDC en la selección de las operaciones. La Comisión podría observar que considera que la existencia de un marco estratégico sólido (como un PMUS) es clave para seleccionar las operaciones que «presenten la mejor relación entre el importe de la ayuda, las actividades emprendidas y la consecución de los objetivos».</w:t>
      </w:r>
    </w:p>
    <w:p w:rsidR="00F83F12" w:rsidRDefault="001C6219">
      <w:r>
        <w:t>El Reglamento del FTJ no excluye la posibilidad de apoyar el material rodante ferroviario o la modernización de los ferrocarriles. Sin embargo, debido a su alcance y objetivos, las inversiones ferroviarias pueden no entrar en la definición de movilidad «local» (excepto en el caso de los trenes de cercanías a nivel de metro o tierra) y, por lo tanto, no podrían optar a la ayuda del FTJ. La Comisión evaluará las medidas concretas en el contexto de los planes territoriales de transición justa presentados.  </w:t>
      </w:r>
    </w:p>
    <w:p w:rsidR="00F83F12" w:rsidRDefault="001C6219">
      <w:r>
        <w:t>Los proyectos que mejoren la conectividad ferroviaria de las regiones en transición justa podrían seguir siendo subvencionables con arreglo al pilar 2, incluso si se ejecutan en otras regiones si dichos proyectos benefician al territorio del FTJ y están justificados en los planes territoriales de transición justa.</w:t>
      </w:r>
    </w:p>
    <w:p w:rsidR="00F83F12" w:rsidRDefault="00F83F12"/>
    <w:p w:rsidR="00F83F12" w:rsidRDefault="001C6219">
      <w:pPr>
        <w:pStyle w:val="P68B1DB1-Normal4"/>
      </w:pPr>
      <w:r>
        <w:t>Pregunta 6 (incluidos los hechos e información pertinentes):</w:t>
      </w:r>
    </w:p>
    <w:p w:rsidR="00F83F12" w:rsidRDefault="001C6219">
      <w:pPr>
        <w:pStyle w:val="P68B1DB1-Normal4"/>
      </w:pPr>
      <w:r>
        <w:t>¿En qué medida la preparación de los emplazamientos de inversión puede optar a la financiación del FTJ de conformidad con el Reglamento del FTJ?</w:t>
      </w:r>
    </w:p>
    <w:p w:rsidR="00F83F12" w:rsidRDefault="001C6219">
      <w:r>
        <w:t xml:space="preserve">El apoyo a la preparación de centros de inversión es especialmente importante en el caso de los municipios para los que, hasta la fecha, los impuestos y gravámenes sobre la presencia de minas de carbón y centrales eléctricas de carbón han sido una fuente clave de ingresos para los presupuestos. Como consecuencia del cierre de las minas de carbón, </w:t>
      </w:r>
      <w:r>
        <w:lastRenderedPageBreak/>
        <w:t>estos municipios corren el riesgo de sufrir un deterioro significativo de su situación financiera, lo que a corto plazo provocará un deterioro de la calidad de vida de los habitantes (también debido a la pérdida de empleo existente por parte de una gran parte de la población). Por lo tanto, es sumamente importante apoyar a este tipo de entidades para atraer a nuevos inversores que, por una parte, crean puestos de trabajo para los mineros despedidos y los trabajadores de la energía y, por otra, dan al propio municipio una oportunidad de desarrollo (basada en su desarrollo en direcciones completamente nuevas que hasta ahora). La subregión de Konin tiene previsto optar a ayudas a zonas posindustriales, incluidas las zonas posmineras y de centrales eléctricas. También se prestará apoyo a las antiguas zonas industriales de otras empresas, en particular las relacionadas con el sector minero y energético. Una característica de las regiones carboníferas es la ubicación de empresas industriales de otras industrias, por lo que no debe limitarse a apoyar tierras después de antiguas minas o centrales eléctricas. El artículo 8, apartado 2, letra i), del Reglamento del FTJ se refiere, entre otras cosas, a la asignación de nuevas funciones, de modo que en este tipo de operación Konin prevé que una de las posibles direcciones de apoyo a las antiguas zonas industriales, incluidas las minas, será desarrollarlas mediante la creación de emplazamientos de inversión. Las directrices de 30 de septiembre de 2021 sobre la asignación de proyectos a los 3 pilares de MST, elaboradas por expertos de Jaspers, indican que el pilar en el ámbito de la transformación espacial tiene por objeto hacer un mejor uso y reorientación de las antiguas zonas industriales disponibles, en particular poniéndolas a disposición de los inversores creadores de empleo. Las recomendaciones elaboradas por el Grupo de Expertos sobre Transformación Justa apuntan a la necesidad de crear emplazamientos de inversión apoyando y desarrollando antiguas zonas industriales y postindustriales de importancia estratégica para los municipios de las regiones carboníferas. Es necesario un uso diferenciado de las antiguas zonas industriales en términos de reutilización económica de las antiguas zonas industriales por parte de los propietarios existentes o nuevos y de las zonas económicas especiales.</w:t>
      </w:r>
    </w:p>
    <w:p w:rsidR="00F83F12" w:rsidRDefault="00F83F12"/>
    <w:p w:rsidR="00F83F12" w:rsidRDefault="001C6219">
      <w:pPr>
        <w:pStyle w:val="P68B1DB1-Normal4"/>
      </w:pPr>
      <w:r>
        <w:t>Respuesta a la pregunta 6:</w:t>
      </w:r>
    </w:p>
    <w:p w:rsidR="00F83F12" w:rsidRDefault="001C6219">
      <w:r>
        <w:t>La preparación de centros de inversión puede ser subvencionable en el marco del FTJ, por ejemplo, como parte de una inversión más amplia en regeneración y descontaminación de antiguas zonas industriales, de conformidad con el artículo 8, apartado 2, letra i), del Reglamento del FTJ («proyectos de reorientación»). Dichas inversiones deben estar directamente vinculadas al objetivo específico del FTJ, deben contribuir a mitigar el impacto de la transición en el territorio del FTJ y a la ejecución del plan territorial de transición justa.  </w:t>
      </w:r>
    </w:p>
    <w:p w:rsidR="00F83F12" w:rsidRDefault="001C6219">
      <w:r>
        <w:t>La necesidad de tales inversiones debe derivarse de las necesidades de desarrollo para abordar los retos de la transición, tal como se especifica en el plan territorial de transición justa. La Comisión insta a la autoridad de gestión a que adopte todas las disposiciones necesarias a nivel del programa para garantizar que la operación financiada refleje la demanda real de centros de inversión y que los centros de inversión se utilicen efectivamente (es decir, se llenen con empresas). A tal fin, será necesaria la coordinación con otras operaciones subvencionables en el marco del FTJ, por ejemplo, con el apoyo a la creación de nuevas empresas, etc. </w:t>
      </w:r>
    </w:p>
    <w:p w:rsidR="00F83F12" w:rsidRDefault="001C6219">
      <w:r>
        <w:lastRenderedPageBreak/>
        <w:t>La Comisión evaluará las medidas concretas en el contexto del plan territorial de transición justa presentado.  </w:t>
      </w:r>
    </w:p>
    <w:p w:rsidR="00F83F12" w:rsidRDefault="00F83F12"/>
    <w:p w:rsidR="00F83F12" w:rsidRDefault="001C6219">
      <w:pPr>
        <w:pStyle w:val="P68B1DB1-Normal4"/>
      </w:pPr>
      <w:r>
        <w:t>Pregunta 7 (incluidos los hechos e información pertinentes):</w:t>
      </w:r>
    </w:p>
    <w:p w:rsidR="00F83F12" w:rsidRDefault="001C6219">
      <w:pPr>
        <w:pStyle w:val="P68B1DB1-Normal4"/>
      </w:pPr>
      <w:r>
        <w:t>¿Puede el FTJ financiar la infraestructura de las escuelas de formación profesional y técnica, que, a pesar del estatuto de las escuelas, son de facto centros de formación educativa en profesiones deseadas por los empleadores? ¿Puede la AG de Baja Silesia tratar esta infraestructura como una infraestructura educativa en el sentido del Reglamento del FTJ?</w:t>
      </w:r>
    </w:p>
    <w:p w:rsidR="00F83F12" w:rsidRDefault="001C6219">
      <w:r>
        <w:t>La financiación de la infraestructura de las escuelas de formación profesional y técnica que, a pesar de su condición de escuelas, son de facto centros de formación para la educación en las profesiones que buscan los empleadores. En relación con las necesidades identificadas en el plan territorial de transición justa para el desarrollo de nuevas profesiones para una economía descarbonizada, es necesario adaptar la infraestructura escolar y de laboratorio para la adquisición de capacidades profesionales prácticas. Por lo tanto, las autoridades regionales tienen la intención de tratar esta infraestructura como una infraestructura para la educación en el sentido del Reglamento del FTJ.</w:t>
      </w:r>
    </w:p>
    <w:p w:rsidR="00F83F12" w:rsidRDefault="00F83F12"/>
    <w:p w:rsidR="00F83F12" w:rsidRDefault="001C6219">
      <w:pPr>
        <w:pStyle w:val="P68B1DB1-Normal4"/>
      </w:pPr>
      <w:r>
        <w:t>Respuesta a la pregunta 7:</w:t>
      </w:r>
    </w:p>
    <w:p w:rsidR="00F83F12" w:rsidRDefault="001C6219">
      <w:r>
        <w:t>De conformidad con el artículo 8, apartado 2, letra o), del Reglamento del FTJ, las inversiones en infraestructuras educativas a efectos de los centros de formación son subvencionables siempre que estén debidamente justificadas en el plan territorial de transición justa y estén directamente relacionadas con el objetivo específico del FTJ. Así pues, estas inversiones deben abordar las consecuencias negativas del proceso de transición, por ejemplo, utilizándolas en programas de mejora de las capacidades y reciclaje profesional para antiguos mineros.</w:t>
      </w:r>
    </w:p>
    <w:p w:rsidR="00F83F12" w:rsidRDefault="001C6219">
      <w:r>
        <w:t>En este contexto, y en las condiciones expuestas anteriormente, la actividad propuesta por Polonia puede ser subvencionable. Sin embargo, la Comisión evaluará la medida concreta en el contexto del plan territorial de transición justa pertinente. </w:t>
      </w:r>
    </w:p>
    <w:p w:rsidR="00F83F12" w:rsidRDefault="00F83F12"/>
    <w:p w:rsidR="00F83F12" w:rsidRDefault="001C6219">
      <w:pPr>
        <w:pStyle w:val="P68B1DB1-Normal4"/>
      </w:pPr>
      <w:r>
        <w:t>Pregunta 8 (incluidos los hechos e información pertinentes):</w:t>
      </w:r>
    </w:p>
    <w:p w:rsidR="00F83F12" w:rsidRDefault="001C6219">
      <w:pPr>
        <w:pStyle w:val="P68B1DB1-Normal4"/>
      </w:pPr>
      <w:r>
        <w:t>¿En qué medida la restauración y el aumento de los recursos hídricos en las zonas hidrológicamente degradadas son subvencionables en virtud del Reglamento del FTJ?</w:t>
      </w:r>
    </w:p>
    <w:p w:rsidR="00F83F12" w:rsidRDefault="001C6219">
      <w:r>
        <w:t>La subregión de Konin quiere reconstruir y aumentar los recursos hídricos de las zonas degradadas en términos de hidrología (en particular mediante la creación de embalses de agua en los pozos de la minería). Tipo de operación: restaurar y aumentar los recursos hídricos en las zonas hidrológicamente degradadas de WW («Wielkopolska Occidental») (también mediante la creación de embalses de agua en excavaciones mineras) mediante, entre otras cosas:</w:t>
      </w:r>
    </w:p>
    <w:p w:rsidR="00F83F12" w:rsidRDefault="001C6219">
      <w:pPr>
        <w:numPr>
          <w:ilvl w:val="0"/>
          <w:numId w:val="93"/>
        </w:numPr>
      </w:pPr>
      <w:r>
        <w:t>inversiones en instalaciones hidráulicas e infraestructuras hidrotécnicas;</w:t>
      </w:r>
    </w:p>
    <w:p w:rsidR="00F83F12" w:rsidRDefault="001C6219">
      <w:pPr>
        <w:numPr>
          <w:ilvl w:val="0"/>
          <w:numId w:val="93"/>
        </w:numPr>
      </w:pPr>
      <w:r>
        <w:lastRenderedPageBreak/>
        <w:t>restauración de la red hidrográfica y restauración de cursos de agua transformados;</w:t>
      </w:r>
    </w:p>
    <w:p w:rsidR="00F83F12" w:rsidRDefault="001C6219">
      <w:pPr>
        <w:numPr>
          <w:ilvl w:val="0"/>
          <w:numId w:val="93"/>
        </w:numPr>
      </w:pPr>
      <w:r>
        <w:t>desarrollo de la retención a pequeña escala y a pequeña escala;</w:t>
      </w:r>
    </w:p>
    <w:p w:rsidR="00F83F12" w:rsidRDefault="001C6219">
      <w:pPr>
        <w:numPr>
          <w:ilvl w:val="0"/>
          <w:numId w:val="93"/>
        </w:numPr>
      </w:pPr>
      <w:r>
        <w:t>conservación y restauración de hábitats naturales, incluidos los humedales;</w:t>
      </w:r>
    </w:p>
    <w:p w:rsidR="00F83F12" w:rsidRDefault="001C6219">
      <w:pPr>
        <w:numPr>
          <w:ilvl w:val="0"/>
          <w:numId w:val="93"/>
        </w:numPr>
      </w:pPr>
      <w:r>
        <w:t>desarrollo de infraestructuras verdes y azules, eliminación de superficies impermeables, desarrollo de sistemas de gestión de aguas pluviales y drenaje de aguas pluviales, protección de parques y rocas existentes y bosques arbóreos.</w:t>
      </w:r>
    </w:p>
    <w:p w:rsidR="00F83F12" w:rsidRDefault="001C6219">
      <w:r>
        <w:t>Con el fin de restaurar y mejorar los recursos hídricos, Konin desea financiar mediante la acción del FTJ en zonas fuera de la subregión cubierta por el anexo D y el plan territorial de transición justa.</w:t>
      </w:r>
    </w:p>
    <w:p w:rsidR="00F83F12" w:rsidRDefault="001C6219">
      <w:r>
        <w:t>El considerando 12 del Reglamento del FTJ establece que los proyectos de restauración deben poder apoyar la restauración de emplazamientos y el desarrollo de infraestructuras verdes y la gestión del agua. Las antiguas zonas industriales a que se refiere el Reglamento no deben tenerse en cuenta únicamente en el contexto de la conversión a la morfología del emplazamiento (superficie/ruido) o la contaminación del suelo. En el caso de la explotación minera de lignito, también es importante definir la extensión de las antiguas zonas hidrológicamente abandonadas. La extracción de carbón a cielo abierto en Wielkopolska oriental ha dado lugar a que casi la mitad de la subregión se encuentre en una zona de acumulación de fenómenos de déficit hídrico, cuya extensión se define como tierras hidrológicamente degradadas. A la luz de lo anterior, Konin no puede estar de acuerdo con la enmienda propuesta por la Comisión para: «reconstruir y aumentar los recursos hídricos de WW mediante la creación de embalses de agua en excavaciones mineras», el proyecto de Wody Polskie (gestor nacional polaco de aguas) abarca una gama más amplia de acciones destinadas a restablecer las relaciones hídricas normales en la subregión.</w:t>
      </w:r>
    </w:p>
    <w:p w:rsidR="00F83F12" w:rsidRDefault="001C6219">
      <w:r>
        <w:t>Infraestructura hidrotécnica y establecimiento de uno de los proyectos emblemáticos del plan territorial de transición justa de WW, a saber, el proyecto PGW Wody Polskie «Aumento de la retención y restauración de los recursos hídricos de las zonas posmineras en la región oriental de Wielkopolska».</w:t>
      </w:r>
    </w:p>
    <w:p w:rsidR="00F83F12" w:rsidRDefault="001C6219">
      <w:r>
        <w:t>La región de Wielkopolska Oriental, que lleva décadas bajo una fuerte presión antropogénica, teniendo en cuenta el cambio climático, corre el riesgo de sufrir estrés hídrico como cualquier otra región de Polonia. El funcionamiento a largo plazo de las minas de lignito a cielo abierto, que ha dado lugar a reducciones a largo plazo de los niveles de las aguas subterráneas, ha desempeñado un papel importante en este sentido, con el resultado de que muchas masas de agua y humedales de la zona se han desecado o reducido drásticamente su superficie, y muchos cursos de agua han cambiado completamente su naturaleza y no han experimentado flujos naturales de agua desde hace mucho tiempo.</w:t>
      </w:r>
    </w:p>
    <w:p w:rsidR="00F83F12" w:rsidRDefault="001C6219">
      <w:r>
        <w:t>Esta situación debe abordarse restaurando la red hidrográfica llevando a cabo medidas para aumentar el potencial de retención de agua y restaurando los niveles naturales de las aguas superficiales y subterráneas.</w:t>
      </w:r>
    </w:p>
    <w:p w:rsidR="00F83F12" w:rsidRDefault="001C6219">
      <w:r>
        <w:t xml:space="preserve">La respuesta a los problemas relacionados con los recursos hídricos de la región oriental de Wielkopolskie es el proyecto titulado </w:t>
      </w:r>
      <w:r w:rsidR="00776CF7">
        <w:t>«Incremento</w:t>
      </w:r>
      <w:r>
        <w:rPr>
          <w:i/>
        </w:rPr>
        <w:t xml:space="preserve"> de la retención y restauración de </w:t>
      </w:r>
      <w:r>
        <w:rPr>
          <w:i/>
        </w:rPr>
        <w:lastRenderedPageBreak/>
        <w:t>las zonas posmineras en la región oriental de Wielkopolska»</w:t>
      </w:r>
      <w:r>
        <w:t>. La ejecución del proyecto consistirá en más de 20 tareas cuyas actividades tienen por objeto ralentizar y detener la escorrentía de las cuencas hidrográficas mediante la construcción o la reconstrucción:</w:t>
      </w:r>
    </w:p>
    <w:p w:rsidR="00F83F12" w:rsidRDefault="001C6219">
      <w:pPr>
        <w:numPr>
          <w:ilvl w:val="0"/>
          <w:numId w:val="94"/>
        </w:numPr>
      </w:pPr>
      <w:r>
        <w:t>umbrales de estabilidad en forma de toros en cursos de agua y canales naturales;</w:t>
      </w:r>
    </w:p>
    <w:p w:rsidR="00F83F12" w:rsidRDefault="001C6219">
      <w:pPr>
        <w:numPr>
          <w:ilvl w:val="0"/>
          <w:numId w:val="94"/>
        </w:numPr>
      </w:pPr>
      <w:r>
        <w:t>estructuras hidrotécnicas situadas en las salidas de lagos que permitan restablecer los niveles históricos de agua en los lagos y sus alrededores;</w:t>
      </w:r>
    </w:p>
    <w:p w:rsidR="00F83F12" w:rsidRDefault="001C6219">
      <w:pPr>
        <w:numPr>
          <w:ilvl w:val="0"/>
          <w:numId w:val="94"/>
        </w:numPr>
      </w:pPr>
      <w:r>
        <w:t>conducciones y trasvases con un sistema de estaciones de bombeo, que alimentan el agua de ríos con mayores recursos hídricos a excavaciones posteriores a la minería y cursos de agua, que se encuentran al alcance de las colonias de depresión asociadas a las minas de lignito a cielo abierto en funcionamiento y cerradas.</w:t>
      </w:r>
    </w:p>
    <w:p w:rsidR="00F83F12" w:rsidRDefault="001C6219">
      <w:r>
        <w:t>También es importante regenerar cursos de agua transformados antropogénicamente, que actualmente actúan como canales que vierten agua de la mina.</w:t>
      </w:r>
    </w:p>
    <w:p w:rsidR="00F83F12" w:rsidRDefault="001C6219">
      <w:r>
        <w:t>Las estructuras de presa previstas destinadas a restaurar los recursos hídricos de, entre otros, los lagos mediante la estabilización del espejo de agua permitirán detener la escorrentía incontrolada y reducir los niveles de agua en los lagos y generar una retención de agua en los cursos de agua. Con el fin de interferir lo menos posible en el medio ambiente, está previsto que la mayoría de las presas se fabriquen con materiales naturales, como umbrales de ac</w:t>
      </w:r>
      <w:r w:rsidR="00776CF7">
        <w:t>tivación como los prismas rocoso</w:t>
      </w:r>
      <w:r>
        <w:t xml:space="preserve">s en forma de toros, lo que también permitirá la migración de organismos acuáticos. Los ríos/cursos de agua de la zona de las estructuras se reforzarán con un paso de piedra o un lecho rocoso con una punta en forma de </w:t>
      </w:r>
      <w:r w:rsidR="00776CF7">
        <w:t>empalizada</w:t>
      </w:r>
      <w:r>
        <w:t xml:space="preserve"> de madera. Las obras se planifican durante la construcción sin necesidad de realizar canales temporales.</w:t>
      </w:r>
    </w:p>
    <w:p w:rsidR="00F83F12" w:rsidRDefault="001C6219">
      <w:r>
        <w:t xml:space="preserve">Con el fin de mantener las cuencas hidrográficas con agua, está previsto construir conductos de trasvase: la construcción de un trasvase de agua, </w:t>
      </w:r>
      <w:r w:rsidR="00214B1C">
        <w:t xml:space="preserve">por ejemplo, </w:t>
      </w:r>
      <w:r>
        <w:t>desde el río Warta, con el fin de mejorar las condiciones hidrológicas generales en las cuencas hidrográficas de los ríos Teleszyna, Warcica, Bishopna Strugi o Noteci. En la mayoría de los casos, la construcción de tuberías y estaciones de bombeo asociadas utilizará infraestructuras posteriores a la explotación minera (diques ferroviarios, carreteras, pizarras, zanjas y conductos de drenaje) para no interferir en zonas de alto valor natural.</w:t>
      </w:r>
    </w:p>
    <w:p w:rsidR="00F83F12" w:rsidRDefault="001C6219">
      <w:r>
        <w:t>Estas actividades garantizarán que las aguas superficiales disponibles se dirijan a excavaciones de minas de lignito a cielo abierto con el fin de rellenarlas más rápidamente y restaurar los recursos hídricos subterráneos perdidos en su zona. A falta de un suministro adicional de agua para excavaciones inundadas y cursos de agua cercanos, con una configuración del terreno excepcionalmente desfavorable (ubicación en una zona hidrográfica) y con las precipitaciones más bajas de Polonia, se tardará entre 30 y 40 años en llenar los huecos de excavación y restaurar los niveles naturales de superficie y agua subterránea de la zona en cuestión. La ejecución de las inversiones mencionadas permitirá alcanzar los objetivos fijados, con vistas a restablecer plenamente las relaciones hídricas en la zona, en un plazo de 5-6 años a partir del final del último.</w:t>
      </w:r>
    </w:p>
    <w:p w:rsidR="00F83F12" w:rsidRDefault="001C6219">
      <w:r>
        <w:t xml:space="preserve">Habida cuenta de lo anterior, el proyecto «Aumentar la retención y la reconstrucción de las zonas posmineras en la zona de Wielkopolska oriental se basa en el uso o construcción de infraestructuras hidrotécnicas, sin las cuales no es posible reconstruir </w:t>
      </w:r>
      <w:r>
        <w:lastRenderedPageBreak/>
        <w:t>los recursos hídricos de Wielkopolska oriental, está justificado que las «inversiones en equipos hídricos e infraestructuras hidrotécnicas» sean reconocidas por la Comisión y que los fondos asignados para su ejecución sean subvencionables.</w:t>
      </w:r>
    </w:p>
    <w:p w:rsidR="00F83F12" w:rsidRDefault="001C6219">
      <w:r>
        <w:t>Las medidas propuestas mejorarán el sistema de gestión del agua en Polonia, facilitarán el acceso al agua, reducirán los efectos negativos de las sequías, mejorarán y mantendrán el buen estado/potencial de las aguas y los ecosistemas dependientes de las aguas y mejorarán la seguridad de la gestión del agua. También permitirán la restauración de hábitats de humedales valiosos para el medio ambiente, cuyo número se ha reducido a la mitad en la región en los últimos 50 años.</w:t>
      </w:r>
    </w:p>
    <w:p w:rsidR="00F83F12" w:rsidRDefault="001C6219">
      <w:r>
        <w:t>Sin el apoyo de los fondos de la UE, la ejecución de un proyecto tan amplio e importante para Polonia será un proceso duradero y podría agravar aún más el ya reducido déficit hídrico.</w:t>
      </w:r>
    </w:p>
    <w:p w:rsidR="00F83F12" w:rsidRDefault="001C6219">
      <w:r>
        <w:t>Si no se lleva a cabo el proyecto, persistirá la falta de caudales en los ríos de Wielkopolska Oriental y la reducción gradual de los niveles de agua en los lagos y otras masas de agua, su lavado y escorrentía, así como cambios en las comunidades de hábitats de las plantas que rodean las aguas y los cursos de agua.</w:t>
      </w:r>
    </w:p>
    <w:p w:rsidR="00F83F12" w:rsidRDefault="001C6219">
      <w:r>
        <w:t>Las disposiciones del proyecto de acuerdo de asociación prevén las medidas necesarias en el marco del OP 2 en el ámbito de los equipos hídricos y las infraestructuras hidrotécnicas para reducir el impacto de las inundaciones y sequías, si los mecanismos de los ecosistemas naturales son insuficientes y la aplicación de estas medidas no aumenta el riesgo en situaciones de emergencia.</w:t>
      </w:r>
    </w:p>
    <w:p w:rsidR="00F83F12" w:rsidRDefault="001C6219">
      <w:r>
        <w:t>Además, se presentó a la Comisión un comentario sobre el proyecto de acuerdo de asociación relativo a los equipos hidrotécnicos en el marco del transporte por vías navegables interiores y al artículo 4, apartado 7, de la Directiva marco sobre el agua. Las inversiones previstas no estarán vinculadas a actividades que puedan empeorar el estado ecológico de las masas de agua. Gracias a las tareas previstas por el Plan Hidrológico de Wody Polskie, se restablecerá la continuidad morfológica de muchos ríos, que han permanecido secos durante décadas, se restablecerán muchos de los cursos de agua que se están calibrando y, mediante una inundación más rápida de las minas a cielo abierto y la construcción de umbrales para estabilizar los vertidos de los lagos, será posible alcanzar un buen estado ecológico para muchos lagos actualmente degradados.</w:t>
      </w:r>
    </w:p>
    <w:p w:rsidR="00F83F12" w:rsidRDefault="00F83F12"/>
    <w:p w:rsidR="00F83F12" w:rsidRDefault="001C6219">
      <w:r>
        <w:t>Inversiones fuera de la región de Wielkopolskie oriental y establecimiento de uno de los proyectos emblemáticos del plan territorial de transición justa, a saber, el proyecto PGW Wody Polskie «Aumento de la retención y restauración de los recursos hídricos de las zonas posmineras de la región de Wielkopolska oriental»</w:t>
      </w:r>
    </w:p>
    <w:p w:rsidR="00F83F12" w:rsidRDefault="001C6219">
      <w:r>
        <w:t xml:space="preserve">La disposición del plan territorial de ordenación territorial «Con el fin de restaurar y aumentar los recursos hídricos de los WW pueden tomar medidas en zonas situadas fuera de la subregión» está relacionada con el proyecto previsto del plan hidrológico de cuenca de Wody Polskie «Aumento de la retención y restauración de los recursos hídricos de las zonas posmineras en la región oriental de Wielkopolskie». La ejecución de la inversión consiste en más de 20 tareas repartidas a lo largo de un período de 6 años. Estas tareas son complementarias a través de medidas integrales para aumentar la retención en la región de Wielkopolska Oriental. La red hidrográfica del lugar puede </w:t>
      </w:r>
      <w:r>
        <w:lastRenderedPageBreak/>
        <w:t>restaurarse gracias a la interacción de muchos elementos de las distintas tareas, que son complementarias, y la aplicación de todo el componente afectará a los recursos hídricos de las comarcas superficiales y subterráneas en la zona de impacto minero directo e indirecto.</w:t>
      </w:r>
    </w:p>
    <w:p w:rsidR="00F83F12" w:rsidRDefault="001C6219">
      <w:r>
        <w:t>El proyecto está situado en Wielkopolska Este, pero las diferentes actividades abarcan y repercutirán en el ámbito territorial más amplio. Además de los municipios situados en el este de Wielkopolskie, está previsto que las inversiones se lleven a cabo en los siguientes municipios: Wittokowo, Trimeszno, Lago Great, Mogilno, Dąbrowa, Strzelno, Warta. Teniendo en cuenta que algunos de estos municipios están situados fuera de los límites del Consejo Regional de Gestión del Agua de Poznań, está previsto que el Consejo Regional de Gestión del Agua de Bydgoszcz participe en la ejecución del proyecto con el fin de maximizar los resultados esperados.</w:t>
      </w:r>
    </w:p>
    <w:p w:rsidR="00F83F12" w:rsidRDefault="001C6219">
      <w:r>
        <w:t>Habida cuenta de la ubicación de las minas a cielo abierto y de los cursos de agua necesarios para llevar a cabo las tareas, en zonas situadas fuera de la ciudad de Konin, el distrito de Konin, los distritos de Kolski, Turquía y Słupecki, es necesario permitir el trasvase de agua a embalses y ríos situados en la subregión de Konin, también fuera de Wielkopolska Este. La red hidrográfica no tiene límites administrativos, sino que depende del terreno y de la estructura geológica del sustrato, por lo que resulta difícil llevar a cabo el proyecto hasta los límites de las unidades administrativas.</w:t>
      </w:r>
    </w:p>
    <w:p w:rsidR="00F83F12" w:rsidRDefault="001C6219">
      <w:r>
        <w:t>Además, el ministro Tadeusz Kościński informó sobre la posibilidad de realizar determinadas inversiones fuera de Wielkopolska East mediante carta de 23 de febrero de 2021. Subraya que, en principio, el FTJ podría llevar a cabo actividades en las zonas definidas en el plan territorial de transición justa, pero que los proyectos podrían llevarse a cabo en zonas de provincias vecinas que no puedan optar a la ayuda del FTJ; a tal fin, es esencial que el alcance de las actividades propuestas para su ejecución en dicha zona se derive del plan territorial de transición justa y que se apliquen los objetivos del plan territorial de transición justa en cuestión.</w:t>
      </w:r>
    </w:p>
    <w:p w:rsidR="00F83F12" w:rsidRDefault="001C6219">
      <w:pPr>
        <w:pStyle w:val="P68B1DB1-Normal4"/>
      </w:pPr>
      <w:r>
        <w:t>Respuesta a la pregunta 8:</w:t>
      </w:r>
    </w:p>
    <w:p w:rsidR="00F83F12" w:rsidRDefault="001C6219">
      <w:r>
        <w:t>De conformidad con el artículo 8 del Reglamento del FTJ, la gestión del agua como tal no es subvencionable en el marco del FTJ. Solo podrá recibir ayuda como parte de proyectos de restauración de tierras [artículo 8, apartado 2, letra i), del Reglamento del FTJ], como también se menciona en el considerando (12) del Reglamento del FTJ.  Esto significa que los proyectos relacionados con el agua deben centrarse en la restauración del suelo.</w:t>
      </w:r>
    </w:p>
    <w:p w:rsidR="00F83F12" w:rsidRDefault="001C6219">
      <w:r>
        <w:t>Los servicios de la Comisión evaluarán las medidas concretas en el contexto del plan territorial de transición justa presentado. </w:t>
      </w:r>
    </w:p>
    <w:p w:rsidR="00F83F12" w:rsidRDefault="00F83F12"/>
    <w:p w:rsidR="00F83F12" w:rsidRDefault="001C6219">
      <w:pPr>
        <w:pStyle w:val="P68B1DB1-Normal4"/>
      </w:pPr>
      <w:r>
        <w:t>Pregunta 9 (incluidos los hechos e información pertinentes):</w:t>
      </w:r>
    </w:p>
    <w:p w:rsidR="00F83F12" w:rsidRDefault="001C6219">
      <w:pPr>
        <w:pStyle w:val="P68B1DB1-Normal4"/>
      </w:pPr>
      <w:r>
        <w:t>¿En qué medida la promoción económica y de las inversiones puede optar a la financiación del FTJ?</w:t>
      </w:r>
    </w:p>
    <w:p w:rsidR="00F83F12" w:rsidRDefault="001C6219">
      <w:r>
        <w:t xml:space="preserve">Es necesario diversificar, dinamizar el desarrollo y mejorar la productividad en las regiones carboníferas. Un enfoque amplio del desarrollo del espíritu empresarial requerirá la creación de incentivos a la inversión para las personas que abandonan los </w:t>
      </w:r>
      <w:r>
        <w:lastRenderedPageBreak/>
        <w:t>sectores minero y de la energía convencional y las empresas de la industria minera para crear una empresa. Sin embargo, será importante crear incentivos a la inversión para inversores externos procedentes de industrias y servicios modernos en las regiones carboníferas; sin una promoción económica adecuada, no será posible un enfoque global para el desarrollo y la diversificación de los sectores económicos existentes. Además, el informe de la OCDE (Regiones en transición industrial, políticas para personas y lugares) señala que la transformación industrial requiere apoyar el intercambio de conocimientos entre los líderes locales y permitir la entrada de nuevos agentes en los mercados o industrias existentes. La herramienta pertinente incluye la promoción de actos internos (por ejemplo, creación de redes locales) o externos (por ejemplo, representación de la región, empresarios regionales en ferias) e incentivos para la cooperación en I + D. La mejora y el apoyo del entorno empresarial deben incluir la promoción, también a través de campañas en los medios de comunicación o de interacciones directas.</w:t>
      </w:r>
    </w:p>
    <w:p w:rsidR="00F83F12" w:rsidRDefault="00F83F12"/>
    <w:p w:rsidR="00F83F12" w:rsidRDefault="001C6219">
      <w:pPr>
        <w:pStyle w:val="P68B1DB1-Normal4"/>
      </w:pPr>
      <w:r>
        <w:t>Respuesta a la pregunta 9:</w:t>
      </w:r>
    </w:p>
    <w:p w:rsidR="00F83F12" w:rsidRDefault="001C6219">
      <w:r>
        <w:t>Los proyectos relacionados con la promoción económica y de la inversión no son</w:t>
      </w:r>
      <w:r>
        <w:rPr>
          <w:b/>
        </w:rPr>
        <w:t xml:space="preserve"> </w:t>
      </w:r>
      <w:r>
        <w:t>subvencionables de conformidad con el artículo 8, apartado 2, del Reglamento del FTJ. No obstante, dicha ayuda podrá prestarse a través del FEDER. Por lo tanto, la autoridad de gestión podría explorar posibles sinergias entre las inversiones ejecutadas en el territorio del FTJ en el marco de los diferentes fondos y planificarlas de manera coordinada.</w:t>
      </w:r>
    </w:p>
    <w:p w:rsidR="00F83F12" w:rsidRDefault="00F83F12"/>
    <w:p w:rsidR="00F83F12" w:rsidRDefault="001C6219">
      <w:pPr>
        <w:pStyle w:val="P68B1DB1-Normal4"/>
      </w:pPr>
      <w:r>
        <w:t>Pregunta 10 (incluidos los hechos e información pertinentes):</w:t>
      </w:r>
    </w:p>
    <w:p w:rsidR="00F83F12" w:rsidRDefault="001C6219">
      <w:pPr>
        <w:pStyle w:val="P68B1DB1-Normal4"/>
      </w:pPr>
      <w:r>
        <w:t>¿En qué medida pueden optar a la financiación del FTJ los proyectos de conservación de la identidad y el patrimonio cultural, incluido el patrimonio industrial, destinados a la activación social?</w:t>
      </w:r>
    </w:p>
    <w:p w:rsidR="00F83F12" w:rsidRDefault="001C6219">
      <w:r>
        <w:t>El Reglamento del FTJ indica en el considerando (12) que la lista de inversiones debe incluir inversiones que apoyen a las economías locales estimulando su potencial de crecimiento endógeno en consonancia con las estrategias de especialización inteligente pertinentes, incluido el turismo sostenible cuando proceda. En la Estrategia Regional de Innovación para Wielkopolskie 2030 (RIS 2030), los análisis permitieron identificar el potencial de la subregión de Konin para convertirse en una zona vinculada a las especializaciones subregionales. Además de las especializaciones regionales de Wielkopolskie, se han identificado las siguientes especializaciones inteligentes subregionales para reducir las salidas de población de la subregión de Konin:</w:t>
      </w:r>
    </w:p>
    <w:p w:rsidR="00F83F12" w:rsidRDefault="001C6219">
      <w:pPr>
        <w:numPr>
          <w:ilvl w:val="0"/>
          <w:numId w:val="95"/>
        </w:numPr>
      </w:pPr>
      <w:r>
        <w:t>Energías renovables y tecnologías modernas del hidrógeno</w:t>
      </w:r>
    </w:p>
    <w:p w:rsidR="00F83F12" w:rsidRDefault="001C6219">
      <w:pPr>
        <w:numPr>
          <w:ilvl w:val="0"/>
          <w:numId w:val="95"/>
        </w:numPr>
      </w:pPr>
      <w:r>
        <w:t>Turismo</w:t>
      </w:r>
    </w:p>
    <w:p w:rsidR="00F83F12" w:rsidRDefault="001C6219">
      <w:pPr>
        <w:numPr>
          <w:ilvl w:val="0"/>
          <w:numId w:val="95"/>
        </w:numPr>
      </w:pPr>
      <w:r>
        <w:t>Logística</w:t>
      </w:r>
    </w:p>
    <w:p w:rsidR="00F83F12" w:rsidRDefault="001C6219">
      <w:pPr>
        <w:numPr>
          <w:ilvl w:val="0"/>
          <w:numId w:val="95"/>
        </w:numPr>
      </w:pPr>
      <w:r>
        <w:t>Producción de alimentos saludables</w:t>
      </w:r>
    </w:p>
    <w:p w:rsidR="00F83F12" w:rsidRDefault="001C6219">
      <w:r>
        <w:t xml:space="preserve">Además, el considerando (15) del Reglamento del FTJ indica la necesidad de preservar la identidad de las comunidades mineras y de garantizar la continuidad de las </w:t>
      </w:r>
      <w:r>
        <w:lastRenderedPageBreak/>
        <w:t>comunidades pasadas y futuras. Esto implica prestar especial atención a su patrimonio minero material e inmaterial, incluida la cultura.</w:t>
      </w:r>
    </w:p>
    <w:p w:rsidR="00F83F12" w:rsidRDefault="001C6219">
      <w:r>
        <w:t>Además, en opinión de la región, esta acción está en consonancia con el artículo 8, apartado. Reglamento del FTJ, letra o), otras actividades en los ámbitos de la educación y la inclusión social.</w:t>
      </w:r>
    </w:p>
    <w:p w:rsidR="00F83F12" w:rsidRDefault="001C6219">
      <w:r>
        <w:t>Estas actividades serán llevadas a cabo por municipios u otras entidades en el marco de iniciativas de base para la conservación de la identidad cultural o del patrimonio cultural (en las que se favorecerá específicamente el patrimonio industrial) destinadas a la activación social de los habitantes de las regiones carboníferas. También hay que tener en cuenta que, como consecuencia del abandono de la industria minera, en realidad están cambiando, se desarrollan a lo largo de muchos años de trabajo en la mina, sus estilos de vida (tres turnos, desplazamientos a minas/centrales eléctricas, etc.). Como consecuencia del cambio (jubilación o cambio de puesto de trabajo), existe un riesgo de exclusión social y de aparición de patologías. Para contrarrestar esta situación, puede ser importante ofrecer diferentes formas de gastar las actividades de ocio, en particular aumentando el acceso de los residentes a la cultura. Por supuesto, este elemento puede ampliarse para incluir la creación de empleo, en cuyo caso este tipo de operación también encajará en el artículo 8, apartado. Reglamento del FTJ, apartado 1) asistencia a los solicitantes de empleo en la búsqueda de empleo.</w:t>
      </w:r>
    </w:p>
    <w:p w:rsidR="00F83F12" w:rsidRDefault="00F83F12"/>
    <w:p w:rsidR="00F83F12" w:rsidRDefault="001C6219">
      <w:pPr>
        <w:pStyle w:val="P68B1DB1-Normal4"/>
      </w:pPr>
      <w:r>
        <w:t>Respuesta a la pregunta 10:</w:t>
      </w:r>
    </w:p>
    <w:p w:rsidR="00F83F12" w:rsidRDefault="001C6219">
      <w:r>
        <w:t>Los proyectos culturales no son subvencionables en virtud del artículo 8, apartado 2, del Reglamento del FTJ. Sin embargo, el considerando 15 del Reglamento del FTJ subraya la necesidad de preservar la identidad de las comunidades mineras durante la ejecución del FTJ y de garantizar la continuidad de las comunidades pasadas y futuras. Esto implica prestar especial atención a su patrimonio minero tangible y no tangible, incluida su cultura, al tiempo que se llevan a cabo inversiones subvencionables en virtud del artículo 8, apartado 2, del Reglamento del FTJ (por ejemplo, restauración de activos posmineros o posindustriales o turismo sostenible; véase la respuesta a la pregunta 3).</w:t>
      </w:r>
    </w:p>
    <w:p w:rsidR="00F83F12" w:rsidRDefault="00F83F12"/>
    <w:p w:rsidR="00F83F12" w:rsidRDefault="001C6219">
      <w:r>
        <w:t>TIERNA _</w:t>
      </w:r>
    </w:p>
    <w:p w:rsidR="00F83F12" w:rsidRDefault="00FC0FB1">
      <w:hyperlink w:anchor="scroll-bookmark-224" w:history="1">
        <w:r w:rsidR="001C6219">
          <w:rPr>
            <w:rStyle w:val="Hipervnculo"/>
          </w:rPr>
          <w:t>[1]</w:t>
        </w:r>
      </w:hyperlink>
      <w:r w:rsidR="001C6219">
        <w:t xml:space="preserve"> Artículo 3, apartado 9, del Reglamento (UE) 2020/2094 del Consejo, de 14 de diciembre de 2020, por el que se establece un Instrumento de Recuperación de la Unión Europea para apoyar la recuperación tras la crisis de la COVID-19.</w:t>
      </w:r>
    </w:p>
    <w:p w:rsidR="00F83F12" w:rsidRDefault="00F83F12"/>
    <w:p w:rsidR="00F83F12" w:rsidRDefault="00F83F12"/>
    <w:p w:rsidR="00F83F12" w:rsidRDefault="001C6219">
      <w:pPr>
        <w:pStyle w:val="Ttulo1"/>
      </w:pPr>
      <w:bookmarkStart w:id="219" w:name="scroll-bookmark-225"/>
      <w:bookmarkStart w:id="220" w:name="scroll-bookmark-226"/>
      <w:bookmarkEnd w:id="219"/>
      <w:r>
        <w:t>QA00124 — Verificación de los solicitantes de ayuda del FEDER desde la perspectiva de una empresa en crisis</w:t>
      </w:r>
      <w:bookmarkEnd w:id="220"/>
    </w:p>
    <w:p w:rsidR="00F83F12" w:rsidRDefault="001C6219">
      <w:r>
        <w:rPr>
          <w:noProof/>
          <w:lang w:val="es-ES"/>
        </w:rPr>
        <w:drawing>
          <wp:inline distT="0" distB="0" distL="0" distR="0" wp14:anchorId="1717EC7F" wp14:editId="0BD88F38">
            <wp:extent cx="152435" cy="152435"/>
            <wp:effectExtent l="0" t="0" r="0" b="0"/>
            <wp:docPr id="100443" name="Imagen 1004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F83F12" w:rsidRDefault="001C6219">
      <w:r>
        <w:lastRenderedPageBreak/>
        <w:t>Artículo 7, letra d), del Reglamento FEDER/FC</w:t>
      </w:r>
    </w:p>
    <w:p w:rsidR="00F83F12" w:rsidRDefault="001C6219">
      <w:r>
        <w:t>Artículo 63 (1) del RDC </w:t>
      </w:r>
    </w:p>
    <w:p w:rsidR="00F83F12" w:rsidRDefault="001C6219">
      <w:r>
        <w:rPr>
          <w:noProof/>
          <w:lang w:val="es-ES"/>
        </w:rPr>
        <w:drawing>
          <wp:inline distT="0" distB="0" distL="0" distR="0" wp14:anchorId="0DFB0AF9" wp14:editId="72E0ABB3">
            <wp:extent cx="152435" cy="152435"/>
            <wp:effectExtent l="0" t="0" r="0" b="0"/>
            <wp:docPr id="100445" name="Imagen 1004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F83F12" w:rsidRDefault="00F83F12"/>
    <w:p w:rsidR="00F83F12" w:rsidRDefault="001C6219">
      <w:pPr>
        <w:pStyle w:val="P68B1DB1-Normal4"/>
      </w:pPr>
      <w:r>
        <w:t>Pregunta 1 (incluidos los hechos e información pertinentes):</w:t>
      </w:r>
    </w:p>
    <w:p w:rsidR="00F83F12" w:rsidRDefault="001C6219">
      <w:pPr>
        <w:pStyle w:val="P68B1DB1-Normal13"/>
      </w:pPr>
      <w:r>
        <w:t>Aplicación del artículo 7, apartado 1, letra d), del FEDER y del FC — Sobre la base de qué condiciones y en qué casos deben verificarse los solicitantes desde la perspectiva de una empresa en crisis (caso especial de unidades autónomas)?</w:t>
      </w:r>
    </w:p>
    <w:p w:rsidR="00F83F12" w:rsidRDefault="001C6219">
      <w:pPr>
        <w:numPr>
          <w:ilvl w:val="0"/>
          <w:numId w:val="96"/>
        </w:numPr>
      </w:pPr>
      <w:r>
        <w:t>En los casos en que las unidades territoriales autónomas (municipios o regiones) ejerzan una actividad tanto económica como no económica y el apoyo se destine únicamente a la actividad no económica;</w:t>
      </w:r>
    </w:p>
    <w:p w:rsidR="00F83F12" w:rsidRDefault="001C6219">
      <w:pPr>
        <w:numPr>
          <w:ilvl w:val="0"/>
          <w:numId w:val="96"/>
        </w:numPr>
      </w:pPr>
      <w:r>
        <w:t>En los casos en que la actividad económica del solicitante solo cubra hasta el 20 % de sus actividades, tal como se definen en la Comunicación de la Comisión relativa al concepto de ayuda estatal;</w:t>
      </w:r>
    </w:p>
    <w:p w:rsidR="00F83F12" w:rsidRDefault="001C6219">
      <w:pPr>
        <w:numPr>
          <w:ilvl w:val="0"/>
          <w:numId w:val="96"/>
        </w:numPr>
      </w:pPr>
      <w:r>
        <w:t>En los casos en que la región o el municipio sea un solicitante admisible pero la subvención se destine a una organización establecida por la región o el municipio, por ejemplo, la reconstrucción de guarderías o escuelas primarias o secundarias;</w:t>
      </w:r>
    </w:p>
    <w:p w:rsidR="00F83F12" w:rsidRDefault="001C6219">
      <w:pPr>
        <w:numPr>
          <w:ilvl w:val="0"/>
          <w:numId w:val="96"/>
        </w:numPr>
      </w:pPr>
      <w:r>
        <w:t>En los casos de ayuda de minimis;</w:t>
      </w:r>
    </w:p>
    <w:p w:rsidR="00F83F12" w:rsidRDefault="001C6219">
      <w:pPr>
        <w:numPr>
          <w:ilvl w:val="0"/>
          <w:numId w:val="96"/>
        </w:numPr>
      </w:pPr>
      <w:r>
        <w:t>En los casos en que una entidad pública (municipio o región) posea el 100 % de la participación de una empresa beneficiaria de la ayuda prevista:</w:t>
      </w:r>
    </w:p>
    <w:p w:rsidR="00F83F12" w:rsidRDefault="00F83F12"/>
    <w:p w:rsidR="00F83F12" w:rsidRDefault="001C6219">
      <w:pPr>
        <w:numPr>
          <w:ilvl w:val="0"/>
          <w:numId w:val="97"/>
        </w:numPr>
      </w:pPr>
      <w:r>
        <w:t>Ejemplo: El solicitante de la ayuda es una empresa de transporte establecida por el municipio que posee una participación del 100 % en la empresa. ¿Es necesario considerar a tal solicitante y al municipio pertinente y a sus otras entidades comerciales como una entidad (una empresa), o bien puede excluirse la interconexión precisamente a través del vínculo con una entidad pública (el municipio) y la demandante se verificaría por separado.</w:t>
      </w:r>
    </w:p>
    <w:p w:rsidR="00F83F12" w:rsidRDefault="001C6219">
      <w:pPr>
        <w:pStyle w:val="P68B1DB1-Normal13"/>
      </w:pPr>
      <w:r>
        <w:t>¿Solo deben verificarse los solicitantes cuyos proyectos están sujetos a las normas sobre ayudas estatales o todos los solicitantes que se consideran «empresas» en el sentido de la legislación europea?</w:t>
      </w:r>
    </w:p>
    <w:p w:rsidR="00F83F12" w:rsidRDefault="00F83F12"/>
    <w:p w:rsidR="00F83F12" w:rsidRDefault="001C6219">
      <w:pPr>
        <w:pStyle w:val="P68B1DB1-Normal4"/>
      </w:pPr>
      <w:r>
        <w:t>Respuesta.</w:t>
      </w:r>
    </w:p>
    <w:p w:rsidR="00F83F12" w:rsidRDefault="001C6219">
      <w:pPr>
        <w:pStyle w:val="P68B1DB1-Normal4"/>
      </w:pPr>
      <w:r>
        <w:t> Preguntas 1 a 3:</w:t>
      </w:r>
    </w:p>
    <w:p w:rsidR="00F83F12" w:rsidRDefault="001C6219">
      <w:r>
        <w:t>De conformidad con el artículo 7, apartado 1, letra d), del Reglamento n.º 2021/1058 (Reglamento FEDER/FC), el FEDER y el Fondo de Cohesión no apoyan a empresas en crisis. A efectos de la aplicación de esta exclusión en el ámbito de aplicación, el Reglamento FEDER/FC se refiere a la definición establecida en el artículo 2, apartado 18, del Reglamento general de exención por categorías (RGEC), un acto de la legislación de la UE en materia de ayudas estatales.</w:t>
      </w:r>
    </w:p>
    <w:p w:rsidR="00F83F12" w:rsidRDefault="001C6219">
      <w:r>
        <w:lastRenderedPageBreak/>
        <w:t>Artículo 7, apartado 1, letra d), FEDER/FC:</w:t>
      </w:r>
    </w:p>
    <w:p w:rsidR="00F83F12" w:rsidRDefault="001C6219">
      <w:pPr>
        <w:numPr>
          <w:ilvl w:val="0"/>
          <w:numId w:val="98"/>
        </w:numPr>
      </w:pPr>
      <w:r>
        <w:t>se aplica a los beneficiarios (potenciales) que llevan a cabo actividades económicas o tanto económicas como no económicas, independientemente de la presencia de ayuda estatal en el apoyo del FEDER o del FC;</w:t>
      </w:r>
    </w:p>
    <w:p w:rsidR="00F83F12" w:rsidRDefault="001C6219">
      <w:pPr>
        <w:numPr>
          <w:ilvl w:val="0"/>
          <w:numId w:val="99"/>
        </w:numPr>
      </w:pPr>
      <w:r>
        <w:t>no se aplica a los beneficiarios (potenciales) que llevan a cabo exclusivamente actividades no económicas. N.B. Con arreglo a la legislación de la UE sobre ayudas estatales, incluido el RGEC, los beneficiarios que solo realizan actividades no económicas no se consideran empresas. Por lo tanto, la definición del RGEC de empresas en crisis solo se aplica a los beneficiarios que actúan como empresas.</w:t>
      </w:r>
    </w:p>
    <w:p w:rsidR="00F83F12" w:rsidRDefault="001C6219">
      <w:r>
        <w:t>La situación financiera del beneficiario (potencial) que lleva a cabo actividades económicas o tanto económicas como no económicas, incluso si la actividad económica es puramente auxiliar de la principal actividad no económica, debe verificarse a la luz de la concurrencia de una de las circunstancias definidas en el artículo 2, punto (18), del Reglamento (UE) n.º 651/2014.</w:t>
      </w:r>
    </w:p>
    <w:p w:rsidR="00F83F12" w:rsidRDefault="001C6219">
      <w:r>
        <w:rPr>
          <w:b/>
        </w:rPr>
        <w:t>Pregunta 4:</w:t>
      </w:r>
      <w:r>
        <w:t xml:space="preserve"> Las ayudas a empresas en crisis concedidas de conformidad con uno de los Reglamentos </w:t>
      </w:r>
      <w:r>
        <w:rPr>
          <w:i/>
        </w:rPr>
        <w:t>de minimis de</w:t>
      </w:r>
      <w:r>
        <w:t xml:space="preserve"> la Comisión (pero el Reglamento n.º 360/2012, de 25 de abril de 2012, relativo a las ayudas de minimis concedidas a empresas que prestan servicios de interés económico general</w:t>
      </w:r>
      <w:hyperlink w:anchor="scroll-bookmark-227" w:history="1">
        <w:r>
          <w:rPr>
            <w:rStyle w:val="Hipervnculo"/>
          </w:rPr>
          <w:t>[1]</w:t>
        </w:r>
      </w:hyperlink>
      <w:r>
        <w:t>) no entran en el ámbito de aplicación del Reglamento FEDER/FC.</w:t>
      </w:r>
    </w:p>
    <w:p w:rsidR="00F83F12" w:rsidRDefault="001C6219">
      <w:r>
        <w:rPr>
          <w:b/>
        </w:rPr>
        <w:t>Pregunta 5:</w:t>
      </w:r>
      <w:r>
        <w:t xml:space="preserve"> La situación financiera del (potencial) beneficiario del FEDER/FC se verifica a la luz de la definición del RGEC de «empresa en crisis», establecida en el artículo 2, apartado 18, del RGEC, en la que se enumeran los sucesos cuando una empresa se considera en crisis. Cualquier beneficiario del FEDER/FC debe cumplir los criterios del RGEC para </w:t>
      </w:r>
      <w:r>
        <w:rPr>
          <w:u w:val="single"/>
        </w:rPr>
        <w:t>no</w:t>
      </w:r>
      <w:r>
        <w:t xml:space="preserve"> encontrarse en dificultades financieras.</w:t>
      </w:r>
    </w:p>
    <w:p w:rsidR="00F83F12" w:rsidRDefault="001C6219">
      <w:r>
        <w:t>Las disposiciones del RGEC se interpretan a la luz de los principios generales de la legislación sobre ayudas estatales. Es necesario esbozar dos principios fundamentales.</w:t>
      </w:r>
    </w:p>
    <w:p w:rsidR="00F83F12" w:rsidRDefault="001C6219">
      <w:r>
        <w:t xml:space="preserve">En primer lugar, la calificación de una entidad concreta como empresa depende totalmente de la naturaleza de sus actividades y no depende de su estatuto con arreglo al Derecho nacional ni de su forma de propiedad. Por lo tanto, todos los criterios de la definición de empresa en crisis establecidos en el artículo 2, apartado 18, del RGEC son, en principio, aplicables a los organismos de Derecho público, siempre que lleven a cabo una actividad </w:t>
      </w:r>
      <w:r>
        <w:rPr>
          <w:u w:val="single"/>
        </w:rPr>
        <w:t>económica, pero solo para su</w:t>
      </w:r>
      <w:r>
        <w:t xml:space="preserve"> actividad económica. El cumplimiento de los criterios debe evaluarse sobre la base de cuentas financieras separadas para las actividades económicas que la entidad lleva a cabo, dejando aparte las actividades no económicas.</w:t>
      </w:r>
    </w:p>
    <w:p w:rsidR="00F83F12" w:rsidRDefault="001C6219">
      <w:r>
        <w:t xml:space="preserve">En segundo lugar, de conformidad con la jurisprudencia, una empresa se define como una única entidad económica que tiene una fuente común de control. Por lo tanto, siempre que el grupo actúe como una única unidad económica, se considerará una sola empresa y la situación económica de todas las personas jurídicas que formen parte del grupo se tendrá en cuenta al conceder ayuda en virtud del RGEC. Cualquiera de las unidades económicas que vayan a participar en una operación como beneficiarias de la ayuda debe cumplir los criterios del RGEC para no encontrarse en dificultades económicas. En la práctica, si el beneficiario no es una «sociedad de responsabilidad </w:t>
      </w:r>
      <w:r>
        <w:lastRenderedPageBreak/>
        <w:t>limitada», como se describe en el artículo 2, apartado 18, letra a), ni una «sociedad en la que al menos algunos socios tienen una responsabilidad ilimitada por la deuda de la sociedad», como se describe en el artículo 2, apartado 18, letra b), las circunstancias descritas en las letras a) y b) no serían pertinentes para la evaluación. En los casos en que no se haya llevado a cabo una constitución ni se lleve a cabo una contabilidad separada, no es posible verificar si la ayuda no se concede a una empresa en crisis.  Sin embargo, en tal supuesto, parece difícil imaginar que las condiciones puedan cumplirse realmente para ser consideradas una empresa en crisis (por ejemplo, pérdida de capital obligatorio, condiciones para los procedimientos nacionales de insolvencia, etc.).</w:t>
      </w:r>
    </w:p>
    <w:p w:rsidR="00F83F12" w:rsidRDefault="001C6219">
      <w:r>
        <w:t>En el ejemplo descrito por las autoridades checas, puede ser necesario considerar si el solicitante y el municipio que la controla (solo en lo que respecta a sus actividades económicas), así como otras entidades económicas dependientes, actúan como una sola empresa.</w:t>
      </w:r>
    </w:p>
    <w:p w:rsidR="00F83F12" w:rsidRDefault="001C6219">
      <w:r>
        <w:rPr>
          <w:b/>
        </w:rPr>
        <w:t xml:space="preserve">Sobre la última </w:t>
      </w:r>
      <w:r w:rsidR="00377B57" w:rsidRPr="00377B57">
        <w:rPr>
          <w:b/>
        </w:rPr>
        <w:t>Pregunta</w:t>
      </w:r>
      <w:r>
        <w:t xml:space="preserve"> La situación financiera de todos los solicitantes/beneficiarios potenciales que se consideren «empresas», tal como aclara la jurisprudencia constante, debe evaluarse con arreglo a los criterios establecidos en el artículo 2, apartado 18, del RGEC. Mientras actúen como empresas, la finalización pública de su actividad o actividades está sujeta a las normas sobre ayudas estatales. Véase la respuesta a las preguntas 1-3.</w:t>
      </w:r>
    </w:p>
    <w:p w:rsidR="00F83F12" w:rsidRDefault="001C6219">
      <w:r>
        <w:t>TIERNA _</w:t>
      </w:r>
    </w:p>
    <w:p w:rsidR="00F83F12" w:rsidRDefault="00FC0FB1">
      <w:hyperlink w:anchor="scroll-bookmark-228" w:history="1">
        <w:r w:rsidR="001C6219">
          <w:rPr>
            <w:rStyle w:val="Hipervnculo"/>
          </w:rPr>
          <w:t>[1]</w:t>
        </w:r>
      </w:hyperlink>
      <w:r w:rsidR="001C6219">
        <w:t xml:space="preserve"> Porque el presente Reglamento no se aplica a las empresas en crisis en el sentido de las Directrices comunitarias sobre ayudas estatales de salvamento y de reestructuración de empresas en crisis.</w:t>
      </w:r>
    </w:p>
    <w:p w:rsidR="00F83F12" w:rsidRDefault="00F83F12"/>
    <w:p w:rsidR="00F83F12" w:rsidRDefault="00F83F12"/>
    <w:p w:rsidR="00F83F12" w:rsidRDefault="001C6219">
      <w:pPr>
        <w:pStyle w:val="Ttulo1"/>
      </w:pPr>
      <w:bookmarkStart w:id="221" w:name="scroll-bookmark-229"/>
      <w:bookmarkStart w:id="222" w:name="scroll-bookmark-230"/>
      <w:bookmarkEnd w:id="221"/>
      <w:r>
        <w:t>QA00126 — Asistencia técnica financiada por el Fondo de Transición Justa</w:t>
      </w:r>
      <w:bookmarkEnd w:id="222"/>
    </w:p>
    <w:p w:rsidR="00F83F12" w:rsidRDefault="001C6219">
      <w:r>
        <w:rPr>
          <w:noProof/>
          <w:lang w:val="es-ES"/>
        </w:rPr>
        <w:drawing>
          <wp:inline distT="0" distB="0" distL="0" distR="0" wp14:anchorId="3027E98A" wp14:editId="06372230">
            <wp:extent cx="152435" cy="152435"/>
            <wp:effectExtent l="0" t="0" r="0" b="0"/>
            <wp:docPr id="100447" name="Imagen 1004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F83F12" w:rsidRDefault="001C6219">
      <w:r>
        <w:t>Artículo 8, apartado 2, del Reglamento del FTJ</w:t>
      </w:r>
    </w:p>
    <w:p w:rsidR="00F83F12" w:rsidRDefault="001C6219">
      <w:r>
        <w:t>Artículo 112 del RDC</w:t>
      </w:r>
    </w:p>
    <w:p w:rsidR="00F83F12" w:rsidRDefault="001C6219">
      <w:r>
        <w:rPr>
          <w:noProof/>
          <w:lang w:val="es-ES"/>
        </w:rPr>
        <w:drawing>
          <wp:inline distT="0" distB="0" distL="0" distR="0" wp14:anchorId="0C2730C1" wp14:editId="5686211F">
            <wp:extent cx="152435" cy="152435"/>
            <wp:effectExtent l="0" t="0" r="0" b="0"/>
            <wp:docPr id="100449" name="Imagen 1004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F83F12" w:rsidRDefault="00F83F12"/>
    <w:p w:rsidR="00F83F12" w:rsidRDefault="001C6219">
      <w:pPr>
        <w:pStyle w:val="P68B1DB1-Normal4"/>
      </w:pPr>
      <w:r>
        <w:t>Pregunta 1 (incluidos los hechos e información pertinentes):</w:t>
      </w:r>
    </w:p>
    <w:p w:rsidR="00F83F12" w:rsidRDefault="001C6219">
      <w:r>
        <w:t xml:space="preserve">De conformidad con las indicaciones nacionales, la asistencia técnica financiada con cargo a un fondo separado, es decir, el FTJ, se diseñará en el marco del nuevo eje prioritario relacionado con este ámbito de aplicación en el programa regional para la región de Wielkopolska.  </w:t>
      </w:r>
      <w:r>
        <w:rPr>
          <w:b/>
        </w:rPr>
        <w:t xml:space="preserve">Con vistas a crear un potencial administrativo adecuado a nivel de la subregión (lo más cerca posible de los habitantes), ¿es posible aumentar el </w:t>
      </w:r>
      <w:r>
        <w:rPr>
          <w:b/>
        </w:rPr>
        <w:lastRenderedPageBreak/>
        <w:t>nivel de cofinanciación de los proyectos ejecutados o financiados en el marco de esta prioridad, por ejemplo, hasta el 85 %?</w:t>
      </w:r>
    </w:p>
    <w:p w:rsidR="00F83F12" w:rsidRDefault="00F83F12"/>
    <w:p w:rsidR="00F83F12" w:rsidRDefault="001C6219">
      <w:pPr>
        <w:pStyle w:val="P68B1DB1-Normal4"/>
      </w:pPr>
      <w:r>
        <w:t>Respuesta.</w:t>
      </w:r>
    </w:p>
    <w:p w:rsidR="00F83F12" w:rsidRDefault="001C6219">
      <w:r>
        <w:t xml:space="preserve">De conformidad con el artículo 112, apartado 1, del RDC, el porcentaje de cofinanciación debe fijarse en la decisión por la que se apruebe </w:t>
      </w:r>
      <w:r>
        <w:rPr>
          <w:b/>
        </w:rPr>
        <w:t>un programa a nivel de</w:t>
      </w:r>
      <w:r>
        <w:t xml:space="preserve"> cada prioridad. Los tipos aplicables se indican en el artículo 112 (3) del RDC.</w:t>
      </w:r>
    </w:p>
    <w:p w:rsidR="00F83F12" w:rsidRDefault="001C6219">
      <w:r>
        <w:t xml:space="preserve">Esto significa que </w:t>
      </w:r>
      <w:r>
        <w:rPr>
          <w:b/>
        </w:rPr>
        <w:t>el porcentaje de cofinanciación puede modularse dentro de la prioridad —</w:t>
      </w:r>
      <w:r>
        <w:t xml:space="preserve"> </w:t>
      </w:r>
      <w:r>
        <w:rPr>
          <w:b/>
        </w:rPr>
        <w:t>al nivel de las operaciones individuales</w:t>
      </w:r>
      <w:r>
        <w:t>, siempre que no se supere la contribución máxima de la Unión para la prioridad. A este respecto, el nivel de cofinanciación de los proyectos individuales financiados en el marco de la prioridad de asistencia técnica apoyada por el FTJ puede alcanzar el 100 %.</w:t>
      </w:r>
    </w:p>
    <w:p w:rsidR="00F83F12" w:rsidRDefault="00F83F12"/>
    <w:p w:rsidR="00F83F12" w:rsidRDefault="00F83F12"/>
    <w:p w:rsidR="00F83F12" w:rsidRDefault="001C6219">
      <w:pPr>
        <w:pStyle w:val="Ttulo1"/>
      </w:pPr>
      <w:bookmarkStart w:id="223" w:name="scroll-bookmark-231"/>
      <w:bookmarkStart w:id="224" w:name="scroll-bookmark-232"/>
      <w:bookmarkEnd w:id="223"/>
      <w:r>
        <w:t>QA00127 — Contenido del cuadro 11A y cálculo de las solicitudes de pago, incluida la asistencia técnica con arreglo al artículo 36, apartado 5</w:t>
      </w:r>
      <w:r w:rsidR="0088115E">
        <w:t>, (</w:t>
      </w:r>
      <w:r>
        <w:t>cantidad a tanto alzado)</w:t>
      </w:r>
      <w:bookmarkEnd w:id="224"/>
    </w:p>
    <w:p w:rsidR="00F83F12" w:rsidRDefault="001C6219">
      <w:r>
        <w:rPr>
          <w:noProof/>
          <w:lang w:val="es-ES"/>
        </w:rPr>
        <w:drawing>
          <wp:inline distT="0" distB="0" distL="0" distR="0" wp14:anchorId="72B18743" wp14:editId="1F9F0FDA">
            <wp:extent cx="152435" cy="152435"/>
            <wp:effectExtent l="0" t="0" r="0" b="0"/>
            <wp:docPr id="100451" name="Imagen 1004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36 del Reglamento (UE) 2021/1060, RDC.</w:t>
      </w:r>
    </w:p>
    <w:p w:rsidR="00F83F12" w:rsidRDefault="001C6219">
      <w:r>
        <w:rPr>
          <w:noProof/>
          <w:lang w:val="es-ES"/>
        </w:rPr>
        <w:drawing>
          <wp:inline distT="0" distB="0" distL="0" distR="0" wp14:anchorId="342FD113" wp14:editId="29748631">
            <wp:extent cx="152435" cy="152435"/>
            <wp:effectExtent l="0" t="0" r="0" b="0"/>
            <wp:docPr id="100453" name="Imagen 1004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8"/>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F83F12" w:rsidRDefault="00F83F12"/>
    <w:p w:rsidR="00F83F12" w:rsidRDefault="001C6219">
      <w:pPr>
        <w:pStyle w:val="P68B1DB1-Normal4"/>
      </w:pPr>
      <w:r>
        <w:t>Pregunta 1 (incluidos los hechos e información pertinentes):</w:t>
      </w:r>
    </w:p>
    <w:p w:rsidR="00F83F12" w:rsidRDefault="001C6219">
      <w:pPr>
        <w:pStyle w:val="P68B1DB1-Normal4"/>
      </w:pPr>
      <w:r>
        <w:t>1.¿cómo debe rellenarse el cuadro 11A y calcularse la cofinanciación al utilizar el tipo fijo del 6 % para calcular el importe de la asistencia técnica?</w:t>
      </w:r>
    </w:p>
    <w:p w:rsidR="00F83F12" w:rsidRDefault="00F83F12"/>
    <w:p w:rsidR="00F83F12" w:rsidRDefault="001C6219">
      <w:r>
        <w:t>Los Estados miembros cuestionan la inclusión de la asistencia técnica en la cuota nacional en el cuadro 11A. Hace que los cuadros sean inexactos cuando el porcentaje de cofinanciación de la asistencia técnica no es el mismo que el del pliego de cargos al que se vincula en el cuadro 11A.  Los Estados miembros han elegido un porcentaje de cofinanciación de 70/30 para la mayor parte de su programa, con dos excepciones en las que el porcentaje de cofinanciación es de 60/40 y 20/80, respectivamente, debido a la financiación nacional adicional. En el caso de la asistencia técnica, el porcentaje de cofinanciación se ha fijado en 45/55. Cuando las cifras se introducen en el cuadro 11A con la asistencia técnica nacional incluida, el cuadro no indica el porcentaje de cofinanciación real para el pliego de cargos sin asistencia técnica. Los Estados miembros desearían que la cuota nacional fuera sin asistencia técnica y que el porcentaje de cofinanciación por pliego de cargos se calculara dividiendo el FEMPA sin TA/</w:t>
      </w:r>
      <w:r w:rsidR="00490759">
        <w:t xml:space="preserve"> </w:t>
      </w:r>
      <w:r>
        <w:t xml:space="preserve">(FEMPA sin AT + cuota nacional sin asistencia técnica), ya que, de lo contrario, los Estados miembros </w:t>
      </w:r>
      <w:r>
        <w:lastRenderedPageBreak/>
        <w:t>deben procesar las modificaciones de los programas cada vez que deseen cambiar la forma en que se distribuye el importe nacional de asistencia técnica.</w:t>
      </w:r>
    </w:p>
    <w:p w:rsidR="00F83F12" w:rsidRDefault="00F83F12"/>
    <w:p w:rsidR="00F83F12" w:rsidRDefault="001C6219">
      <w:pPr>
        <w:pStyle w:val="P68B1DB1-Normal4"/>
      </w:pPr>
      <w:r>
        <w:t>(2) ¿Cómo se calculará el importe del reembolso de las solicitudes de pago?</w:t>
      </w:r>
    </w:p>
    <w:p w:rsidR="00F83F12" w:rsidRDefault="00F83F12"/>
    <w:p w:rsidR="00F83F12" w:rsidRDefault="001C6219">
      <w:pPr>
        <w:pStyle w:val="P68B1DB1-Normal4"/>
      </w:pPr>
      <w:r>
        <w:t>Respuesta.</w:t>
      </w:r>
    </w:p>
    <w:p w:rsidR="00F83F12" w:rsidRDefault="001C6219">
      <w:pPr>
        <w:pStyle w:val="P68B1DB1-Normal4"/>
      </w:pPr>
      <w:r>
        <w:t>Respuesta a la pregunta 1:</w:t>
      </w:r>
    </w:p>
    <w:p w:rsidR="00F83F12" w:rsidRDefault="001C6219">
      <w:r>
        <w:t>El artículo 40 del FEMPA establece que el porcentaje máximo de cofinanciación por objetivo específico debe ser del 70 % [a excepción de la ayuda en virtud del artículo 14 (1)].</w:t>
      </w:r>
    </w:p>
    <w:p w:rsidR="00F83F12" w:rsidRDefault="001C6219">
      <w:r>
        <w:t>El artículo 36, apartado 5, del RDC establece que el importe del Fondo asignado a la asistencia técnica se determina como parte de la asignación financiera de cada objetivo específico y no adopta la forma de una prioridad separada, también para el FEMPA. El cuadro 11A de un modelo de programa para los programas del FEMPA que elige el reembolso de la asistencia técnica mediante un tipo fijo permite verificar si no se supera el porcentaje máximo de cofinanciación permitido por objetivo específico (el importe de la contribución de la Unión en relación con el total por objetivo específico no puede ser superior al porcentaje máximo de cofinanciación). La contribución pública nacional del cuadro 11A incluye, pero no especifica, el importe de la asistencia técnica dentro de cada pliego de cargos.</w:t>
      </w:r>
    </w:p>
    <w:p w:rsidR="00F83F12" w:rsidRDefault="001C6219">
      <w:r>
        <w:t>El porcentaje de cofinanciación aplicado a las operaciones podrá diferir del porcentaje de cofinanciación para el objetivo específico o la prioridad. Esta flexibilidad existente para todas las operaciones no debe dar lugar a una modificación del programa, siempre que se respeten los límites a nivel de cada prioridad establecidos en el artículo 93, apartado 3,- (5) del RDC. Cabe señalar específicamente que, dada la naturaleza del tipo fijo de asistencia técnica, el RDC establece que los importes reembolsados con arreglo al artículo 36, apartado 5, del RDC no se tendrán en cuenta a efectos del cálculo del límite máximo del artículo 93, apartado 5, del RDC.</w:t>
      </w:r>
    </w:p>
    <w:p w:rsidR="00F83F12" w:rsidRDefault="001C6219">
      <w:r>
        <w:t>Cuando un Estado miembro decida utilizar el enfoque a tipo fijo para la asistencia técnica para el período 2021-2027, el porcentaje a tanto alzado pertinente para el fondo de que se trate previsto en el artículo 36, apartado 5, letra b), del RDC (6 % para el FEMPA) se aplicará automáticamente a cada solicitud de pago presentada a la Comisión. No se comprobarán los costes subyacentes de los importes reembolsados sobre la base del tipo fijo a escala de la UE.</w:t>
      </w:r>
    </w:p>
    <w:p w:rsidR="00F83F12" w:rsidRDefault="001C6219">
      <w:r>
        <w:t>Teniendo en cuenta que:</w:t>
      </w:r>
    </w:p>
    <w:p w:rsidR="00F83F12" w:rsidRDefault="001C6219">
      <w:pPr>
        <w:numPr>
          <w:ilvl w:val="0"/>
          <w:numId w:val="100"/>
        </w:numPr>
      </w:pPr>
      <w:r>
        <w:t>la asistencia técnica a tanto alzado se calculará independientemente de los gastos reales efectuados en operaciones de asistencia técnica;</w:t>
      </w:r>
    </w:p>
    <w:p w:rsidR="00F83F12" w:rsidRDefault="001C6219">
      <w:pPr>
        <w:numPr>
          <w:ilvl w:val="0"/>
          <w:numId w:val="100"/>
        </w:numPr>
      </w:pPr>
      <w:r>
        <w:t>La contribución de la UE al objetivo específico (incluida la asistencia técnica a tanto alzado) no superará los límites máximos previstos en el RDC y el porcentaje de cofinanciación definido en la decisión de la Comisión basada en el cuadro 11A, independientemente del porcentaje de cofinanciación de las operaciones de asistencia técnica;</w:t>
      </w:r>
    </w:p>
    <w:p w:rsidR="00F83F12" w:rsidRDefault="001C6219">
      <w:r>
        <w:lastRenderedPageBreak/>
        <w:t>los cambios en el porcentaje de cofinanciación de las operaciones dentro de un objetivo específico no deben requerir una modificación del programa.</w:t>
      </w:r>
    </w:p>
    <w:p w:rsidR="00F83F12" w:rsidRDefault="001C6219">
      <w:pPr>
        <w:pStyle w:val="P68B1DB1-Normal4"/>
      </w:pPr>
      <w:r>
        <w:t>Respuesta a la pregunta 2:</w:t>
      </w:r>
    </w:p>
    <w:p w:rsidR="00F83F12" w:rsidRDefault="001C6219">
      <w:r>
        <w:t>El importe de la asistencia técnica a tanto alzado de la columna D se calculará aplicando un tipo fijo del 6 % en relación con el gasto de la columna E de una solicitud de pago. Los gastos relacionados con las operaciones de asistencia técnica no deben declararse por separado en las solicitudes de pago.</w:t>
      </w:r>
    </w:p>
    <w:p w:rsidR="00F83F12" w:rsidRDefault="001C6219">
      <w:r>
        <w:t>Los reembolsos de la contribución de la Unión se efectuarán aplicando el porcentaje</w:t>
      </w:r>
      <w:r>
        <w:rPr>
          <w:u w:val="single"/>
        </w:rPr>
        <w:t xml:space="preserve"> </w:t>
      </w:r>
      <w:r>
        <w:t>de cofinanciación de la prioridad al importe total de la contribución pública, es decir, la suma de los importes incluidos en la columna E y en la columna D del anexo XXIII en consonancia con el programa.</w:t>
      </w:r>
    </w:p>
    <w:p w:rsidR="00F83F12" w:rsidRDefault="00F83F12"/>
    <w:p w:rsidR="00F83F12" w:rsidRDefault="00F83F12"/>
    <w:p w:rsidR="001C6219" w:rsidRDefault="001C6219" w:rsidP="001C6219"/>
    <w:p w:rsidR="001C6219" w:rsidRDefault="001C6219" w:rsidP="001C6219">
      <w:pPr>
        <w:pStyle w:val="Ttulo1"/>
      </w:pPr>
      <w:bookmarkStart w:id="225" w:name="scroll-bookmark-233"/>
      <w:bookmarkStart w:id="226" w:name="scroll-bookmark-234"/>
      <w:bookmarkEnd w:id="225"/>
      <w:r>
        <w:t>QA00128 — pregunta del FTJ sobre la recuperación de residuos y el litio</w:t>
      </w:r>
      <w:bookmarkEnd w:id="226"/>
    </w:p>
    <w:p w:rsidR="001C6219" w:rsidRDefault="001C6219" w:rsidP="001C6219">
      <w:r>
        <w:rPr>
          <w:noProof/>
          <w:lang w:val="es-ES"/>
        </w:rPr>
        <w:drawing>
          <wp:inline distT="0" distB="0" distL="0" distR="0" wp14:anchorId="5A524544" wp14:editId="21381F71">
            <wp:extent cx="152435" cy="152435"/>
            <wp:effectExtent l="0" t="0" r="0" b="0"/>
            <wp:docPr id="100455" name="Imagen 1004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del Reglamento del FTJ</w:t>
      </w:r>
    </w:p>
    <w:p w:rsidR="001C6219" w:rsidRDefault="001C6219" w:rsidP="001C6219">
      <w:r>
        <w:rPr>
          <w:noProof/>
          <w:lang w:val="es-ES"/>
        </w:rPr>
        <w:drawing>
          <wp:inline distT="0" distB="0" distL="0" distR="0" wp14:anchorId="011AEE72" wp14:editId="013A4E54">
            <wp:extent cx="152435" cy="152435"/>
            <wp:effectExtent l="0" t="0" r="0" b="0"/>
            <wp:docPr id="100457" name="Imagen 1004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t>Pregunta sobre la valorización de residuos:</w:t>
      </w:r>
    </w:p>
    <w:p w:rsidR="001C6219" w:rsidRDefault="001C6219" w:rsidP="001C6219">
      <w:r>
        <w:t>Existen varias cuestiones relativas a la recuperación de residuos y a su admisibilidad:</w:t>
      </w:r>
    </w:p>
    <w:p w:rsidR="001C6219" w:rsidRDefault="001C6219" w:rsidP="001C6219">
      <w:pPr>
        <w:numPr>
          <w:ilvl w:val="0"/>
          <w:numId w:val="101"/>
        </w:numPr>
      </w:pPr>
      <w:r>
        <w:t>8 (2) (j) permite inversiones en la mejora de la economía circular, en particular mediante la prevención, la reducción, la eficiencia en el uso de los recursos, la reutilización, la reparación y el reciclado. La lista no parece exhaustiva. ¿Es posible apoyar también la recuperación de energía, que no se menciona explícitamente?</w:t>
      </w:r>
    </w:p>
    <w:p w:rsidR="001C6219" w:rsidRDefault="001C6219" w:rsidP="001C6219">
      <w:pPr>
        <w:numPr>
          <w:ilvl w:val="0"/>
          <w:numId w:val="101"/>
        </w:numPr>
      </w:pPr>
      <w:r>
        <w:t>La despolimerización térmica de los plásticos podría desempeñar un papel esencial en la gestión de los residuos y en la ecologización de la industria química. Se trata del reciclado químico. ¿Podríamos considerar que esta tecnología es subvencionable en el FTJ? La misma cuestión también es pertinente para la gasificación.</w:t>
      </w:r>
    </w:p>
    <w:p w:rsidR="001C6219" w:rsidRDefault="001C6219" w:rsidP="001C6219">
      <w:pPr>
        <w:numPr>
          <w:ilvl w:val="0"/>
          <w:numId w:val="101"/>
        </w:numPr>
      </w:pPr>
      <w:r>
        <w:t xml:space="preserve">Nos gustaría aclarar el cumplimiento de la recuperación energética con el artículo 17 del Reglamento (CE) no 2020/852. Este artículo excluye las actividades que den lugar a un aumento significativo de la generación, incineración o eliminación de residuos, con excepción de la incineración de residuos peligrosos no reciclables. Desde nuestro punto de vista, excluye las actividades incluidas en el anexo I de la Directiva 2008/98/CE. La recuperación de energía entra en el ámbito de aplicación del anexo II. Por lo tanto, no se </w:t>
      </w:r>
      <w:r>
        <w:lastRenderedPageBreak/>
        <w:t>aprecia ningún conflicto con el artículo 17 en el caso de la recuperación de energía. ¿Podría confirmar esta interpretación?</w:t>
      </w:r>
    </w:p>
    <w:p w:rsidR="001C6219" w:rsidRDefault="001C6219" w:rsidP="001C6219">
      <w:r>
        <w:rPr>
          <w:i/>
        </w:rPr>
        <w:t> </w:t>
      </w:r>
      <w:r>
        <w:rPr>
          <w:b/>
        </w:rPr>
        <w:t>Respuesta.</w:t>
      </w:r>
    </w:p>
    <w:p w:rsidR="001C6219" w:rsidRDefault="001C6219" w:rsidP="001C6219">
      <w:pPr>
        <w:numPr>
          <w:ilvl w:val="0"/>
          <w:numId w:val="102"/>
        </w:numPr>
      </w:pPr>
      <w:r>
        <w:t>Como se menciona específicamente en el artículo 8, apartado 2, del Reglamento del FTJ, la lista de inversiones que pueden optar a la ayuda del FTJ en virtud de este artículo es exhaustiva. El artículo 8, letra j), especifica la inversión como «inversiones en la mejora de la economía circular, en particular mediante la prevención, la reducción, la eficiencia en el uso de los recursos, la reutilización, la reparación y el reciclado». En opinión de la Comisión, la recuperación de energía a partir de residuos, cuando los residuos se utilizan como combustible, no está en consonancia con los objetivos políticos de la economía circular, en la que el valor de los productos, materiales y recursos se mantiene en la economía durante el mayor tiempo posible</w:t>
      </w:r>
      <w:hyperlink w:anchor="scroll-bookmark-235" w:history="1">
        <w:r>
          <w:rPr>
            <w:rStyle w:val="Hipervnculo"/>
          </w:rPr>
          <w:t>[1]</w:t>
        </w:r>
      </w:hyperlink>
      <w:r>
        <w:t>. Esta opinión se ve reforzada por el considerando 12 del Reglamento del FTJ, que explica específicamente que la incineración de residuos pertenece a la parte inferior de la jerarquía de residuos y, por tanto, no debe recibir el apoyo del FTJ. La Comisión recuerda que determinadas medidas que se encuentran en la parte inferior de la jerarquía de residuos también están excluidas de la ayuda del FEDER y del FC.</w:t>
      </w:r>
    </w:p>
    <w:p w:rsidR="001C6219" w:rsidRDefault="001C6219" w:rsidP="001C6219">
      <w:pPr>
        <w:numPr>
          <w:ilvl w:val="0"/>
          <w:numId w:val="102"/>
        </w:numPr>
      </w:pPr>
      <w:r>
        <w:t>De la pregunta no queda claro qué significaría esta despolimerización térmica de plásticos o gasificación y si podrían considerarse reciclado. Habría que facilitar todos los detalles de las operaciones y sus resultados. La Comisión evaluará las medidas concretas en el contexto del plan territorial de transición justa presentado.</w:t>
      </w:r>
    </w:p>
    <w:p w:rsidR="001C6219" w:rsidRDefault="001C6219" w:rsidP="001C6219">
      <w:pPr>
        <w:numPr>
          <w:ilvl w:val="0"/>
          <w:numId w:val="102"/>
        </w:numPr>
      </w:pPr>
      <w:r>
        <w:t>La taxonomía de la UE es una clasificación de las actividades financieras en relación con su efecto en el clima y el medio ambiente. El Reglamento sobre la taxonomía no contradice, modifica, restringe o amplía los requisitos del Reglamento del FTJ.</w:t>
      </w:r>
    </w:p>
    <w:p w:rsidR="001C6219" w:rsidRDefault="001C6219" w:rsidP="001C6219">
      <w:r>
        <w:t>TIERNA _</w:t>
      </w:r>
    </w:p>
    <w:p w:rsidR="001C6219" w:rsidRDefault="00FC0FB1" w:rsidP="001C6219">
      <w:hyperlink w:anchor="scroll-bookmark-236" w:history="1">
        <w:r w:rsidR="001C6219">
          <w:rPr>
            <w:rStyle w:val="Hipervnculo"/>
          </w:rPr>
          <w:t>[1]</w:t>
        </w:r>
      </w:hyperlink>
      <w:r w:rsidR="001C6219">
        <w:t xml:space="preserve"> COM (2015) 614 final.</w:t>
      </w:r>
    </w:p>
    <w:p w:rsidR="001C6219" w:rsidRDefault="001C6219" w:rsidP="001C6219"/>
    <w:p w:rsidR="001C6219" w:rsidRDefault="001C6219" w:rsidP="001C6219">
      <w:pPr>
        <w:pStyle w:val="P68B1DB1-Normal1"/>
      </w:pPr>
      <w:r>
        <w:t>Pregunta sobre el litio:</w:t>
      </w:r>
    </w:p>
    <w:p w:rsidR="001C6219" w:rsidRDefault="001C6219" w:rsidP="001C6219">
      <w:r>
        <w:t>El plan territorial de transición justa de CZ propone en dos regiones carboníferas (Ústí y Karlovy Vary) «Apoyar la creación de una cadena de valor para el uso del litio y la producción de células de baterías para el desarrollo de una economía sin emisiones en la República Checa». Incluiría el desarrollo de una nueva industria: la minería del litio. La minería del litio se considera parte de la cadena de creación e incluiría una inversión en el despliegue de tecnología, así como en sistemas e infraestructuras para una energía limpia asequible, incluidas las tecnologías de almacenamiento de energía [artículo 8 (2) (d) del Reglamento del FTJ]. Las autoridades checas desean apoyar los trabajos preparatorios, las infraestructuras necesarias, etc., del FTJ. ¿Entran estas inversiones en el ámbito de la ayuda del FTJ? La autorización de la ayuda estatal y el control DNSH se llevarán a cabo en los siguientes pasos tras la confirmación de la admisibilidad.</w:t>
      </w:r>
    </w:p>
    <w:p w:rsidR="001C6219" w:rsidRDefault="001C6219" w:rsidP="001C6219"/>
    <w:p w:rsidR="001C6219" w:rsidRDefault="001C6219" w:rsidP="001C6219">
      <w:pPr>
        <w:pStyle w:val="P68B1DB1-Normal1"/>
      </w:pPr>
      <w:r>
        <w:lastRenderedPageBreak/>
        <w:t>Respuesta.</w:t>
      </w:r>
    </w:p>
    <w:p w:rsidR="001C6219" w:rsidRDefault="001C6219" w:rsidP="001C6219">
      <w:r>
        <w:t>La creación de una cadena de valor para el uso del litio y la producción de células de baterías para el desarrollo de una economía sin emisiones podría considerarse dentro del ámbito de aplicación del FTJ y la Comisión evaluará las medidas concretas en el contexto del plan territorial de transición justa presentado.  </w:t>
      </w:r>
    </w:p>
    <w:p w:rsidR="001C6219" w:rsidRDefault="001C6219" w:rsidP="001C6219"/>
    <w:p w:rsidR="001C6219" w:rsidRDefault="001C6219" w:rsidP="001C6219"/>
    <w:p w:rsidR="001C6219" w:rsidRDefault="001C6219" w:rsidP="001C6219">
      <w:pPr>
        <w:pStyle w:val="Ttulo1"/>
      </w:pPr>
      <w:bookmarkStart w:id="227" w:name="scroll-bookmark-237"/>
      <w:bookmarkStart w:id="228" w:name="scroll-bookmark-238"/>
      <w:bookmarkEnd w:id="227"/>
      <w:r>
        <w:t>QA00129: admisibilidad de la intervención del FTJ (terminales de biomasa)</w:t>
      </w:r>
      <w:bookmarkEnd w:id="228"/>
    </w:p>
    <w:p w:rsidR="001C6219" w:rsidRDefault="001C6219" w:rsidP="001C6219">
      <w:r>
        <w:rPr>
          <w:noProof/>
          <w:lang w:val="es-ES"/>
        </w:rPr>
        <w:drawing>
          <wp:inline distT="0" distB="0" distL="0" distR="0" wp14:anchorId="34DBA7DC" wp14:editId="69C382DD">
            <wp:extent cx="152435" cy="152435"/>
            <wp:effectExtent l="0" t="0" r="0" b="0"/>
            <wp:docPr id="100459" name="Imagen 1004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apartado 2, letra d), del FTJ</w:t>
      </w:r>
    </w:p>
    <w:p w:rsidR="001C6219" w:rsidRDefault="001C6219" w:rsidP="001C6219">
      <w:r>
        <w:rPr>
          <w:noProof/>
          <w:lang w:val="es-ES"/>
        </w:rPr>
        <w:drawing>
          <wp:inline distT="0" distB="0" distL="0" distR="0" wp14:anchorId="0C8044F9" wp14:editId="2FE2B6CF">
            <wp:extent cx="152435" cy="152435"/>
            <wp:effectExtent l="0" t="0" r="0" b="0"/>
            <wp:docPr id="100461" name="Imagen 1004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Finlandia sustituye la turba como fuente de energía principalmente por virutas de madera. Las astillas de madera necesitan diferentes soluciones logísticas y son necesarias terminales de bioenergía. Estas terminales necesarias son básicamente espacios abiertos (2-5 hectáreas) cubiertos de asfalto, cercanos a las carreteras principales, rodeados de vallado y con control de acceso. El puente de pesaje suele ser necesario para medir la carga.</w:t>
      </w:r>
    </w:p>
    <w:p w:rsidR="001C6219" w:rsidRDefault="001C6219" w:rsidP="001C6219">
      <w:r>
        <w:t xml:space="preserve">El objetivo de la terminal es mejorar la fiabilidad de las entregas de chips de madera, por ejemplo, durante las difíciles temporadas de transporte (primavera </w:t>
      </w:r>
      <w:r w:rsidR="00490759">
        <w:t>u</w:t>
      </w:r>
      <w:r>
        <w:t xml:space="preserve"> otoño, cuando la nieve está disminuyendo o las heladas se están derribando en las carreteras forestales y los vehículos pesados no pueden funcionar) y durante períodos de heladas graves, así como mejorar la calidad de los combustibles y mejorar la logística del transporte y las astillas. Además, en la zona terminal pueden mezclarse diferentes fuentes de energía, como chips de madera, triturado de madera reciclada, residuos de tala y aplastamiento de tocones. Las cargas de combustible mezcladas en la zona terminal tienen más en cuenta las necesidades de energía de las centrales de calefacción en diferentes momentos del año. Un empresario operaría en estas zonas de terminal.</w:t>
      </w:r>
    </w:p>
    <w:p w:rsidR="001C6219" w:rsidRDefault="001C6219" w:rsidP="001C6219">
      <w:r>
        <w:t>Las centrales eléctricas están situadas en zonas en las que normalmente no hay espacio para tales terminales y, dado que compran el combustible (= astillas de madera) como servicio, las centrales eléctricas no están interesadas en construir tales terminales.</w:t>
      </w:r>
    </w:p>
    <w:p w:rsidR="001C6219" w:rsidRDefault="001C6219" w:rsidP="001C6219">
      <w:r>
        <w:t>Finlandia importa una cantidad significativa de astillas de madera de Rusia. La situación actual con sanciones contra Rusia prevalece durante un período indeterminado, la disponibilidad de este suministro se está volviendo poco fiable y posiblemente cesará en un futuro próximo. Por lo tanto, debido a las razones de seguridad del suministro, la importancia de estas terminales de bioenergía está aumentando significativamente. La necesidad de estas terminales se identifica en los planes territoriales de transición justa.</w:t>
      </w:r>
    </w:p>
    <w:p w:rsidR="001C6219" w:rsidRDefault="001C6219" w:rsidP="001C6219">
      <w:r>
        <w:lastRenderedPageBreak/>
        <w:t>¿Estas terminales de bioenergía pueden optar a la ayuda del FTJ/TJTP?</w:t>
      </w:r>
    </w:p>
    <w:p w:rsidR="001C6219" w:rsidRDefault="001C6219" w:rsidP="001C6219"/>
    <w:p w:rsidR="001C6219" w:rsidRDefault="001C6219" w:rsidP="001C6219">
      <w:pPr>
        <w:pStyle w:val="P68B1DB1-Normal1"/>
      </w:pPr>
      <w:r>
        <w:t>Respuesta.</w:t>
      </w:r>
    </w:p>
    <w:p w:rsidR="001C6219" w:rsidRDefault="001C6219" w:rsidP="001C6219">
      <w:r>
        <w:t>El artículo 8, apartado 2, letra d), del Reglamento del FTJ permite inversiones en el despliegue de tecnología, así como en sistemas e infraestructuras para una energía limpia asequible, incluidas las tecnologías de almacenamiento de energía, y en la reducción de las emisiones de gases de efecto invernadero. Al mismo tiempo, la letra e) de dicha disposición permite apoyar las inversiones en energías renovables de conformidad con la Directiva sobre fuentes de energía renovables</w:t>
      </w:r>
      <w:hyperlink w:anchor="scroll-bookmark-239" w:history="1">
        <w:r>
          <w:rPr>
            <w:rStyle w:val="Hipervnculo"/>
          </w:rPr>
          <w:t>[1]</w:t>
        </w:r>
      </w:hyperlink>
      <w:r>
        <w:t>. Aunque esta última no proporciona una definición de dicha infraestructura, se refiere a la reducción de los costes que «tienen un impacto significativo en el coste de los proyectos de energías renovables y en su competitividad» (véanse, por ejemplo, su considerando 13 y el artículo 3). El apoyo a terminales de bioenergía como el descrito en la pregunta podría considerarse, en principio, subvencionable en este contexto.</w:t>
      </w:r>
    </w:p>
    <w:p w:rsidR="001C6219" w:rsidRDefault="001C6219" w:rsidP="001C6219">
      <w:r>
        <w:t>Sin embargo, debe demostrarse que estas inversiones están vinculadas al objetivo específico del FTJ, tal como se establece en el artículo 2 del Reglamento del FTJ, y que contribuyen a la ejecución del plan territorial de transición justa. Deben justificarse por su contribución a abordar los efectos de la transición y su relación con los retos de la transición identificados en el plan territorial de transición justa.</w:t>
      </w:r>
    </w:p>
    <w:p w:rsidR="001C6219" w:rsidRDefault="001C6219" w:rsidP="001C6219">
      <w:r>
        <w:t>Tenga en cuenta, no obstante, que los servicios de la Comisión evaluarán la medida concreta en el contexto del plan territorial de transición justa presentado.</w:t>
      </w:r>
    </w:p>
    <w:p w:rsidR="001C6219" w:rsidRDefault="001C6219" w:rsidP="001C6219"/>
    <w:p w:rsidR="001C6219" w:rsidRDefault="00FC0FB1" w:rsidP="001C6219">
      <w:hyperlink w:anchor="scroll-bookmark-240" w:history="1">
        <w:r w:rsidR="001C6219">
          <w:rPr>
            <w:rStyle w:val="Hipervnculo"/>
          </w:rPr>
          <w:t>[1]</w:t>
        </w:r>
      </w:hyperlink>
      <w:r w:rsidR="001C6219">
        <w:t xml:space="preserve"> Directiva (UE) 2018/2001 del Parlamento Europeo y del Consejo, de 11 de diciembre de 2018, relativa al fomento del uso de energía procedente de fuentes renovables.</w:t>
      </w:r>
    </w:p>
    <w:p w:rsidR="001C6219" w:rsidRDefault="001C6219" w:rsidP="001C6219"/>
    <w:p w:rsidR="001C6219" w:rsidRDefault="001C6219" w:rsidP="001C6219"/>
    <w:p w:rsidR="001C6219" w:rsidRDefault="001C6219" w:rsidP="001C6219"/>
    <w:p w:rsidR="001C6219" w:rsidRDefault="001C6219" w:rsidP="001C6219">
      <w:pPr>
        <w:pStyle w:val="Ttulo1"/>
      </w:pPr>
      <w:bookmarkStart w:id="229" w:name="scroll-bookmark-241"/>
      <w:bookmarkStart w:id="230" w:name="scroll-bookmark-242"/>
      <w:bookmarkEnd w:id="229"/>
      <w:r>
        <w:t>QA00130 — Ejecución de proyectos marco en el marco del DLP</w:t>
      </w:r>
      <w:bookmarkEnd w:id="230"/>
    </w:p>
    <w:p w:rsidR="001C6219" w:rsidRDefault="001C6219" w:rsidP="001C6219">
      <w:r>
        <w:rPr>
          <w:noProof/>
          <w:lang w:val="es-ES"/>
        </w:rPr>
        <w:drawing>
          <wp:inline distT="0" distB="0" distL="0" distR="0" wp14:anchorId="278BFF70" wp14:editId="40D3362B">
            <wp:extent cx="152435" cy="152435"/>
            <wp:effectExtent l="0" t="0" r="0" b="0"/>
            <wp:docPr id="100463" name="Imagen 1004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33, 71, 73 y 74 del RDC; Artículo 25 del Reglamento Interreg</w:t>
      </w:r>
    </w:p>
    <w:p w:rsidR="001C6219" w:rsidRDefault="001C6219" w:rsidP="001C6219">
      <w:r>
        <w:rPr>
          <w:noProof/>
          <w:lang w:val="es-ES"/>
        </w:rPr>
        <w:drawing>
          <wp:inline distT="0" distB="0" distL="0" distR="0" wp14:anchorId="01D1D83B" wp14:editId="6A610348">
            <wp:extent cx="152435" cy="152435"/>
            <wp:effectExtent l="0" t="0" r="0" b="0"/>
            <wp:docPr id="100465" name="Imagen 1004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rPr>
          <w:b/>
        </w:rPr>
        <w:t>¿</w:t>
      </w:r>
      <w:r>
        <w:t xml:space="preserve"> Se permite el apoyo </w:t>
      </w:r>
      <w:r>
        <w:rPr>
          <w:b/>
        </w:rPr>
        <w:t xml:space="preserve">financiero a terceros (proyectos marco)? En particular, ¿pueden los grupos de acción local ejecutar proyectos marco en el período 2021-27? ¿Cuáles son las condiciones? ¿Debería aplicarse un modo competitivo o no competitivo a estos proyectos marco? ¿Debe aplicarse el artículo 33, apartado 3, letra d), del RDC, relativo </w:t>
      </w:r>
      <w:r>
        <w:rPr>
          <w:b/>
        </w:rPr>
        <w:lastRenderedPageBreak/>
        <w:t>a la verificación final de la subvencionabilidad por parte de la AG, también en el caso de los proyectos paraguas?</w:t>
      </w:r>
    </w:p>
    <w:p w:rsidR="001C6219" w:rsidRDefault="001C6219" w:rsidP="001C6219">
      <w:pPr>
        <w:pStyle w:val="P68B1DB1-Normal1"/>
      </w:pPr>
      <w:r>
        <w:t> </w:t>
      </w:r>
    </w:p>
    <w:p w:rsidR="001C6219" w:rsidRDefault="001C6219" w:rsidP="001C6219">
      <w:r>
        <w:t>Varias regiones polacas estudian la posibilidad de programar el DLP en sus programas regionales en el período 2021-27. Algunos de ellos ejecutaron proyectos marco en el período 2014-20, que se consideran una simplificación tanto para el GAL como para la AG. Los regímenes paraguas apoyan principalmente pequeños proyectos en los que la carga administrativa se percibe como desproporcionadamente elevada. En particular, hay interés en utilizar los proyectos marco para el FSE +. En una aplicación típica de este régimen, el GAL es el beneficiario de la subvención, firma el acuerdo de subvención con la AG y asume la responsabilidad financiera. En el siguiente paso, el GAL concede apoyo a diferentes categorías de beneficiarios finales, como, por ejemplo, personas físicas, ONG, empresarios u organismos públicos. Los proyectos paraguas se seleccionan de forma competitiva y tienen que apoyar las estrategias de desarrollo local previamente seleccionadas para recibir ayuda de los fondos.</w:t>
      </w:r>
    </w:p>
    <w:p w:rsidR="001C6219" w:rsidRDefault="001C6219" w:rsidP="001C6219">
      <w:r>
        <w:t>En 2014-20 se aplicaría el mismo procedimiento utilizado en 2021-27. ¿Proporcionan el artículo 33, apartado 3, y (5) del RDC una justificación suficiente para permitir la aplicación de regímenes generales por parte de los GAL?</w:t>
      </w:r>
    </w:p>
    <w:p w:rsidR="001C6219" w:rsidRDefault="001C6219" w:rsidP="001C6219"/>
    <w:p w:rsidR="001C6219" w:rsidRDefault="001C6219" w:rsidP="001C6219">
      <w:pPr>
        <w:pStyle w:val="P68B1DB1-Normal1"/>
      </w:pPr>
      <w:r>
        <w:t>Respuesta.</w:t>
      </w:r>
    </w:p>
    <w:p w:rsidR="001C6219" w:rsidRDefault="001C6219" w:rsidP="001C6219">
      <w:r>
        <w:t>Los «proyectos paraguas» u «operaciones en cascada» nunca se han definido en la normativa. En el pasado, estos términos se referían habitualmente a operaciones que consisten en la reasignación de ayudas a los beneficiarios por parte del beneficiario o en la selección de proyectos dentro de una operación, aunque pueden referirse a diferentes estructuras de ejecución en diferentes Estados miembros o regiones.</w:t>
      </w:r>
    </w:p>
    <w:p w:rsidR="001C6219" w:rsidRDefault="001C6219" w:rsidP="001C6219"/>
    <w:p w:rsidR="001C6219" w:rsidRDefault="001C6219" w:rsidP="001C6219">
      <w:r>
        <w:t>Por lo tanto, es importante aclarar en primer lugar en qué casos los reglamentos permiten que un beneficiario pueda seleccionar operaciones o conceder ayuda a los beneficiarios o seleccionar proyectos dentro de una operación sin ser nombrado organismo intermedio.</w:t>
      </w:r>
    </w:p>
    <w:p w:rsidR="001C6219" w:rsidRDefault="001C6219" w:rsidP="001C6219">
      <w:r>
        <w:t>De conformidad con el artículo 73 del RDC, es la autoridad de gestión la responsable de la selección de las operaciones, excepto en el caso previsto en el artículo 33, apartado 3, del RDC, en el que la selección de operaciones se ha definido como una tarea exclusiva del grupo de acción local (GAL).</w:t>
      </w:r>
    </w:p>
    <w:p w:rsidR="001C6219" w:rsidRDefault="001C6219" w:rsidP="001C6219">
      <w:r>
        <w:t>El artículo 71, apartado 3, del RDC permite a la autoridad de gestión delegar por escrito determinadas tareas en uno o varios organismos intermedios y una de las tareas que pueden delegarse se refiere a la selección de operaciones. Cabe señalar que, en los casos en que la autoridad de gestión, el organismo intermedio o un grupo de acción local también sea el beneficiario, las tareas relacionadas con la puesta en marcha o la ejecución de una operación deben separarse de las responsabilidades de selección de operaciones de conformidad con el artículo 71, apartado 4, del RDC (y el artículo 74, apartado 3, del RDC y el artículo 33, apartado 5, del RDC).</w:t>
      </w:r>
    </w:p>
    <w:p w:rsidR="001C6219" w:rsidRDefault="001C6219" w:rsidP="001C6219">
      <w:r>
        <w:lastRenderedPageBreak/>
        <w:t>Las tareas atribuidas a los beneficiarios por la autoridad de gestión (o por el organismo intermedio) no deben eludir las responsabilidades reservadas por el RDC a la autoridad de gestión u otras autoridades del programa.</w:t>
      </w:r>
    </w:p>
    <w:p w:rsidR="001C6219" w:rsidRDefault="001C6219" w:rsidP="001C6219">
      <w:r>
        <w:t>El RDC y los reglamentos específicos de los fondos regulan los casos exhaustivos en los que un beneficiario puede seleccionar destinatarios finales (fuera de los instrumentos financieros):</w:t>
      </w:r>
    </w:p>
    <w:p w:rsidR="001C6219" w:rsidRDefault="001C6219" w:rsidP="001C6219">
      <w:pPr>
        <w:numPr>
          <w:ilvl w:val="0"/>
          <w:numId w:val="103"/>
        </w:numPr>
      </w:pPr>
      <w:r>
        <w:t>De conformidad con el artículo 25 del Reglamento Interreg, el beneficiario del fondo para pequeños proyectos puede seleccionar pequeños proyectos dentro de la operación (el fondo para pequeños proyectos constituye una operación en el sentido del artículo 2, punto 4, del RDC). El beneficiario del FPP inicia, pero no ejecuta, la operación: es ejecutada por los destinatarios finales de conformidad con el artículo 25, apartado 2, último párrafo, del Reglamento Interreg. Se establece explícitamente que la selección de pequeños proyectos por el beneficiario de la operación del FPP no requiere que el beneficiario sea identificado como organismo intermedio (a menos que se deleguen otras tareas distintas de la selección).</w:t>
      </w:r>
    </w:p>
    <w:p w:rsidR="001C6219" w:rsidRDefault="001C6219" w:rsidP="001C6219">
      <w:r>
        <w:t xml:space="preserve">El Reglamento también especifica cuándo el beneficiario puede </w:t>
      </w:r>
      <w:r w:rsidR="00F82B27">
        <w:t>canalizar</w:t>
      </w:r>
      <w:r>
        <w:t xml:space="preserve"> más la subvención a otras entidades.  De conformidad con el artículo 2, apartado 9, letra d), del RDC en el contexto de las </w:t>
      </w:r>
      <w:r>
        <w:rPr>
          <w:i/>
        </w:rPr>
        <w:t>ayudas</w:t>
      </w:r>
      <w:r>
        <w:t xml:space="preserve"> de minimis, el beneficiario puede ser el organismo que concede la ayuda. En tales operaciones, el beneficiario podrá identificar las empresas que vayan a recibir ayuda sobre la base de criterios establecidos en el momento de la selección de la operación. Las condiciones relativas a la identificación de las empresas sujetas a ayudas de minimis deben ser claramente predefinidas por la autoridad de gestión con el fin de no eludir la responsabilidad de la AG en la selección de la operación. Deben especificarse claramente en el documento en el que se establecen las condiciones de la ayuda entre la AG/OI y el beneficiario.</w:t>
      </w:r>
    </w:p>
    <w:p w:rsidR="001C6219" w:rsidRDefault="001C6219" w:rsidP="001C6219">
      <w:r>
        <w:t>Podrían ejecutarse otras operaciones consistentes en la redistribución de la ayuda financiera del beneficiario a tipos predefinidos de organismos o personas físicas sobre la base de parámetros predefinidos y claramente definidos sin ningún margen de apreciación por parte del beneficiario (como la concesión de bonos de eficiencia energética), siempre que dichos parámetros se especifiquen antes de la selección de la operación y se reflejen en los documentos que establecen las condiciones de la ayuda entre la AG/OI y el beneficiario. Las tareas de los beneficiarios de una operación de este tipo deben definirse claramente en el documento que establece las condiciones de la ayuda. En tal caso, la operación no afectaría a las responsabilidades de la AG/OI o de un grupo de acción local que aplique el DLP.</w:t>
      </w:r>
    </w:p>
    <w:p w:rsidR="001C6219" w:rsidRDefault="001C6219" w:rsidP="001C6219"/>
    <w:p w:rsidR="001C6219" w:rsidRDefault="001C6219" w:rsidP="001C6219">
      <w:r>
        <w:t>En el contexto del DLP, de conformidad con el artículo 33 del RDC, los grupos de acción local, que pueden ser beneficiarios, tienen el derecho exclusivo de seleccionar operaciones. Sin embargo, de conformidad con el artículo 33, apartado 5, del RDC, deben separarse las funciones del grupo de acción local como beneficiario responsable de iniciar o ejecutar una operación y como organismo responsable de la selección de las operaciones.</w:t>
      </w:r>
    </w:p>
    <w:p w:rsidR="001C6219" w:rsidRDefault="001C6219" w:rsidP="001C6219">
      <w:r>
        <w:t>En conclusión — Los GAL, en su calidad de beneficiario, podrán:</w:t>
      </w:r>
    </w:p>
    <w:p w:rsidR="001C6219" w:rsidRDefault="001C6219" w:rsidP="001C6219">
      <w:pPr>
        <w:numPr>
          <w:ilvl w:val="0"/>
          <w:numId w:val="104"/>
        </w:numPr>
      </w:pPr>
      <w:r>
        <w:lastRenderedPageBreak/>
        <w:t>ejecutar fondos para pequeños proyectos en los programas Interreg y, en tal caso, seleccionar pequeños proyectos dentro del FPP (en consonancia con las disposiciones aplicables para la constitución del GAL como beneficiario y para la selección en el marco de Interreg (artículos 21 y 25 del Reglamento Interreg);</w:t>
      </w:r>
    </w:p>
    <w:p w:rsidR="001C6219" w:rsidRDefault="001C6219" w:rsidP="001C6219">
      <w:pPr>
        <w:numPr>
          <w:ilvl w:val="0"/>
          <w:numId w:val="104"/>
        </w:numPr>
      </w:pPr>
      <w:r>
        <w:t>identificar y conceder ayudas a empresas incluidas en ayudas de minimis;</w:t>
      </w:r>
    </w:p>
    <w:p w:rsidR="001C6219" w:rsidRDefault="001C6219" w:rsidP="001C6219">
      <w:pPr>
        <w:numPr>
          <w:ilvl w:val="0"/>
          <w:numId w:val="104"/>
        </w:numPr>
      </w:pPr>
      <w:r>
        <w:t>iniciar y ejecutar operaciones: un proyecto, contrato, acción o grupo de proyectos (incluidas las operaciones consistentes en la reasignación de la ayuda financiera descrita anteriormente).</w:t>
      </w:r>
    </w:p>
    <w:p w:rsidR="001C6219" w:rsidRDefault="001C6219" w:rsidP="001C6219"/>
    <w:p w:rsidR="001C6219" w:rsidRDefault="001C6219" w:rsidP="001C6219"/>
    <w:p w:rsidR="001C6219" w:rsidRDefault="001C6219" w:rsidP="001C6219"/>
    <w:p w:rsidR="001C6219" w:rsidRDefault="001C6219" w:rsidP="001C6219">
      <w:pPr>
        <w:pStyle w:val="Ttulo1"/>
      </w:pPr>
      <w:bookmarkStart w:id="231" w:name="scroll-bookmark-243"/>
      <w:bookmarkStart w:id="232" w:name="scroll-bookmark-244"/>
      <w:bookmarkEnd w:id="231"/>
      <w:r>
        <w:t>QA00131 — Apoyo a los instrumentos combinados</w:t>
      </w:r>
      <w:bookmarkEnd w:id="232"/>
    </w:p>
    <w:p w:rsidR="001C6219" w:rsidRDefault="001C6219" w:rsidP="001C6219">
      <w:r>
        <w:rPr>
          <w:noProof/>
          <w:lang w:val="es-ES"/>
        </w:rPr>
        <w:drawing>
          <wp:inline distT="0" distB="0" distL="0" distR="0" wp14:anchorId="26C7D5AD" wp14:editId="5B5D0345">
            <wp:extent cx="152435" cy="152435"/>
            <wp:effectExtent l="0" t="0" r="0" b="0"/>
            <wp:docPr id="100467" name="Imagen 1004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58 del RDC</w:t>
      </w:r>
    </w:p>
    <w:p w:rsidR="001C6219" w:rsidRDefault="001C6219" w:rsidP="001C6219">
      <w:r>
        <w:rPr>
          <w:noProof/>
          <w:lang w:val="es-ES"/>
        </w:rPr>
        <w:drawing>
          <wp:inline distT="0" distB="0" distL="0" distR="0" wp14:anchorId="1A535B77" wp14:editId="0AE89F34">
            <wp:extent cx="152435" cy="152435"/>
            <wp:effectExtent l="0" t="0" r="0" b="0"/>
            <wp:docPr id="100469" name="Imagen 1004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Si la evaluación ex ante, realizada de conformidad con el artículo 58.3 del RDC, y propuso utilizar un instrumento financiero combinado (subvención + préstamo) para las empresas sociales, puede un Estado miembro decidir tener dos tipos de ayuda: a) subvención + préstamo, tal como se sugiere en la evaluación ex ante, y b) subvenciones?</w:t>
      </w:r>
    </w:p>
    <w:p w:rsidR="001C6219" w:rsidRDefault="001C6219" w:rsidP="001C6219">
      <w:r>
        <w:t>¿Puede confirmar nuestra comprensión de que pueden hacerlo, pero tendrán que dividir los dos tipos de ayuda en dos operaciones separadas?</w:t>
      </w:r>
    </w:p>
    <w:p w:rsidR="001C6219" w:rsidRDefault="001C6219" w:rsidP="001C6219">
      <w:pPr>
        <w:pStyle w:val="P68B1DB1-Normal1"/>
      </w:pPr>
      <w:r>
        <w:br/>
        <w:t>Pregunta 2 (incluidos los hechos e información pertinentes):</w:t>
      </w:r>
    </w:p>
    <w:p w:rsidR="001C6219" w:rsidRDefault="001C6219" w:rsidP="001C6219">
      <w:r>
        <w:t>La evaluación ex ante ha propuesto establecer dos productos financieros para las empresas sociales: a) subvenciones del 70 % + 30 % de préstamos para empresas emergentes, y b) subvenciones del 50 % y préstamo del 50 % para empresas existentes.</w:t>
      </w:r>
    </w:p>
    <w:p w:rsidR="001C6219" w:rsidRDefault="001C6219" w:rsidP="001C6219">
      <w:r>
        <w:t xml:space="preserve">El artículo 58.5 del RDC establece lo siguiente: </w:t>
      </w:r>
      <w:r>
        <w:rPr>
          <w:i/>
        </w:rPr>
        <w:t xml:space="preserve">«Los instrumentos financieros podrán combinarse con el apoyo al programa en forma de subvenciones en una única operación de instrumento financiero, en el marco de un único acuerdo de financiación, en el que el organismo que ejecute el instrumento financiero proporcionará ambas formas distintas de ayuda. En ese caso, las normas aplicables a los instrumentos financieros se aplicarán a dicha operación única de instrumentos financieros. </w:t>
      </w:r>
      <w:r>
        <w:rPr>
          <w:b/>
          <w:i/>
        </w:rPr>
        <w:t xml:space="preserve">El apoyo al programa en forma de subvenciones </w:t>
      </w:r>
      <w:r>
        <w:rPr>
          <w:i/>
        </w:rPr>
        <w:t xml:space="preserve">estará directamente vinculado y será necesario para el instrumento financiero y </w:t>
      </w:r>
      <w:r>
        <w:rPr>
          <w:b/>
          <w:i/>
        </w:rPr>
        <w:t>no superará el valor de las inversiones apoyadas por el producto financiero</w:t>
      </w:r>
      <w:r>
        <w:rPr>
          <w:i/>
        </w:rPr>
        <w:t>.».</w:t>
      </w:r>
    </w:p>
    <w:p w:rsidR="001C6219" w:rsidRDefault="001C6219" w:rsidP="001C6219">
      <w:r>
        <w:lastRenderedPageBreak/>
        <w:t xml:space="preserve">¿Puede confirmar nuestro entendimiento de que el Estado miembro no está autorizado a tener un instrumento, en el que el 70 % consistiría en una subvención y el 30 % en un préstamo, </w:t>
      </w:r>
      <w:r w:rsidR="002F3719">
        <w:t xml:space="preserve">ya que, </w:t>
      </w:r>
      <w:r>
        <w:t>las subvenciones superarían el valor de las inversiones en forma de producto financiero dentro de una operación?</w:t>
      </w:r>
    </w:p>
    <w:p w:rsidR="001C6219" w:rsidRDefault="001C6219" w:rsidP="001C6219"/>
    <w:p w:rsidR="001C6219" w:rsidRDefault="001C6219" w:rsidP="001C6219">
      <w:pPr>
        <w:pStyle w:val="P68B1DB1-Normal1"/>
      </w:pPr>
      <w:r>
        <w:t>Respuesta 1:</w:t>
      </w:r>
    </w:p>
    <w:p w:rsidR="001C6219" w:rsidRDefault="001C6219" w:rsidP="001C6219">
      <w:r>
        <w:t>El artículo 58, apartado 5, a (7) del RDC y las normas específicas de los fondos no excluyen la prestación de una operación de subvención a beneficiarios que también puedan recibir una ayuda combinada (subvención e instrumento financiero) como perceptores finales a través de una única operación de instrumentos financieros establecida en consonancia con la evaluación ex ante.</w:t>
      </w:r>
    </w:p>
    <w:p w:rsidR="001C6219" w:rsidRDefault="001C6219" w:rsidP="001C6219">
      <w:r>
        <w:t>La ayuda que adopta la única forma de subvención en una operación distinta debe establecerse de conformidad con criterios y procedimientos de selección no discriminatorios y transparentes, tal como se contempla en el artículo 73 del RDC.</w:t>
      </w:r>
    </w:p>
    <w:p w:rsidR="001C6219" w:rsidRDefault="001C6219" w:rsidP="001C6219">
      <w:pPr>
        <w:pStyle w:val="P68B1DB1-Normal1"/>
      </w:pPr>
      <w:r>
        <w:t>Respuesta 2:</w:t>
      </w:r>
    </w:p>
    <w:p w:rsidR="001C6219" w:rsidRDefault="001C6219" w:rsidP="001C6219">
      <w:r>
        <w:t>Sí, su interpretación es correcta. Téngase en cuenta que el límite de la ayuda en forma de subvenciones como parte de la operación del instrumento financiero combinado se aplica al nivel del instrumento financiero y no al nivel de cada inversión.</w:t>
      </w:r>
    </w:p>
    <w:p w:rsidR="001C6219" w:rsidRDefault="001C6219" w:rsidP="001C6219"/>
    <w:p w:rsidR="001C6219" w:rsidRDefault="001C6219" w:rsidP="001C6219"/>
    <w:p w:rsidR="001C6219" w:rsidRDefault="001C6219" w:rsidP="001C6219">
      <w:pPr>
        <w:pStyle w:val="Ttulo1"/>
      </w:pPr>
      <w:bookmarkStart w:id="233" w:name="scroll-bookmark-245"/>
      <w:bookmarkStart w:id="234" w:name="scroll-bookmark-246"/>
      <w:bookmarkEnd w:id="233"/>
      <w:r>
        <w:t xml:space="preserve">QA00132 — Financiación </w:t>
      </w:r>
      <w:r w:rsidR="00490759">
        <w:t>en c</w:t>
      </w:r>
      <w:r>
        <w:t>ascad</w:t>
      </w:r>
      <w:r w:rsidR="00490759">
        <w:t>a</w:t>
      </w:r>
      <w:bookmarkEnd w:id="234"/>
    </w:p>
    <w:p w:rsidR="001C6219" w:rsidRDefault="001C6219" w:rsidP="001C6219">
      <w:r>
        <w:rPr>
          <w:noProof/>
          <w:lang w:val="es-ES"/>
        </w:rPr>
        <w:drawing>
          <wp:inline distT="0" distB="0" distL="0" distR="0" wp14:anchorId="19303F7F" wp14:editId="6B00A80D">
            <wp:extent cx="152435" cy="152435"/>
            <wp:effectExtent l="0" t="0" r="0" b="0"/>
            <wp:docPr id="100471" name="Imagen 1004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2, 33, 71, 73 y 74 del RDC y artículo 25 del Reglamento Interreg</w:t>
      </w:r>
    </w:p>
    <w:p w:rsidR="001C6219" w:rsidRDefault="001C6219" w:rsidP="001C6219">
      <w:r>
        <w:rPr>
          <w:noProof/>
          <w:lang w:val="es-ES"/>
        </w:rPr>
        <w:drawing>
          <wp:inline distT="0" distB="0" distL="0" distR="0" wp14:anchorId="133BEE6A" wp14:editId="7D361D5D">
            <wp:extent cx="152435" cy="152435"/>
            <wp:effectExtent l="0" t="0" r="0" b="0"/>
            <wp:docPr id="100473" name="Imagen 1004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Las autoridades portuguesas desean </w:t>
      </w:r>
      <w:r>
        <w:rPr>
          <w:b/>
        </w:rPr>
        <w:t>obtener confirmación de si es posible utilizar mecanismos de financiación en cascada (o apoyo financiero a terceros) para los proyectos financiados por el FEDER para el período de programación 2021-2027 y de qué manera</w:t>
      </w:r>
      <w:r>
        <w:t>. Portugal hace referencia a la posibilidad de apoyar a los beneficiarios que abrirán y gestionarán una convocatoria para conceder ayuda a los beneficiarios finales (por ejemplo, una convocatoria de agrupaciones para que apoyen a las pymes de sus respectivas cadenas de valor).</w:t>
      </w:r>
    </w:p>
    <w:p w:rsidR="001C6219" w:rsidRDefault="001C6219" w:rsidP="001C6219">
      <w:r>
        <w:t>La pregunta se formula a la luz de las siguientes definiciones establecidas en el artículo 2 (9) del RDC:</w:t>
      </w:r>
    </w:p>
    <w:p w:rsidR="001C6219" w:rsidRDefault="001C6219" w:rsidP="001C6219">
      <w:r>
        <w:t>beneficiario:</w:t>
      </w:r>
    </w:p>
    <w:p w:rsidR="001C6219" w:rsidRDefault="001C6219" w:rsidP="001C6219">
      <w:r>
        <w:lastRenderedPageBreak/>
        <w:t>a) un organismo público o privado, una entidad con o sin personalidad jurídica, o una persona física, responsable de iniciar o de iniciar y ejecutar operaciones;</w:t>
      </w:r>
    </w:p>
    <w:p w:rsidR="001C6219" w:rsidRDefault="001C6219" w:rsidP="001C6219">
      <w:r>
        <w:t>b) en el contexto de las asociaciones público-privadas («APP»), el organismo público que inicia una operación de APP o el socio privado seleccionado para su ejecución;</w:t>
      </w:r>
    </w:p>
    <w:p w:rsidR="001C6219" w:rsidRDefault="001C6219" w:rsidP="001C6219">
      <w:r>
        <w:t>C) en el contexto de los regímenes de ayudas estatales, la empresa que recibe la ayuda;</w:t>
      </w:r>
    </w:p>
    <w:p w:rsidR="001C6219" w:rsidRDefault="001C6219" w:rsidP="001C6219">
      <w:r>
        <w:t>d) en el contexto de las ayudas de minimis concedidas de conformidad con los Reglamentos (UE) n.º 1407/2013 (37) o (UE) n.º 717/2014 de la Comisión (38), el Estado miembro podrá decidir que el beneficiario a efectos del presente Reglamento sea el organismo que concede la ayuda, cuando sea responsable de iniciar o de iniciar y ejecutar la operación;</w:t>
      </w:r>
    </w:p>
    <w:p w:rsidR="001C6219" w:rsidRDefault="001C6219" w:rsidP="001C6219">
      <w:r>
        <w:t>e) en el contexto de los instrumentos financieros, el organismo que ejecuta el fondo de cartera o, cuando no exista una estructura del fondo de cartera, el organismo que ejecuta el fondo específico o, cuando la autoridad de gestión gestione el instrumento financiero, la autoridad de gestión.</w:t>
      </w:r>
    </w:p>
    <w:p w:rsidR="001C6219" w:rsidRDefault="001C6219" w:rsidP="001C6219"/>
    <w:p w:rsidR="001C6219" w:rsidRDefault="001C6219" w:rsidP="001C6219">
      <w:pPr>
        <w:pStyle w:val="P68B1DB1-Normal1"/>
      </w:pPr>
      <w:r>
        <w:t>Respuesta.</w:t>
      </w:r>
    </w:p>
    <w:p w:rsidR="001C6219" w:rsidRDefault="001C6219" w:rsidP="001C6219">
      <w:r>
        <w:t>En primer lugar, es importante aclarar en qué casos los reglamentos permiten que el beneficiario pueda seleccionar operaciones o beneficiarios finales o proyectos dentro de una operación, sin ser designado un organismo intermedio.</w:t>
      </w:r>
    </w:p>
    <w:p w:rsidR="001C6219" w:rsidRDefault="001C6219" w:rsidP="001C6219">
      <w:r>
        <w:t>De conformidad con el artículo 73 del RDC, es la autoridad de gestión la responsable de la selección de las operaciones, excepto en el caso previsto en el artículo 33, apartado 3, del RDC, en el que la selección de operaciones se ha definido como una tarea exclusiva del grupo de acción local (GAL).</w:t>
      </w:r>
    </w:p>
    <w:p w:rsidR="001C6219" w:rsidRDefault="001C6219" w:rsidP="001C6219">
      <w:r>
        <w:t>El artículo 71, apartado 3, del RDC permite a la autoridad de gestión delegar por escrito determinadas tareas en uno o varios organismos intermedios y una de las tareas que pueden delegarse se refiere a la selección de operaciones. Cabe señalar que, en los casos en que la autoridad de gestión o el organismo intermedio sea también el beneficiario, las tareas relacionadas con el inicio o la ejecución de una operación deben separarse de las responsabilidades de selección de operaciones de conformidad con el artículo 71, apartado 4, y el artículo 74, apartado 3, del RDC.</w:t>
      </w:r>
    </w:p>
    <w:p w:rsidR="001C6219" w:rsidRDefault="001C6219" w:rsidP="001C6219">
      <w:r>
        <w:t>Las tareas atribuidas a los beneficiarios por la autoridad de gestión (o el organismo intermedio) no deben eludir las responsabilidades reservadas por el RDC a la autoridad de gestión u otras autoridades del programa.</w:t>
      </w:r>
    </w:p>
    <w:p w:rsidR="001C6219" w:rsidRDefault="001C6219" w:rsidP="001C6219">
      <w:r>
        <w:t>El RDC y los Reglamentos específicos de los fondos regulan los casos exhaustivos en los que un beneficiario puede seleccionar a los beneficiarios finales (fuera de los instrumentos financieros): o reconceder ayudas, es decir, más ayudas en cascada a otras entidades dentro de la operación seleccionada por la autoridad de gestión:</w:t>
      </w:r>
    </w:p>
    <w:p w:rsidR="001C6219" w:rsidRDefault="001C6219" w:rsidP="001C6219">
      <w:pPr>
        <w:numPr>
          <w:ilvl w:val="0"/>
          <w:numId w:val="105"/>
        </w:numPr>
      </w:pPr>
      <w:r>
        <w:t xml:space="preserve">De conformidad con el artículo 25 del Reglamento Interreg, el beneficiario del fondo para pequeños proyectos puede seleccionar pequeños proyectos dentro de la operación (el fondo para pequeños proyectos constituye una operación en el sentido del artículo 2, punto 4, del RDC). El beneficiario, en su calidad de FPP, inicia la operación, pero no la ejecuta: es ejecutada por los destinatarios finales </w:t>
      </w:r>
      <w:r>
        <w:lastRenderedPageBreak/>
        <w:t>de conformidad con el artículo 25, apartado 2, último párrafo, del Reglamento Interreg. Se establece explícitamente que la selección de pequeños proyectos por el beneficiario de la operación no requiere que se identifiquen como organismos intermedios (a menos que se deleguen tareas distintas de la selección).</w:t>
      </w:r>
    </w:p>
    <w:p w:rsidR="001C6219" w:rsidRDefault="001C6219" w:rsidP="001C6219">
      <w:r>
        <w:t xml:space="preserve">El Reglamento también especifica cuándo el beneficiario puede </w:t>
      </w:r>
      <w:r w:rsidR="00F82B27">
        <w:t>canalizar</w:t>
      </w:r>
      <w:r>
        <w:t xml:space="preserve"> más la subvención a otras entidades.  De conformidad con el artículo 2, apartado 9, letra d), del RDC, en el contexto de la ayuda de minimis concedida al beneficiario puede ser el organismo que concede la ayuda. En tales operaciones, el beneficiario podrá identificar las empresas que vayan a recibir ayuda sobre la base de criterios establecidos en el momento de la selección de la operación. Las condiciones relativas a la identificación de las empresas sujetas a ayudas de minimis deben ser claramente predefinidas por la autoridad de gestión con el fin de no eludir la responsabilidad de la AG en la selección de la operación. Deben especificarse claramente en el documento en el que se establecen las condiciones de la ayuda entre la AG/OI y el beneficiario.</w:t>
      </w:r>
    </w:p>
    <w:p w:rsidR="001C6219" w:rsidRDefault="001C6219" w:rsidP="001C6219">
      <w:r>
        <w:t>Podrían ejecutarse otras operaciones consistentes en la redistribución de la ayuda financiera del beneficiario a tipos predefinidos de organismos o personas físicas sobre la base de parámetros predefinidos y claramente definidos sin ningún margen de apreciación por parte del beneficiario (como bonos de eficiencia energética), siempre que dichos parámetros se especifiquen antes de la selección de la operación y se reflejen en los documentos que establecen las condiciones de la ayuda entre la AG/OI y el beneficiario. Las tareas de los beneficiarios de una operación de este tipo deben definirse claramente en el documento que establece las condiciones de la ayuda. En tal caso, la operación no afectaría a las responsabilidades de la AG/OI o de un grupo de acción local que aplique el DLP.</w:t>
      </w:r>
    </w:p>
    <w:p w:rsidR="001C6219" w:rsidRDefault="001C6219" w:rsidP="001C6219"/>
    <w:p w:rsidR="001C6219" w:rsidRDefault="001C6219" w:rsidP="001C6219">
      <w:r>
        <w:t>En el contexto de la pregunta formulada, el beneficiario podrá:</w:t>
      </w:r>
    </w:p>
    <w:p w:rsidR="001C6219" w:rsidRDefault="001C6219" w:rsidP="001C6219">
      <w:pPr>
        <w:numPr>
          <w:ilvl w:val="0"/>
          <w:numId w:val="106"/>
        </w:numPr>
      </w:pPr>
      <w:r>
        <w:t>ejecutar fondos para pequeños proyectos en los programas Interreg y, en tal caso, seleccionar pequeños proyectos dentro del FPP;</w:t>
      </w:r>
    </w:p>
    <w:p w:rsidR="001C6219" w:rsidRDefault="001C6219" w:rsidP="001C6219">
      <w:pPr>
        <w:numPr>
          <w:ilvl w:val="0"/>
          <w:numId w:val="106"/>
        </w:numPr>
      </w:pPr>
      <w:r>
        <w:t>identificar y conceder ayudas a empresas incluidas en regímenes de ayudas de minimis (obsérvese: empresas: los organismos que ejercen una actividad económica);</w:t>
      </w:r>
    </w:p>
    <w:p w:rsidR="001C6219" w:rsidRDefault="001C6219" w:rsidP="001C6219">
      <w:pPr>
        <w:numPr>
          <w:ilvl w:val="0"/>
          <w:numId w:val="106"/>
        </w:numPr>
      </w:pPr>
      <w:r>
        <w:t>iniciar o ejecutar operaciones seleccionadas por la AG, tal como se definen en el RDC, un proyecto, contrato, acción o grupo de proyectos (incluidas las operaciones consistentes en la reasignación de la ayuda financiera descrita anteriormente);</w:t>
      </w:r>
    </w:p>
    <w:p w:rsidR="001C6219" w:rsidRDefault="001C6219" w:rsidP="001C6219">
      <w:r>
        <w:t xml:space="preserve">En caso de que una operación seleccionada consista en un grupo de proyectos, el beneficiario no podrá seleccionar proyectos dentro del grupo, </w:t>
      </w:r>
      <w:r w:rsidR="002F3719">
        <w:t xml:space="preserve">ya que, </w:t>
      </w:r>
      <w:r>
        <w:t>deben ser seleccionados «en el marco del programa», es decir, por la autoridad de gestión o el organismo intermedio de conformidad con el artículo 73 del RDC.</w:t>
      </w:r>
    </w:p>
    <w:p w:rsidR="001C6219" w:rsidRDefault="001C6219" w:rsidP="001C6219"/>
    <w:p w:rsidR="001C6219" w:rsidRDefault="001C6219" w:rsidP="001C6219"/>
    <w:p w:rsidR="001C6219" w:rsidRDefault="001C6219" w:rsidP="001C6219">
      <w:pPr>
        <w:pStyle w:val="Ttulo1"/>
      </w:pPr>
      <w:bookmarkStart w:id="235" w:name="scroll-bookmark-247"/>
      <w:bookmarkStart w:id="236" w:name="scroll-bookmark-248"/>
      <w:bookmarkEnd w:id="235"/>
      <w:r>
        <w:lastRenderedPageBreak/>
        <w:t>QA00133 — Operación consistente en un grupo de proyectos — régimen de subvenciones</w:t>
      </w:r>
      <w:bookmarkEnd w:id="236"/>
    </w:p>
    <w:p w:rsidR="001C6219" w:rsidRDefault="001C6219" w:rsidP="001C6219">
      <w:r>
        <w:rPr>
          <w:noProof/>
          <w:lang w:val="es-ES"/>
        </w:rPr>
        <w:drawing>
          <wp:inline distT="0" distB="0" distL="0" distR="0" wp14:anchorId="20117638" wp14:editId="58F0F884">
            <wp:extent cx="152435" cy="152435"/>
            <wp:effectExtent l="0" t="0" r="0" b="0"/>
            <wp:docPr id="100475" name="Imagen 1004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 (4), 2 (9), 72 (1) y 73 del RDC </w:t>
      </w:r>
    </w:p>
    <w:p w:rsidR="001C6219" w:rsidRDefault="001C6219" w:rsidP="001C6219">
      <w:r>
        <w:rPr>
          <w:noProof/>
          <w:lang w:val="es-ES"/>
        </w:rPr>
        <w:drawing>
          <wp:inline distT="0" distB="0" distL="0" distR="0" wp14:anchorId="2F7AC64E" wp14:editId="14167CD3">
            <wp:extent cx="152435" cy="152435"/>
            <wp:effectExtent l="0" t="0" r="0" b="0"/>
            <wp:docPr id="100477" name="Imagen 1004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En el período 2014-2020, las autoridades checas utilizan un sistema para la administración de subvenciones a las calderas en el eje prioritario 2 del programa operativo de medio ambiente. El régimen tiene mucho éxito, </w:t>
      </w:r>
      <w:r w:rsidR="002F3719">
        <w:t xml:space="preserve">ya que, </w:t>
      </w:r>
      <w:r>
        <w:t>reduce las quemaduras administrativas para los pequeños beneficiarios. La admisibilidad de este régimen fue confirmada por la pregunta de interpretación IQ00110</w:t>
      </w:r>
      <w:r>
        <w:rPr>
          <w:i/>
        </w:rPr>
        <w:t xml:space="preserve"> — Admisibilidad de calderas de calefacción para hogares individuales.</w:t>
      </w:r>
      <w:r>
        <w:t xml:space="preserve"> Las autoridades checas tienen la intención de utilizar regímenes similares en otras actividades de los programas en el período 2021-2027 (Programa de Medio Ambiente, Programa de Transición Justa).</w:t>
      </w:r>
    </w:p>
    <w:p w:rsidR="001C6219" w:rsidRDefault="001C6219" w:rsidP="001C6219">
      <w:r>
        <w:t>En tales casos, la autoridad de gestión tiene previsto seleccionar operaciones de conformidad con el artículo 72, apartado 1, letra a), y el artículo 73, apartado 1, en convocatorias abiertas basadas en criterios transparentes y no discriminatorios aprobados por el comité de seguimiento. En el contexto de este régimen, se entenderá por operación un grupo de proyectos tal como se define en el artículo 2, apartado 4, letra a). El beneficiario de esta operación seleccionada será una autoridad regional u otro organismo público, que será el único solicitante admisible en la convocatoria específica. El beneficiario será un organismo responsable del inicio de la operación, pero no de su ejecución. La ejecución de las actividades de la operación se delegará en los destinatarios finales a los que el beneficiario conceda la ayuda. Supondrá una simplificación administrativa para los proyectos a pequeña escala (ayudas inferiores a 200 000 EUR). La selección de los beneficiarios finales se basará en criterios transparentes y no discriminatorios establecidos por la autoridad de gestión y aprobados por el comité de seguimiento.</w:t>
      </w:r>
    </w:p>
    <w:p w:rsidR="001C6219" w:rsidRDefault="001C6219" w:rsidP="001C6219">
      <w:r>
        <w:t xml:space="preserve">De la respuesta a la pregunta de interpretación QA00076 — </w:t>
      </w:r>
      <w:r>
        <w:rPr>
          <w:i/>
        </w:rPr>
        <w:t xml:space="preserve">Concesión de ayudas estatales por beneficiarios que no forman parte del sistema de gestión y control del PO en el período posterior a 2020 </w:t>
      </w:r>
      <w:r>
        <w:t>entendemos que este tipo de régimen es posible cuando cumple con las ayudas de minimis, es decir, el importe de la ayuda concedida al beneficiario final es inferior a los umbrales establecidos en el Reglamento 1407/2013 (200 000 EUR).</w:t>
      </w:r>
    </w:p>
    <w:p w:rsidR="001C6219" w:rsidRDefault="001C6219" w:rsidP="001C6219">
      <w:r>
        <w:t>El régimen tiene varias ventajas. En primer lugar, reducirá la carga administrativa para la AG y los beneficiarios finales, como las personas físicas, las ONG o las pequeñas empresas y microempresas, para las que el procedimiento de convocatoria estándar es demasiado complicado. De la experiencia anterior se desprende claramente que la simplificación contribuye significativamente a los resultados deseados. El régimen garantizará la participación directa del nivel regional en el programa.</w:t>
      </w:r>
    </w:p>
    <w:p w:rsidR="001C6219" w:rsidRDefault="001C6219" w:rsidP="001C6219"/>
    <w:p w:rsidR="001C6219" w:rsidRDefault="001C6219" w:rsidP="001C6219">
      <w:pPr>
        <w:pStyle w:val="P68B1DB1-Normal1"/>
      </w:pPr>
      <w:r>
        <w:lastRenderedPageBreak/>
        <w:t>Respuesta.</w:t>
      </w:r>
    </w:p>
    <w:p w:rsidR="001C6219" w:rsidRDefault="001C6219" w:rsidP="001C6219">
      <w:r>
        <w:t>El RDC y los Reglamentos específicos de los fondos regulan los casos exhaustivos en los que un beneficiario puede seleccionar a los beneficiarios finales (fuera de los instrumentos financieros): o reconceder ayudas dentro de la operación seleccionada por la autoridad de gestión. Este es el caso, en particular, de los fondos para pequeños proyectos.</w:t>
      </w:r>
    </w:p>
    <w:p w:rsidR="001C6219" w:rsidRDefault="001C6219" w:rsidP="001C6219">
      <w:r>
        <w:t>El Reglamento también especifica cuándo el beneficiario puede seguir casando la subvención a otras entidades. De conformidad con el artículo 2, apartado 9, letra d), del RDC, en el contexto de la ayuda de minimis concedida al beneficiario puede ser el organismo que concede la ayuda. En tales operaciones, el beneficiario puede identificar empresas (es decir, entidades que ejercen una actividad económica y no hogares) que deben recibir ayuda sobre la base de criterios establecidos en el momento de la selección de la operación.</w:t>
      </w:r>
    </w:p>
    <w:p w:rsidR="001C6219" w:rsidRDefault="001C6219" w:rsidP="001C6219">
      <w:r>
        <w:t>Por lo tanto, siempre que la ayuda concedida a las empresas entre en el ámbito de las ayudas de minimis, el organismo que concede la ayuda puede considerarse beneficiario en el sentido del artículo 2, apartado 9, letra d). Cabe señalar, no obstante, que las condiciones relativas a la identificación de las empresas sujetas a ayudas de minimis deben ser claramente predefinidas por la autoridad de gestión para no eludir la responsabilidad de la AG en la selección de la operación. Deben especificarse claramente en el documento en el que se establecen las condiciones de la ayuda entre la AG/OI y el beneficiario.</w:t>
      </w:r>
    </w:p>
    <w:p w:rsidR="001C6219" w:rsidRDefault="001C6219" w:rsidP="001C6219">
      <w:r>
        <w:t xml:space="preserve">Para más preguntas sobre la definición de beneficiario y las condiciones en las que un beneficiario puede ser responsable de la concesión de la ayuda, véanse las respuestas a las </w:t>
      </w:r>
      <w:hyperlink r:id="rId476" w:history="1">
        <w:r>
          <w:rPr>
            <w:rStyle w:val="Hipervnculo"/>
          </w:rPr>
          <w:t>preguntas QA00132</w:t>
        </w:r>
      </w:hyperlink>
      <w:r>
        <w:t xml:space="preserve"> y </w:t>
      </w:r>
      <w:hyperlink r:id="rId477" w:history="1">
        <w:r>
          <w:rPr>
            <w:rStyle w:val="Hipervnculo"/>
          </w:rPr>
          <w:t>QA00130</w:t>
        </w:r>
      </w:hyperlink>
      <w:r>
        <w:t>.</w:t>
      </w:r>
    </w:p>
    <w:p w:rsidR="001C6219" w:rsidRDefault="001C6219" w:rsidP="001C6219"/>
    <w:p w:rsidR="001C6219" w:rsidRDefault="001C6219" w:rsidP="001C6219"/>
    <w:p w:rsidR="001C6219" w:rsidRDefault="001C6219" w:rsidP="001C6219">
      <w:pPr>
        <w:pStyle w:val="Ttulo1"/>
      </w:pPr>
      <w:bookmarkStart w:id="237" w:name="scroll-bookmark-249"/>
      <w:bookmarkStart w:id="238" w:name="scroll-bookmark-250"/>
      <w:bookmarkEnd w:id="237"/>
      <w:r>
        <w:t>QA00134 — Preguntas relacionadas con la definición del vehículo limpio en el marco del objetivo político 4</w:t>
      </w:r>
      <w:bookmarkEnd w:id="238"/>
    </w:p>
    <w:p w:rsidR="001C6219" w:rsidRDefault="001C6219" w:rsidP="001C6219">
      <w:r>
        <w:rPr>
          <w:noProof/>
          <w:lang w:val="es-ES"/>
        </w:rPr>
        <w:drawing>
          <wp:inline distT="0" distB="0" distL="0" distR="0" wp14:anchorId="3DBF6000" wp14:editId="71D2C66D">
            <wp:extent cx="152435" cy="152435"/>
            <wp:effectExtent l="0" t="0" r="0" b="0"/>
            <wp:docPr id="100479" name="Imagen 1004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xml:space="preserve"> Artículo 7.1, letra h), inciso iii); Artículo 3.1, letra d), incisos ii) y v), del Reglamento FEDER/FC; RDC (anexo I)</w:t>
      </w:r>
    </w:p>
    <w:p w:rsidR="001C6219" w:rsidRDefault="001C6219" w:rsidP="001C6219">
      <w:r>
        <w:rPr>
          <w:noProof/>
          <w:lang w:val="es-ES"/>
        </w:rPr>
        <w:drawing>
          <wp:inline distT="0" distB="0" distL="0" distR="0" wp14:anchorId="3E13290D" wp14:editId="001AAF78">
            <wp:extent cx="152435" cy="152435"/>
            <wp:effectExtent l="0" t="0" r="0" b="0"/>
            <wp:docPr id="100481" name="Imagen 1004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1C6219" w:rsidRDefault="001C6219" w:rsidP="001C6219"/>
    <w:p w:rsidR="001C6219" w:rsidRDefault="001C6219" w:rsidP="001C6219">
      <w:pPr>
        <w:pStyle w:val="P68B1DB1-Normal1"/>
      </w:pPr>
      <w:r>
        <w:t>Preguntas (incluidos los hechos y la información pertinentes):</w:t>
      </w:r>
    </w:p>
    <w:p w:rsidR="001C6219" w:rsidRDefault="001C6219" w:rsidP="001C6219">
      <w:pPr>
        <w:numPr>
          <w:ilvl w:val="0"/>
          <w:numId w:val="107"/>
        </w:numPr>
      </w:pPr>
      <w:r>
        <w:t>En virtud del documento PO4/</w:t>
      </w:r>
      <w:r w:rsidR="003A0F8F">
        <w:t>Prioridad</w:t>
      </w:r>
      <w:r>
        <w:t xml:space="preserve"> 4 del Programa de Inversiones de los Fondos de la UE 2021-27, las autoridades lituanas planifican las inversiones del FEDER para la adquisición de vehículos para el transporte colectivo, es decir, los autobuses escolares (SO — artículo 3.1, letra d), inciso ii)), y las ambulancias de emergencia/puntos de salud móviles [SO — artículo 3.1, letra d), inciso v)]. Aclaren si este tipo de inversiones están sujetas a las disposiciones legales del </w:t>
      </w:r>
      <w:r>
        <w:lastRenderedPageBreak/>
        <w:t>artículo 7.1, letra h), inciso iii), del Reglamento (UE) 2021/1058 del FEDER y del FC para los «vehículos limpios», tal como se definen en la refundición de la Directiva 2009/33/CE del Parlamento Europeo y del Consejo con fines públicos, también se aplican a los vehículos especiales enumerados.</w:t>
      </w:r>
    </w:p>
    <w:p w:rsidR="001C6219" w:rsidRDefault="001C6219" w:rsidP="001C6219">
      <w:pPr>
        <w:numPr>
          <w:ilvl w:val="0"/>
          <w:numId w:val="107"/>
        </w:numPr>
      </w:pPr>
      <w:r>
        <w:t>Si la respuesta a la pregunta no 1 es «sí», facilítese la definición de «vehículo limpio» y, en su caso, las condiciones (tipo de motor) para estos dos tipos específicos de inversiones.</w:t>
      </w:r>
    </w:p>
    <w:p w:rsidR="001C6219" w:rsidRDefault="001C6219" w:rsidP="001C6219">
      <w:pPr>
        <w:numPr>
          <w:ilvl w:val="0"/>
          <w:numId w:val="107"/>
        </w:numPr>
      </w:pPr>
      <w:r>
        <w:t xml:space="preserve">Se ruega que aclaren si existe alguna excepción en dicho Reglamento para la adquisición de este tipo de transporte de emergencia en términos de requisitos medioambientales. Explique si los recursos del Programa solo podrían financiar ambulancias o autobuses escolares respetuosos con el medio ambiente. Según los conocimientos de las autoridades de LT, no hay enchufes híbridos en el mercado (incluido el internacional). Sería imposible adquirir este tipo de autobuses/ambulancias escolares. Cabe señalar que el uso únicamente de autobuses escolares eléctricos sería problemático, </w:t>
      </w:r>
      <w:r w:rsidR="002F3719">
        <w:t xml:space="preserve">ya que, </w:t>
      </w:r>
      <w:r>
        <w:t>los vehículos de transporte tienen que cubrir largas distancias en zonas remotas o realizar varios itinerarios en poco tiempo. En cuanto a las ambulancias, también reciben muchas llamadas durante el día. Los coches eléctricos solo pueden recorrer un determinado número de km, la carga de las baterías lleva tiempo y, en las mismas ambulancias, las ambulancias deben garantizar una asistencia de emergencia oportuna. Recomiéndese cuáles son las alternativas.</w:t>
      </w:r>
    </w:p>
    <w:p w:rsidR="001C6219" w:rsidRDefault="001C6219" w:rsidP="001C6219">
      <w:pPr>
        <w:numPr>
          <w:ilvl w:val="0"/>
          <w:numId w:val="107"/>
        </w:numPr>
      </w:pPr>
      <w:r>
        <w:t>Especifique también la selección de los ámbitos de intervención pertinentes (RDC, anexo I) y las condiciones (campos de intervención 082 «Material rodante de transporte urbano limpio», 077 «Medidas de calidad del aire y reducción del ruido» y 130 «Activos sanitarios móviles»).</w:t>
      </w:r>
    </w:p>
    <w:p w:rsidR="001C6219" w:rsidRDefault="001C6219" w:rsidP="001C6219">
      <w:pPr>
        <w:numPr>
          <w:ilvl w:val="0"/>
          <w:numId w:val="107"/>
        </w:numPr>
      </w:pPr>
      <w:r>
        <w:t>En caso de que se aplique la excepción a las disposiciones legales enumeradas en el punto 1, recomiéndese cómo debe reflejarse en la evaluación del principio DNSH para ambulancias/autobuses escolares.</w:t>
      </w:r>
    </w:p>
    <w:p w:rsidR="001C6219" w:rsidRDefault="001C6219" w:rsidP="001C6219"/>
    <w:p w:rsidR="001C6219" w:rsidRDefault="001C6219" w:rsidP="001C6219">
      <w:pPr>
        <w:pStyle w:val="P68B1DB1-Normal1"/>
      </w:pPr>
      <w:r>
        <w:t>Respuestas:</w:t>
      </w:r>
    </w:p>
    <w:p w:rsidR="001C6219" w:rsidRDefault="001C6219" w:rsidP="001C6219">
      <w:pPr>
        <w:ind w:left="284"/>
      </w:pPr>
      <w:r>
        <w:t>(1) El artículo 7 del Reglamento FEDER/FC no permite apoyar inversiones en vehículos que impliquen la «producción, transformación, transporte, distribución, almacenamiento o combustión de combustibles fósiles». En el caso de los vehículos que se utilizan con «fines públicos», existe una excepción a esta exclusión del ámbito de aplicación de la ayuda a los «vehículos limpios», como los vehículos híbridos enchufables. La definición de «vehículos limpios» y las exclusiones y excepciones del artículo 7 del Reglamento FEDER/FC también se aplican «a los vehículos especiales» enumerados en la refundición de la Directiva 2009/33/CE.</w:t>
      </w:r>
    </w:p>
    <w:p w:rsidR="001C6219" w:rsidRDefault="001C6219" w:rsidP="001C6219">
      <w:pPr>
        <w:ind w:left="284"/>
      </w:pPr>
      <w:r>
        <w:t>(2) La definición de «vehículo limpio» con arreglo al artículo 4, apartado 4, de la Directiva 2009/33/CE depende de la categoría de vehículo:</w:t>
      </w:r>
    </w:p>
    <w:p w:rsidR="001C6219" w:rsidRDefault="001C6219" w:rsidP="001C6219">
      <w:pPr>
        <w:numPr>
          <w:ilvl w:val="0"/>
          <w:numId w:val="108"/>
        </w:numPr>
      </w:pPr>
    </w:p>
    <w:p w:rsidR="001C6219" w:rsidRDefault="001C6219" w:rsidP="001C6219">
      <w:pPr>
        <w:numPr>
          <w:ilvl w:val="1"/>
          <w:numId w:val="109"/>
        </w:numPr>
      </w:pPr>
      <w:r>
        <w:t xml:space="preserve">En el caso de los vehículos ligeros (categorías de vehículos M1, M2 y N1, es decir, turismos, furgonetas), «vehículo limpio» significa un vehículo </w:t>
      </w:r>
      <w:r>
        <w:lastRenderedPageBreak/>
        <w:t>con emisiones de CO2 del tubo de escape desde cero hasta 50 g/km (valores WLTP registrados en el certificado de conformidad del vehículo).</w:t>
      </w:r>
    </w:p>
    <w:p w:rsidR="001C6219" w:rsidRDefault="001C6219" w:rsidP="001C6219">
      <w:pPr>
        <w:numPr>
          <w:ilvl w:val="1"/>
          <w:numId w:val="109"/>
        </w:numPr>
      </w:pPr>
      <w:r>
        <w:t>En el caso de los autobuses y otros vehículos de la categoría M3, se entenderá por vehículo limpio un vehículo que funcione con combustibles alternativos tal como se definen en la Directiva 2014/94/UE relativa a la implantación de una infraestructura para los combustibles alternativos, a saber, electricidad con baterías, híbrido enchufable, hidrógeno, GNC, GNL, GLP, biocombustibles y combustibles sintéticos y parafínicos.</w:t>
      </w:r>
    </w:p>
    <w:p w:rsidR="001C6219" w:rsidRDefault="001C6219" w:rsidP="001C6219">
      <w:pPr>
        <w:ind w:left="284"/>
      </w:pPr>
      <w:r>
        <w:t>Se destaca que la excepción de los «vehículos limpios» solo se aplica a los propios vehículos y no a las infraestructuras conexas, como las estaciones de recarga de GNC y el almacenamiento.</w:t>
      </w:r>
    </w:p>
    <w:p w:rsidR="001C6219" w:rsidRDefault="001C6219" w:rsidP="001C6219">
      <w:pPr>
        <w:ind w:left="284"/>
      </w:pPr>
      <w:r>
        <w:t xml:space="preserve">(3) El segundo </w:t>
      </w:r>
      <w:r w:rsidR="00ED6BFD">
        <w:t>guion</w:t>
      </w:r>
      <w:r>
        <w:t xml:space="preserve"> del artículo 7, apartado 1, letra h), inciso iii), del Reglamento FEDER/FC cubre la financiación de algunos vehículos especiales, a saber, los «vehículos [...] diseñados y fabricados o adaptados para su utilización por los servicios de protección civil y de bomberos». Los vehículos acogidos a esta excepción son </w:t>
      </w:r>
      <w:r w:rsidR="00ED6BFD">
        <w:t>admisibles,</w:t>
      </w:r>
      <w:r>
        <w:t xml:space="preserve"> aunque no sean «limpios». No obstante, desde una perspectiva política, debe favorecerse el apoyo a las alternativas limpias y de cero emisiones siempre que sea posible, con el fin de catalizar la adopción por el mercado de estas alternativas más sostenibles.</w:t>
      </w:r>
    </w:p>
    <w:p w:rsidR="001C6219" w:rsidRDefault="001C6219" w:rsidP="001C6219">
      <w:pPr>
        <w:ind w:left="284"/>
      </w:pPr>
      <w:r>
        <w:t>La categoría de «vehículos [...] diseñados y fabricados o adaptados para su utilización por los servicios de protección civil y de bomberos» incluye las ambulancias o los puntos móviles de salud, pero no los autobuses escolares.</w:t>
      </w:r>
    </w:p>
    <w:p w:rsidR="001C6219" w:rsidRDefault="001C6219" w:rsidP="001C6219">
      <w:pPr>
        <w:ind w:left="284"/>
      </w:pPr>
      <w:r>
        <w:t>(4) En el marco del documento PO4/</w:t>
      </w:r>
      <w:r w:rsidR="003A0F8F">
        <w:t>Prioridad</w:t>
      </w:r>
      <w:r>
        <w:t xml:space="preserve"> 4, las inversiones relacionadas con la adquisición de ambulancias y puntos móviles sanitarios deben incluirse en el ámbito de intervención 130.</w:t>
      </w:r>
    </w:p>
    <w:p w:rsidR="001C6219" w:rsidRDefault="001C6219" w:rsidP="001C6219">
      <w:pPr>
        <w:ind w:left="284"/>
      </w:pPr>
      <w:r>
        <w:t xml:space="preserve">En caso de que las autoridades de LT consideren planificar las inversiones del FEDER para la adquisición de vehículos de emisión cero para el transporte, es decir, autobuses escolares (eléctricos) de emisión cero, el campo de intervención 082 podría utilizarse incluso en zonas rurales, </w:t>
      </w:r>
      <w:r w:rsidR="002F3719">
        <w:t xml:space="preserve">ya que, </w:t>
      </w:r>
      <w:r>
        <w:t xml:space="preserve">podría considerarse el código más cercano disponible para capturar el elemento de emisión cero. En el caso de los autobuses escolares híbridos enchufables, podría considerarse el uso del campo de intervención 077 (a menos que, en el caso de las inversiones relacionadas con la adquisición de autobuses escolares, </w:t>
      </w:r>
      <w:r>
        <w:rPr>
          <w:i/>
        </w:rPr>
        <w:t>se considere que los campos de intervención 121, 122, 123 y 124 más cercanos son</w:t>
      </w:r>
      <w:r>
        <w:t xml:space="preserve"> los campos de intervención, y, dependiendo del nivel educativo previsto).</w:t>
      </w:r>
    </w:p>
    <w:p w:rsidR="001C6219" w:rsidRDefault="001C6219" w:rsidP="001C6219">
      <w:pPr>
        <w:ind w:left="284"/>
      </w:pPr>
      <w:r>
        <w:t>(5) Las inversiones subvencionables deben ejecutarse teniendo en cuenta el principio DNSH. A este respecto, son especialmente pertinentes dos objetivos: (1) mitigación del cambio climático y (2) prevención y control de la contaminación. El escaso impacto global en el caso de los vehículos de emergencia y la menor dependencia del uso de vehículos privados y el uso de combustibles fósiles en el caso de los autobuses escolares (que deben ser vehículos limpios) pueden demostrar que no se ha producido un perjuicio significativo a estos objetivos.</w:t>
      </w:r>
    </w:p>
    <w:p w:rsidR="001C6219" w:rsidRDefault="001C6219" w:rsidP="001C6219"/>
    <w:p w:rsidR="001C6219" w:rsidRDefault="001C6219" w:rsidP="001C6219"/>
    <w:p w:rsidR="001C6219" w:rsidRDefault="001C6219" w:rsidP="001C6219">
      <w:pPr>
        <w:pStyle w:val="Ttulo1"/>
      </w:pPr>
      <w:bookmarkStart w:id="239" w:name="scroll-bookmark-251"/>
      <w:bookmarkStart w:id="240" w:name="scroll-bookmark-252"/>
      <w:bookmarkEnd w:id="239"/>
      <w:r>
        <w:t>QA00135 — Aplicación de los tipos fijos del RDC y de la CTE y otras opciones de costes simplificados dentro de un fondo para pequeños proyectos</w:t>
      </w:r>
      <w:bookmarkEnd w:id="240"/>
    </w:p>
    <w:p w:rsidR="001C6219" w:rsidRDefault="001C6219" w:rsidP="001C6219">
      <w:pPr>
        <w:pStyle w:val="P68B1DB1-Normal1"/>
      </w:pPr>
      <w:r>
        <w:t>Pregunta 1 (incluidos los hechos e información pertinentes):</w:t>
      </w:r>
    </w:p>
    <w:p w:rsidR="001C6219" w:rsidRDefault="001C6219" w:rsidP="001C6219"/>
    <w:p w:rsidR="001C6219" w:rsidRDefault="001C6219" w:rsidP="001C6219">
      <w:r>
        <w:rPr>
          <w:noProof/>
          <w:lang w:val="es-ES"/>
        </w:rPr>
        <w:drawing>
          <wp:inline distT="0" distB="0" distL="0" distR="0" wp14:anchorId="1ACA369C" wp14:editId="5A9DB1FF">
            <wp:extent cx="152435" cy="152435"/>
            <wp:effectExtent l="0" t="0" r="0" b="0"/>
            <wp:docPr id="100483" name="Imagen 1004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Artículos 53 a 56 del RDC</w:t>
      </w:r>
    </w:p>
    <w:p w:rsidR="001C6219" w:rsidRDefault="001C6219" w:rsidP="001C6219">
      <w:r>
        <w:t>Artículos 25 y 38 a 44 del Reglamento Interreg</w:t>
      </w:r>
    </w:p>
    <w:p w:rsidR="001C6219" w:rsidRDefault="001C6219" w:rsidP="001C6219">
      <w:r>
        <w:rPr>
          <w:noProof/>
          <w:lang w:val="es-ES"/>
        </w:rPr>
        <w:drawing>
          <wp:inline distT="0" distB="0" distL="0" distR="0" wp14:anchorId="6EC27C1E" wp14:editId="36208E19">
            <wp:extent cx="152435" cy="152435"/>
            <wp:effectExtent l="0" t="0" r="0" b="0"/>
            <wp:docPr id="100485" name="Imagen 1004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r>
        <w:t xml:space="preserve">El artículo 25 del Reglamento Interreg </w:t>
      </w:r>
      <w:r>
        <w:rPr>
          <w:b/>
        </w:rPr>
        <w:t xml:space="preserve">establece </w:t>
      </w:r>
      <w:r w:rsidR="00ED6BFD">
        <w:rPr>
          <w:b/>
        </w:rPr>
        <w:t>normas</w:t>
      </w:r>
      <w:r w:rsidR="00ED6BFD">
        <w:t xml:space="preserve"> específicas</w:t>
      </w:r>
      <w:r>
        <w:t xml:space="preserve">] sobre los fondos para pequeños proyectos. Cada SPF constituye una </w:t>
      </w:r>
      <w:r>
        <w:rPr>
          <w:i/>
        </w:rPr>
        <w:t>operación</w:t>
      </w:r>
      <w:r>
        <w:t xml:space="preserve"> (párrafo 2). El gestor del FPP es el (único) </w:t>
      </w:r>
      <w:r>
        <w:rPr>
          <w:i/>
        </w:rPr>
        <w:t>beneficiario</w:t>
      </w:r>
      <w:r>
        <w:t xml:space="preserve"> (apartado 2), mientras que los </w:t>
      </w:r>
      <w:r>
        <w:rPr>
          <w:i/>
        </w:rPr>
        <w:t>pequeños proyectos</w:t>
      </w:r>
      <w:hyperlink w:anchor="scroll-bookmark-254" w:history="1">
        <w:r>
          <w:rPr>
            <w:rStyle w:val="Hipervnculo"/>
          </w:rPr>
          <w:t>[2]</w:t>
        </w:r>
      </w:hyperlink>
      <w:r>
        <w:t xml:space="preserve"> son ejecutados por </w:t>
      </w:r>
      <w:r>
        <w:rPr>
          <w:i/>
        </w:rPr>
        <w:t>beneficiarios finales</w:t>
      </w:r>
      <w:hyperlink w:anchor="scroll-bookmark-255" w:history="1">
        <w:r>
          <w:rPr>
            <w:rStyle w:val="Hipervnculo"/>
          </w:rPr>
          <w:t>[3]</w:t>
        </w:r>
      </w:hyperlink>
      <w:r>
        <w:t xml:space="preserve">. Cada FPP está compuesto por dos partes muy distintas de los gastos: 1.º los «costes de personal y otros costes» con arreglo a los artículos 39 a 43 del Reglamento Interreg generados por el gestor del FPP y 2.º los gastos generados por la totalidad de los beneficiarios finales. Por consiguiente, las disposiciones del RDC sobre opciones de costes simplificados, que se refieren al gasto total de una </w:t>
      </w:r>
      <w:r>
        <w:rPr>
          <w:i/>
        </w:rPr>
        <w:t>operación</w:t>
      </w:r>
      <w:r>
        <w:t xml:space="preserve">, no son adecuadas para las dos partes del gasto de un FPP, y menos aún para los gastos de un único </w:t>
      </w:r>
      <w:r>
        <w:rPr>
          <w:i/>
        </w:rPr>
        <w:t>pequeño proyecto</w:t>
      </w:r>
      <w:r>
        <w:t>. Por lo tanto, algunas excepciones a las normas del RDC ya están incorporadas en el artículo 25 del Reglamento</w:t>
      </w:r>
      <w:r w:rsidR="00ED6BFD">
        <w:t xml:space="preserve"> </w:t>
      </w:r>
      <w:hyperlink w:anchor="scroll-bookmark-256" w:history="1">
        <w:r>
          <w:rPr>
            <w:rStyle w:val="Hipervnculo"/>
          </w:rPr>
          <w:t>Interreg [4</w:t>
        </w:r>
      </w:hyperlink>
      <w:r>
        <w:t>].</w:t>
      </w:r>
    </w:p>
    <w:p w:rsidR="001C6219" w:rsidRDefault="001C6219" w:rsidP="001C6219">
      <w:r>
        <w:t>Aunque las normas específicas del artículo 25 del Reglamento Interreg tienen por objeto simplificar considerablemente la ejecución del marco de pequeños proyectos y de los pequeños proyectos, varias (futuras) autoridades de los programas se enfrentan a problemas de ejecución.</w:t>
      </w:r>
    </w:p>
    <w:p w:rsidR="001C6219" w:rsidRDefault="001C6219" w:rsidP="001C6219">
      <w:pPr>
        <w:pStyle w:val="P68B1DB1-Normal1"/>
      </w:pPr>
      <w:r>
        <w:t>Pregunta 1 (incluidos los hechos e información pertinentes):</w:t>
      </w:r>
    </w:p>
    <w:p w:rsidR="001C6219" w:rsidRDefault="001C6219" w:rsidP="001C6219">
      <w:r>
        <w:t>Con el fin de lograr la simplificación prevista en el artículo 25 del Reglamento Interreg, solicitamos que se confirme que el máximo del 20 % para los costes de personal y otros costes generados por el gestor del FPP en el artículo 25, apartado 5, del Reglamento Interreg no solo constituye un límite máximo, sino también un caso contemplado en el artículo 53, apartado 3, letra e), del RDC, es decir, un tipo fijo o un «método específico» establecido por el presente Reglamento o los Reglamentos específicos de cada Fondo o sobre la base de estos.</w:t>
      </w:r>
    </w:p>
    <w:p w:rsidR="001C6219" w:rsidRDefault="001C6219" w:rsidP="001C6219">
      <w:pPr>
        <w:pStyle w:val="P68B1DB1-Normal1"/>
      </w:pPr>
      <w:r>
        <w:t>Pregunta 2 (incluidos los hechos e información pertinentes):</w:t>
      </w:r>
    </w:p>
    <w:p w:rsidR="001C6219" w:rsidRDefault="001C6219" w:rsidP="001C6219">
      <w:r>
        <w:t xml:space="preserve">Con el fin de aplicar la simplificación prevista por las diferentes formas de opciones de costes simplificados establecidas en los artículos 53 a 56 del RDC también a los pequeños </w:t>
      </w:r>
      <w:r>
        <w:lastRenderedPageBreak/>
        <w:t>proyectos ejecutados a menudo por beneficiarios finales que no estén familiarizados con las normas «normales» de la política de cohesión ni con una capacidad administrativa comparable a las de las operaciones regulares Interreg, solicitamos que se confirme que estas disposiciones también pueden aplicarse a la parte de la operación constituida por el gasto de la totalidad de los pequeños proyectos, es decir, el coste total subvencionable del FPP menos la parte cubierta por el personal y otros costes generados por el gestor del FPP.</w:t>
      </w:r>
    </w:p>
    <w:p w:rsidR="001C6219" w:rsidRDefault="001C6219" w:rsidP="001C6219">
      <w:pPr>
        <w:pStyle w:val="P68B1DB1-Normal1"/>
      </w:pPr>
      <w:r>
        <w:t>Pregunta 3 (incluidos los hechos e información pertinentes):</w:t>
      </w:r>
    </w:p>
    <w:p w:rsidR="001C6219" w:rsidRDefault="001C6219" w:rsidP="001C6219">
      <w:r>
        <w:t>En caso de que no se confirme la 2.a pregunta o de que su aplicación no sea adecuada para todos los tipos de FPP para abordar pequeños proyectos individuales, solicitamos que se confirme que la autoridad de gestión (AG) puede establecer opciones de costes simplificados específicas para cada programa de conformidad con el artículo 53, apartado 3, letra e), es decir, aplicando los tipos fijos, que se «establecen (...) sobre la base del presente Reglamento [= RDC] y de los Reglamentos específicos de cada Fondo, es decir, los mismos tipos y porcentajes, pero sobre la base de la parte de la operación constituida por el gasto de la totalidad de los pequeños proyectos.</w:t>
      </w:r>
    </w:p>
    <w:p w:rsidR="001C6219" w:rsidRDefault="001C6219" w:rsidP="001C6219"/>
    <w:p w:rsidR="001C6219" w:rsidRDefault="001C6219" w:rsidP="001C6219">
      <w:pPr>
        <w:pStyle w:val="P68B1DB1-Normal1"/>
      </w:pPr>
      <w:r>
        <w:t>Respuesta a la pregunta 1:</w:t>
      </w:r>
    </w:p>
    <w:p w:rsidR="001C6219" w:rsidRDefault="001C6219" w:rsidP="001C6219">
      <w:r>
        <w:t>El artículo 53, apartado 3, del RDC establece formas específicas con arreglo a las cuales deben establecerse los importes de las opciones de costes simplificados (OCS). En particular, el artículo 53, apartado 3, letra e), del RDC menciona los tipos fijos y los métodos específicos establecidos por el presente Reglamento o los Reglamentos específicos de cada Fondo o sobre la base de ellos.</w:t>
      </w:r>
    </w:p>
    <w:p w:rsidR="001C6219" w:rsidRDefault="001C6219" w:rsidP="001C6219">
      <w:r>
        <w:t xml:space="preserve">Cuando el RDC o los Reglamentos específicos de cada Fondo establecen un método a tanto alzado o un método específico para calcular las OCS, hacen una referencia específica al mismo, </w:t>
      </w:r>
      <w:r w:rsidR="002F3719">
        <w:t xml:space="preserve">ya que, </w:t>
      </w:r>
      <w:r>
        <w:t>las condiciones para su uso deben quedar claras desde el principio (véanse, por ejemplo, el artículo 54 del RDC, el artículo 55, apartado 1, del RDC, el artículo 56, apartado 1, del RDC para un tipo fijo o el artículo 55, apartado 2, del RDC para un método específico). El Reglamento Interreg contiene referencias específicas a los tipos fijos y a los métodos específicos establecidos para los costes a que se refieren los artículos 39 a 44.</w:t>
      </w:r>
    </w:p>
    <w:p w:rsidR="001C6219" w:rsidRDefault="001C6219" w:rsidP="001C6219">
      <w:r>
        <w:t>Por el contrario, el artículo 25, apartado 5, del Reglamento Interreg no lo hace. Por lo tanto, el porcentaje establecido en el artículo 25, apartado 5, del Reglamento Interreg (para las categorías de costes de los artículos 39 a 43 generados a nivel del beneficiario para la gestión del fondo para pequeños proyectos) constituye un límite máximo y no un tanto alzado (el límite máximo del 20 % puede cubrirse con costes reales).</w:t>
      </w:r>
    </w:p>
    <w:p w:rsidR="001C6219" w:rsidRDefault="001C6219" w:rsidP="001C6219">
      <w:pPr>
        <w:pStyle w:val="P68B1DB1-Normal1"/>
      </w:pPr>
      <w:r>
        <w:t xml:space="preserve">Respuesta a </w:t>
      </w:r>
      <w:r w:rsidR="00ED6BFD">
        <w:t>las</w:t>
      </w:r>
      <w:r w:rsidR="00ED6BFD" w:rsidRPr="00767CF5">
        <w:t xml:space="preserve"> preguntas</w:t>
      </w:r>
      <w:r>
        <w:t xml:space="preserve"> 2</w:t>
      </w:r>
      <w:r w:rsidRPr="00767CF5">
        <w:t>y</w:t>
      </w:r>
      <w:r>
        <w:t xml:space="preserve"> 3:</w:t>
      </w:r>
    </w:p>
    <w:p w:rsidR="001C6219" w:rsidRDefault="001C6219" w:rsidP="001C6219">
      <w:r>
        <w:t>El artículo 25, apartado 6, del Reglamento Interreg especifica el caso en que las OCS deben utilizarse en pequeños proyectos. Además, el último párrafo de este apartado hace referencia directa a la aplicación de una disposición del RDC. Al margen del artículo 25, apartado 6, último párrafo, del Reglamento Interreg, no hay ninguna referencia directa a la aplicación del RDC a los pequeños proyectos, que son ejecutados por los destinatarios finales de conformidad con el artículo 25, apartado 1, del Reglamento Interreg.</w:t>
      </w:r>
    </w:p>
    <w:p w:rsidR="001C6219" w:rsidRDefault="001C6219" w:rsidP="001C6219">
      <w:r>
        <w:lastRenderedPageBreak/>
        <w:t>El artículo 52 del RDC establece que los Estados miembros prestarán apoyo a los beneficiarios en forma de subvenciones, instrumentos financieros o premios o de una combinación entre estas formas. Las disposiciones de los artículos 53 a 56 del RDC no afectan a los destinatarios finales. Esto significa que no existe una aplicación directa de las disposiciones del RDC o del Reglamento Interreg (excepto cuando se menciona específicamente en) a pequeños proyectos.</w:t>
      </w:r>
    </w:p>
    <w:p w:rsidR="001C6219" w:rsidRDefault="001C6219" w:rsidP="001C6219">
      <w:r>
        <w:t>No obstante, es posible que el beneficiario del fondo para pequeños proyectos establezca una metodología para la aplicación de OCS a pequeños proyectos inspirándose en el RDC o en las normas Interreg sobre OCS. Al hacerlo, el beneficiario debe garantizar el respeto del artículo 25, apartado 3, letra e), del Reglamento Interreg.</w:t>
      </w:r>
    </w:p>
    <w:p w:rsidR="001C6219" w:rsidRDefault="001C6219" w:rsidP="001C6219">
      <w:r>
        <w:t>TIERNA _</w:t>
      </w:r>
    </w:p>
    <w:p w:rsidR="001C6219" w:rsidRDefault="00FC0FB1" w:rsidP="001C6219">
      <w:hyperlink w:anchor="scroll-bookmark-257" w:history="1">
        <w:r w:rsidR="001C6219">
          <w:rPr>
            <w:rStyle w:val="Hipervnculo"/>
          </w:rPr>
          <w:t>[1] dato</w:t>
        </w:r>
      </w:hyperlink>
      <w:r w:rsidR="001C6219">
        <w:t xml:space="preserve"> 26: «... </w:t>
      </w:r>
      <w:r w:rsidR="001C6219">
        <w:rPr>
          <w:i/>
        </w:rPr>
        <w:t xml:space="preserve">Hasta ahora han recibido apoyo a través de fondos para pequeños proyectos o instrumentos similares, aunque nunca han estado cubiertos por </w:t>
      </w:r>
      <w:r w:rsidR="001C6219">
        <w:rPr>
          <w:b/>
          <w:i/>
        </w:rPr>
        <w:t>disposiciones específicas</w:t>
      </w:r>
      <w:r w:rsidR="001C6219">
        <w:rPr>
          <w:i/>
        </w:rPr>
        <w:t>, por lo que es necesario aclarar las normas que rigen dichos fondos. ...»</w:t>
      </w:r>
    </w:p>
    <w:p w:rsidR="001C6219" w:rsidRDefault="00FC0FB1" w:rsidP="001C6219">
      <w:hyperlink w:anchor="scroll-bookmark-258" w:history="1">
        <w:r w:rsidR="001C6219">
          <w:rPr>
            <w:rStyle w:val="Hipervnculo"/>
          </w:rPr>
          <w:t>[2]</w:t>
        </w:r>
      </w:hyperlink>
      <w:r w:rsidR="001C6219">
        <w:t xml:space="preserve"> definida legalmente en el artículo 2, punto 10, del RDC.</w:t>
      </w:r>
    </w:p>
    <w:p w:rsidR="001C6219" w:rsidRDefault="00FC0FB1" w:rsidP="001C6219">
      <w:hyperlink w:anchor="scroll-bookmark-259" w:history="1">
        <w:r w:rsidR="001C6219">
          <w:rPr>
            <w:rStyle w:val="Hipervnculo"/>
          </w:rPr>
          <w:t>[3]</w:t>
        </w:r>
      </w:hyperlink>
      <w:r w:rsidR="001C6219">
        <w:t xml:space="preserve"> definida legalmente en el artículo 2, punto 18, del RDC.</w:t>
      </w:r>
    </w:p>
    <w:p w:rsidR="001C6219" w:rsidRDefault="00FC0FB1" w:rsidP="001C6219">
      <w:hyperlink w:anchor="scroll-bookmark-260" w:history="1">
        <w:r w:rsidR="001C6219">
          <w:rPr>
            <w:rStyle w:val="Hipervnculo"/>
          </w:rPr>
          <w:t>[4]</w:t>
        </w:r>
      </w:hyperlink>
      <w:r w:rsidR="001C6219">
        <w:t xml:space="preserve"> por </w:t>
      </w:r>
      <w:r w:rsidR="00ED6BFD">
        <w:t>ejemplo,</w:t>
      </w:r>
      <w:r w:rsidR="00ED6BFD" w:rsidRPr="00767CF5">
        <w:t xml:space="preserve"> el</w:t>
      </w:r>
      <w:r w:rsidR="001C6219" w:rsidRPr="00767CF5">
        <w:t xml:space="preserve"> artículo 25, apartado 6,</w:t>
      </w:r>
      <w:r w:rsidR="001C6219">
        <w:t xml:space="preserve"> párrafo segundo, de la CTE establece una excepción al artículo 53, apartado 3, letra b), del RDC.</w:t>
      </w:r>
    </w:p>
    <w:p w:rsidR="001C6219" w:rsidRDefault="001C6219" w:rsidP="001C6219"/>
    <w:p w:rsidR="001C6219" w:rsidRDefault="001C6219" w:rsidP="001C6219"/>
    <w:p w:rsidR="001C6219" w:rsidRDefault="001C6219" w:rsidP="001C6219">
      <w:pPr>
        <w:pStyle w:val="Ttulo1"/>
      </w:pPr>
      <w:bookmarkStart w:id="241" w:name="scroll-bookmark-261"/>
      <w:bookmarkStart w:id="242" w:name="scroll-bookmark-262"/>
      <w:bookmarkEnd w:id="241"/>
      <w:r>
        <w:t>QA00136 — Preguntas relacionadas con la lista de operaciones y transmisión de datos</w:t>
      </w:r>
      <w:bookmarkEnd w:id="242"/>
    </w:p>
    <w:p w:rsidR="001C6219" w:rsidRDefault="001C6219" w:rsidP="001C6219">
      <w:r>
        <w:rPr>
          <w:noProof/>
          <w:lang w:val="es-ES"/>
        </w:rPr>
        <w:drawing>
          <wp:inline distT="0" distB="0" distL="0" distR="0" wp14:anchorId="19F83106" wp14:editId="617D61C9">
            <wp:extent cx="152435" cy="152435"/>
            <wp:effectExtent l="0" t="0" r="0" b="0"/>
            <wp:docPr id="100487" name="Imagen 1004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 49 (3), art. 42 (2) (a) y (b), art. 42 (5) del RDC</w:t>
      </w:r>
    </w:p>
    <w:p w:rsidR="001C6219" w:rsidRDefault="001C6219" w:rsidP="001C6219">
      <w:r>
        <w:rPr>
          <w:noProof/>
          <w:lang w:val="es-ES"/>
        </w:rPr>
        <w:drawing>
          <wp:inline distT="0" distB="0" distL="0" distR="0" wp14:anchorId="221D351D" wp14:editId="558B4BE3">
            <wp:extent cx="152435" cy="152435"/>
            <wp:effectExtent l="0" t="0" r="0" b="0"/>
            <wp:docPr id="100489" name="Imagen 1004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pStyle w:val="P68B1DB1-Normal2"/>
      </w:pPr>
      <w:r>
        <w:t>Lista de operaciones — RDC Art. 49 (3)</w:t>
      </w:r>
    </w:p>
    <w:p w:rsidR="001C6219" w:rsidRDefault="001C6219" w:rsidP="001C6219">
      <w:pPr>
        <w:numPr>
          <w:ilvl w:val="0"/>
          <w:numId w:val="110"/>
        </w:numPr>
      </w:pPr>
      <w:r>
        <w:t>¿Podemos añadir cualquier otra información que consideramos útil además de la enumerada en el Reglamento?</w:t>
      </w:r>
    </w:p>
    <w:p w:rsidR="001C6219" w:rsidRDefault="001C6219" w:rsidP="001C6219">
      <w:pPr>
        <w:numPr>
          <w:ilvl w:val="0"/>
          <w:numId w:val="110"/>
        </w:numPr>
      </w:pPr>
      <w:r>
        <w:t xml:space="preserve">¿Es probable que la subsección h) «Costes totales de la operación» se refiera a la financiación pública + </w:t>
      </w:r>
      <w:r>
        <w:rPr>
          <w:u w:val="single"/>
        </w:rPr>
        <w:t>privada</w:t>
      </w:r>
      <w:r>
        <w:t xml:space="preserve">? En el presente período, solo hemos notificado el Estado de la UE + y la financiación pública total, </w:t>
      </w:r>
      <w:r w:rsidR="002F3719">
        <w:t xml:space="preserve">ya que, </w:t>
      </w:r>
      <w:r>
        <w:t>el porcentaje de cofinanciación de la UE se calcula a partir de nuestra financiación pública.</w:t>
      </w:r>
    </w:p>
    <w:p w:rsidR="001C6219" w:rsidRDefault="001C6219" w:rsidP="001C6219">
      <w:pPr>
        <w:numPr>
          <w:ilvl w:val="0"/>
          <w:numId w:val="110"/>
        </w:numPr>
      </w:pPr>
      <w:r>
        <w:lastRenderedPageBreak/>
        <w:t>Si notificamos los costes totales en el nuevo período, incluida la financiación privada, ¿podemos seguir comunicando como información adicional la UE + el Estado y la financiación pública?</w:t>
      </w:r>
    </w:p>
    <w:p w:rsidR="001C6219" w:rsidRDefault="001C6219" w:rsidP="001C6219">
      <w:pPr>
        <w:numPr>
          <w:ilvl w:val="0"/>
          <w:numId w:val="110"/>
        </w:numPr>
      </w:pPr>
      <w:r>
        <w:t>Subsección k) Porcentaje de cofinanciación de la Unión: En Finlandia, la financiación de la UE y del Estado se encuentra en la misma línea presupuestaria, es decir, no se tratan por separado en el contexto de la financiación de proyectos. En función del importe y la distribución de la contraparte nacional, el porcentaje real de cofinanciación de la UE también puede variar de un proyecto a otro. Además, no hay menos de cinco ratios de cofinanciación en el nuevo programa (incluido el FTJ). En estas circunstancias, ¿no sería la mejor opción (si no la única) indicar un porcentaje categórico de cofinanciación de la UE calculado sobre la base de la financiación pública, de acuerdo con la categoría de región, objetivo específico o fondo pertinente?</w:t>
      </w:r>
    </w:p>
    <w:p w:rsidR="001C6219" w:rsidRDefault="001C6219" w:rsidP="001C6219">
      <w:pPr>
        <w:numPr>
          <w:ilvl w:val="0"/>
          <w:numId w:val="110"/>
        </w:numPr>
      </w:pPr>
      <w:r>
        <w:t>En caso de respuesta afirmativa a la pregunta 1): ¿podemos colocar columnas de datos «adicionales» en los lugares más naturales (incluso entre las letras a) a n) del Reglamento general) o solo deberían figurar en las últimas columnas de la estructura del cuadro?</w:t>
      </w:r>
    </w:p>
    <w:p w:rsidR="001C6219" w:rsidRDefault="001C6219" w:rsidP="001C6219">
      <w:pPr>
        <w:pStyle w:val="P68B1DB1-Normal2"/>
      </w:pPr>
      <w:r>
        <w:t>Transmisión de datos — RDC Art. 42 (2) (a) y (b) y (5)</w:t>
      </w:r>
    </w:p>
    <w:p w:rsidR="001C6219" w:rsidRDefault="001C6219" w:rsidP="001C6219">
      <w:pPr>
        <w:numPr>
          <w:ilvl w:val="0"/>
          <w:numId w:val="111"/>
        </w:numPr>
      </w:pPr>
      <w:r>
        <w:t>¿Significa «para operaciones seleccionadas» que los datos de los indicadores deben facilitarse proyecto por proyecto o solo de forma acumulativa a nivel de objetivos específicos y categorías de regiones?</w:t>
      </w:r>
    </w:p>
    <w:p w:rsidR="001C6219" w:rsidRDefault="001C6219" w:rsidP="001C6219">
      <w:pPr>
        <w:numPr>
          <w:ilvl w:val="0"/>
          <w:numId w:val="111"/>
        </w:numPr>
      </w:pPr>
      <w:r>
        <w:t>El requisito mínimo obligatorio del punto 5 parece ser que debe publicarse en el sitio web un enlace a la información facilitada a la Comisión? Teniendo en cuenta el número y la distribución de los indicadores en las tres categorías de regiones, hay una cantidad bastante grande de datos y es difícil para el público en general dirigirse = &gt; ¿Es admisible afinar los datos en un formato más ilustrativo o debe estar exactamente en el mismo formato que se presenta a la Comisión?</w:t>
      </w:r>
    </w:p>
    <w:p w:rsidR="001C6219" w:rsidRDefault="001C6219" w:rsidP="001C6219">
      <w:pPr>
        <w:pStyle w:val="P68B1DB1-Normal1"/>
      </w:pPr>
      <w:r>
        <w:t>Respuesta.</w:t>
      </w:r>
    </w:p>
    <w:p w:rsidR="001C6219" w:rsidRDefault="001C6219" w:rsidP="001C6219">
      <w:pPr>
        <w:numPr>
          <w:ilvl w:val="0"/>
          <w:numId w:val="112"/>
        </w:numPr>
      </w:pPr>
      <w:r>
        <w:t>El artículo 49, apartado 3, del RDC establece un conjunto mínimo de datos necesarios. Queda a discreción de la autoridad de gestión añadir en la lista todos los datos que considere útiles.</w:t>
      </w:r>
    </w:p>
    <w:p w:rsidR="001C6219" w:rsidRDefault="001C6219" w:rsidP="001C6219">
      <w:pPr>
        <w:numPr>
          <w:ilvl w:val="0"/>
          <w:numId w:val="112"/>
        </w:numPr>
      </w:pPr>
      <w:r>
        <w:t>El «coste total de una operación» a que se refiere el artículo 49, apartado 3, letra h), del RDC debe entenderse como el importe del coste total subvencionable de la operación aprobado en el documento en el que se establecen las condiciones para la ayuda (mencionado en el anexo XVII del RDC). Dependiendo de una operación, puede incluir financiación privada. En el caso de los instrumentos financieros, el documento en el que se establecen las condiciones para la ayuda es el acuerdo de financiación que debe incluir el importe de la contribución del programa (tal como se define en el artículo 2, apartado 19, del RDC) comprometido con el instrumento financiero, que incluye la cofinanciación nacional pública y privada, en su caso, de un instrumento financiero. La autoridad de gestión podrá informar al público sobre los recursos privados ajenos a la operación del instrumento financiero recaudados además de la contribución del programa si lo considera necesario.</w:t>
      </w:r>
    </w:p>
    <w:p w:rsidR="001C6219" w:rsidRDefault="001C6219" w:rsidP="001C6219">
      <w:pPr>
        <w:numPr>
          <w:ilvl w:val="0"/>
          <w:numId w:val="112"/>
        </w:numPr>
      </w:pPr>
      <w:r>
        <w:lastRenderedPageBreak/>
        <w:t>Sí, véase la respuesta n.º 1.</w:t>
      </w:r>
    </w:p>
    <w:p w:rsidR="001C6219" w:rsidRDefault="001C6219" w:rsidP="001C6219">
      <w:pPr>
        <w:numPr>
          <w:ilvl w:val="0"/>
          <w:numId w:val="112"/>
        </w:numPr>
      </w:pPr>
      <w:r>
        <w:t>El artículo 49, apartado 3, del RDC exige que la autoridad de gestión facilite información a nivel de una operación.</w:t>
      </w:r>
    </w:p>
    <w:p w:rsidR="001C6219" w:rsidRDefault="001C6219" w:rsidP="001C6219">
      <w:pPr>
        <w:numPr>
          <w:ilvl w:val="0"/>
          <w:numId w:val="112"/>
        </w:numPr>
      </w:pPr>
      <w:r>
        <w:t>La autoridad de gestión tiene la facultad discrecional de organizar los datos de la manera que considere más útil.</w:t>
      </w:r>
    </w:p>
    <w:p w:rsidR="001C6219" w:rsidRDefault="001C6219" w:rsidP="001C6219">
      <w:pPr>
        <w:numPr>
          <w:ilvl w:val="0"/>
          <w:numId w:val="112"/>
        </w:numPr>
      </w:pPr>
      <w:r>
        <w:t>Los datos presentados sobre la base del artículo 42, apartado 2, letra b), del RDC (de acuerdo con las plantillas del anexo VII del RDC) exigen que el Estado miembro o la autoridad de gestión faciliten datos acumulativos a nivel de objetivo específico (o, en el caso de la asistencia técnica con arreglo al artículo 36, apartado 4, del RDC, a nivel de prioridad). Los datos comunicados a la Comisión deben basarse en datos almacenados electrónicamente para cada operación, de conformidad con el anexo XVII del RDC.</w:t>
      </w:r>
    </w:p>
    <w:p w:rsidR="001C6219" w:rsidRDefault="001C6219" w:rsidP="001C6219">
      <w:pPr>
        <w:numPr>
          <w:ilvl w:val="0"/>
          <w:numId w:val="112"/>
        </w:numPr>
      </w:pPr>
      <w:r>
        <w:t>El artículo 42, apartado 5, del RDC exige que el Estado miembro o la autoridad de gestión publiquen o faciliten un enlace a todos los datos transmitidos a la Comisión. Se permite visualizar los datos en un formato ilustrativo siempre que todos los datos sean accesibles.</w:t>
      </w:r>
    </w:p>
    <w:p w:rsidR="001C6219" w:rsidRDefault="001C6219" w:rsidP="001C6219"/>
    <w:p w:rsidR="001C6219" w:rsidRDefault="001C6219" w:rsidP="001C6219"/>
    <w:p w:rsidR="001C6219" w:rsidRDefault="001C6219" w:rsidP="001C6219">
      <w:pPr>
        <w:pStyle w:val="Ttulo1"/>
      </w:pPr>
      <w:bookmarkStart w:id="243" w:name="scroll-bookmark-263"/>
      <w:bookmarkStart w:id="244" w:name="scroll-bookmark-264"/>
      <w:bookmarkEnd w:id="243"/>
      <w:r>
        <w:t>QA00137 — Condiciones para la concesión de ayudas regionales a grandes empresas</w:t>
      </w:r>
      <w:bookmarkEnd w:id="244"/>
    </w:p>
    <w:p w:rsidR="001C6219" w:rsidRDefault="001C6219" w:rsidP="001C6219">
      <w:r>
        <w:rPr>
          <w:noProof/>
          <w:lang w:val="es-ES"/>
        </w:rPr>
        <w:drawing>
          <wp:inline distT="0" distB="0" distL="0" distR="0" wp14:anchorId="5BEB1FB3" wp14:editId="662C06DE">
            <wp:extent cx="152435" cy="152435"/>
            <wp:effectExtent l="0" t="0" r="0" b="0"/>
            <wp:docPr id="100491" name="Imagen 1004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112 del RDC</w:t>
      </w:r>
    </w:p>
    <w:p w:rsidR="001C6219" w:rsidRDefault="001C6219" w:rsidP="001C6219">
      <w:r>
        <w:t>Artículo 8 (2), párrafo segundo, y artículo 11, apartado 2, letra h), del Reglamento del FTJ</w:t>
      </w:r>
    </w:p>
    <w:p w:rsidR="001C6219" w:rsidRDefault="001C6219" w:rsidP="001C6219">
      <w:r>
        <w:t>Punto 14 de las Directrices sobre las ayudas estatales de finalidad regional (2021/C 153/01).</w:t>
      </w:r>
    </w:p>
    <w:p w:rsidR="001C6219" w:rsidRDefault="001C6219" w:rsidP="001C6219">
      <w:r>
        <w:rPr>
          <w:noProof/>
          <w:lang w:val="es-ES"/>
        </w:rPr>
        <w:drawing>
          <wp:inline distT="0" distB="0" distL="0" distR="0" wp14:anchorId="4210619E" wp14:editId="097DC49E">
            <wp:extent cx="152435" cy="152435"/>
            <wp:effectExtent l="0" t="0" r="0" b="0"/>
            <wp:docPr id="100493" name="Imagen 1004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pPr>
        <w:pStyle w:val="P68B1DB1-Normal1"/>
      </w:pPr>
      <w:r>
        <w:t>¿Qué significa la tercera condición del punto 14 de las Directrices sobre las ayudas estatales de finalidad regional (2021/C 153/01) para la concesión de ayudas regionales a grandes empresas para la diversificación de la producción o para un cambio fundamental en el proceso global de producción con el FTJ en determinadas «zonas c» («la ayuda estatal para la inversión está cubierta por el FTJ hasta el máximo permitido»)?</w:t>
      </w:r>
    </w:p>
    <w:p w:rsidR="001C6219" w:rsidRDefault="001C6219" w:rsidP="001C6219">
      <w:r>
        <w:t xml:space="preserve">De conformidad con el apartado 14 de las Directrices sobre las ayudas estatales de finalidad regional (DAR), las ayudas regionales a grandes empresas en zonas «c» para diversificar la producción de un establecimiento en productos no producidos previamente en el establecimiento o para un cambio fundamental en el proceso global </w:t>
      </w:r>
      <w:r>
        <w:lastRenderedPageBreak/>
        <w:t>de producción del producto o productos afectados por la inversión en el establecimiento pueden considerarse compatibles con el mercado interior si:</w:t>
      </w:r>
    </w:p>
    <w:p w:rsidR="001C6219" w:rsidRDefault="001C6219" w:rsidP="001C6219">
      <w:pPr>
        <w:numPr>
          <w:ilvl w:val="0"/>
          <w:numId w:val="113"/>
        </w:numPr>
      </w:pPr>
      <w:r>
        <w:t>cubre una inversión inicial en un territorio identificado para recibir ayuda cofinanciada del FTJ en una zona «c» con un PIB per cápita inferior al 100 % de la media de la EU-27;</w:t>
      </w:r>
    </w:p>
    <w:p w:rsidR="001C6219" w:rsidRDefault="001C6219" w:rsidP="001C6219">
      <w:pPr>
        <w:numPr>
          <w:ilvl w:val="0"/>
          <w:numId w:val="113"/>
        </w:numPr>
      </w:pPr>
      <w:r>
        <w:t>la inversión y el beneficiario deben estar designados en el plan territorial de transición justa de un Estado miembro aprobado por la Comisión, y</w:t>
      </w:r>
    </w:p>
    <w:p w:rsidR="001C6219" w:rsidRDefault="001C6219" w:rsidP="001C6219">
      <w:pPr>
        <w:numPr>
          <w:ilvl w:val="0"/>
          <w:numId w:val="113"/>
        </w:numPr>
      </w:pPr>
      <w:r>
        <w:t>el FTJ cubre la ayuda estatal para la inversión con arreglo al máximo permitido.</w:t>
      </w:r>
    </w:p>
    <w:p w:rsidR="001C6219" w:rsidRDefault="001C6219" w:rsidP="001C6219">
      <w:r>
        <w:t>¿Qué significa la tercera condición, es decir, «la ayuda estatal para la inversión está cubierta por el FTJ hasta el máximo permitido»?</w:t>
      </w:r>
    </w:p>
    <w:p w:rsidR="001C6219" w:rsidRDefault="001C6219" w:rsidP="001C6219">
      <w:r>
        <w:t>¿Significa lo siguiente:</w:t>
      </w:r>
    </w:p>
    <w:p w:rsidR="001C6219" w:rsidRDefault="001C6219" w:rsidP="001C6219">
      <w:pPr>
        <w:numPr>
          <w:ilvl w:val="0"/>
          <w:numId w:val="114"/>
        </w:numPr>
      </w:pPr>
      <w:r>
        <w:t>el porcentaje de cofinanciación en la prioridad debe corresponder al porcentaje máximo permitido por el artículo 112 del Reglamento (UE) 2021/1060 (2021-2027 RDC)?</w:t>
      </w:r>
    </w:p>
    <w:p w:rsidR="001C6219" w:rsidRDefault="001C6219" w:rsidP="001C6219">
      <w:pPr>
        <w:numPr>
          <w:ilvl w:val="0"/>
          <w:numId w:val="114"/>
        </w:numPr>
      </w:pPr>
      <w:r>
        <w:t xml:space="preserve">el porcentaje de cofinanciación de la inversión individual es «al máximo permitido» (lo que significaría que el 100 % de la ayuda pública tendría que estar cubierta por el FTJ, </w:t>
      </w:r>
      <w:r w:rsidR="002F3719">
        <w:t xml:space="preserve">ya que, </w:t>
      </w:r>
      <w:r>
        <w:t>el porcentaje de cofinanciación a nivel de proyecto puede desviarse del porcentaje de cofinanciación de la prioridad)?</w:t>
      </w:r>
    </w:p>
    <w:p w:rsidR="001C6219" w:rsidRDefault="001C6219" w:rsidP="001C6219">
      <w:pPr>
        <w:numPr>
          <w:ilvl w:val="0"/>
          <w:numId w:val="114"/>
        </w:numPr>
      </w:pPr>
      <w:r>
        <w:t>¿algo más?</w:t>
      </w:r>
    </w:p>
    <w:p w:rsidR="001C6219" w:rsidRDefault="001C6219" w:rsidP="001C6219">
      <w:r>
        <w:t>Hay un Estado miembro que aplica el porcentaje de cofinanciación para la prioridad del FTJ en cuestión a la contribución total, incluida la contribución pública y privada [artículo 112, apartado 2, letra a), del RDC]. En su primer programa presentado a la Comisión, este Estado miembro ha propuesto un porcentaje de cofinanciación inferior al máximo permitido por el RDC y cubrirá la cofinanciación nacional con fondos privados. Si la respuesta a esta pregunta Q A de los Fondos EIE fuera la opción 1 mencionada anteriormente, este Estado miembro solo podría utilizar la posibilidad prevista en el punto 14 de las Directrices sobre las ayudas estatales de finalidad regional si aumentara el porcentaje de cofinanciación de la prioridad del FTJ en cuestión hasta el máximo permitido por el artículo 112 del RDC. Esto daría lugar a un aumento de los recursos del FTJ en esta prioridad y a una disminución respectiva de los fondos nacionales y, por tanto, también privados.</w:t>
      </w:r>
    </w:p>
    <w:p w:rsidR="001C6219" w:rsidRDefault="001C6219" w:rsidP="001C6219"/>
    <w:p w:rsidR="001C6219" w:rsidRDefault="001C6219" w:rsidP="001C6219">
      <w:pPr>
        <w:pStyle w:val="P68B1DB1-Normal1"/>
      </w:pPr>
      <w:r>
        <w:t>Respuesta.</w:t>
      </w:r>
    </w:p>
    <w:p w:rsidR="001C6219" w:rsidRDefault="001C6219" w:rsidP="001C6219">
      <w:r>
        <w:t>En los territorios más afectados por la transición hacia la neutralidad climática, la Comisión ha considerado que las ventajas estructurales de que disponen las grandes empresas pueden ser insuficientes para inversiones que garanticen una transición socioeconómica equilibrada y ofrezcan suficientes oportunidades de empleo para compensar los puestos de trabajo perdidos. Por esta razón específica, ha diseñado normas de excepción específicas para evaluar las ayudas regionales a grandes empresas, concedidas para inversiones iniciales en zonas «c», distintas de las destinadas a la creación de nuevas actividades, a saber:</w:t>
      </w:r>
    </w:p>
    <w:p w:rsidR="001C6219" w:rsidRDefault="001C6219" w:rsidP="001C6219">
      <w:pPr>
        <w:numPr>
          <w:ilvl w:val="0"/>
          <w:numId w:val="115"/>
        </w:numPr>
      </w:pPr>
      <w:r>
        <w:lastRenderedPageBreak/>
        <w:t>la diversificación de la producción de un establecimiento en productos que anteriormente no se producían en el establecimiento, o</w:t>
      </w:r>
    </w:p>
    <w:p w:rsidR="001C6219" w:rsidRDefault="001C6219" w:rsidP="001C6219">
      <w:pPr>
        <w:numPr>
          <w:ilvl w:val="0"/>
          <w:numId w:val="115"/>
        </w:numPr>
      </w:pPr>
      <w:r>
        <w:t>un cambio fundamental en el proceso global de producción del producto o productos afectados por la inversión en el establecimiento.</w:t>
      </w:r>
    </w:p>
    <w:p w:rsidR="001C6219" w:rsidRDefault="001C6219" w:rsidP="001C6219">
      <w:r>
        <w:t>La aprobación de dichas ayudas está sujeta a los criterios generales de compatibilidad establecidos en las DAR y a tres condiciones específicas que se detallan en el apartado 14 de las DAR y a continuación.</w:t>
      </w:r>
    </w:p>
    <w:p w:rsidR="001C6219" w:rsidRDefault="001C6219" w:rsidP="001C6219">
      <w:pPr>
        <w:numPr>
          <w:ilvl w:val="0"/>
          <w:numId w:val="116"/>
        </w:numPr>
      </w:pPr>
      <w:r>
        <w:t>La ayuda se refiere a una inversión inicial en un territorio identificado para recibir ayuda cofinanciada del FTJ en una zona «c» con un PIB per cápita inferior al 100 % de la media de la EU-27;</w:t>
      </w:r>
    </w:p>
    <w:p w:rsidR="001C6219" w:rsidRDefault="001C6219" w:rsidP="001C6219">
      <w:pPr>
        <w:numPr>
          <w:ilvl w:val="0"/>
          <w:numId w:val="117"/>
        </w:numPr>
      </w:pPr>
      <w:r>
        <w:t>La inversión y el beneficiario deben estar designados en el plan territorial de transición justa de un Estado miembro aprobado por la Comisión, y</w:t>
      </w:r>
    </w:p>
    <w:p w:rsidR="001C6219" w:rsidRDefault="001C6219" w:rsidP="001C6219">
      <w:pPr>
        <w:numPr>
          <w:ilvl w:val="0"/>
          <w:numId w:val="118"/>
        </w:numPr>
      </w:pPr>
      <w:r>
        <w:t>El FTJ cubre la ayuda estatal para la inversión con arreglo al máximo permitido.</w:t>
      </w:r>
    </w:p>
    <w:p w:rsidR="001C6219" w:rsidRDefault="001C6219" w:rsidP="001C6219">
      <w:r>
        <w:t>Desde el punto de vista del procedimiento, tras la aprobación del plan territorial de transición justa pertinente por parte de la Comisión como parte del programa correspondiente y antes de su ejecución, los Estados miembros deben notificar a la Comisión cualquier ayuda concedida de conformidad con estas disposiciones.</w:t>
      </w:r>
    </w:p>
    <w:p w:rsidR="001C6219" w:rsidRDefault="001C6219" w:rsidP="001C6219">
      <w:r>
        <w:t xml:space="preserve">La Comisión ha concebido las tres condiciones específicas como salvaguardias contra distorsiones innecesarias de la competencia, que serían contrarias al interés común. Más concretamente, la tercera condición, establecida en el apartado 14 de las DAR, exige que </w:t>
      </w:r>
      <w:r>
        <w:rPr>
          <w:i/>
        </w:rPr>
        <w:t>«la ayuda estatal para la inversión esté cubierta por el FTJ hasta el máximo permitido».</w:t>
      </w:r>
      <w:r>
        <w:t xml:space="preserve"> El objetivo de esta condición es limitar el riesgo de crecimiento exponencial de la financiación pública puesta a disposición de las grandes empresas en las zonas «c» a través de la cofinanciación nacional. De hecho, exige que la ayuda a nivel de proyecto/beneficiario incluya en la mayor medida posible recursos del FTJ.</w:t>
      </w:r>
    </w:p>
    <w:p w:rsidR="001C6219" w:rsidRDefault="001C6219" w:rsidP="001C6219">
      <w:r>
        <w:t>La aplicación de esta condición requiere una articulación entre los dos conjuntos de normas, que son pertinentes para las especificidades de esta cuestión:</w:t>
      </w:r>
    </w:p>
    <w:p w:rsidR="001C6219" w:rsidRDefault="001C6219" w:rsidP="001C6219">
      <w:r>
        <w:t>Con arreglo a las normas sobre ayudas estatales:</w:t>
      </w:r>
    </w:p>
    <w:p w:rsidR="001C6219" w:rsidRDefault="001C6219" w:rsidP="001C6219">
      <w:pPr>
        <w:numPr>
          <w:ilvl w:val="0"/>
          <w:numId w:val="119"/>
        </w:numPr>
      </w:pPr>
      <w:r>
        <w:t>La ayuda estatal comprende toda la financiación pública, recogida en el concepto de recursos estatales del artículo 107, apartado 1, del TFUE, en este caso el FTJ y la cofinanciación pública nacional.</w:t>
      </w:r>
    </w:p>
    <w:p w:rsidR="001C6219" w:rsidRDefault="001C6219" w:rsidP="001C6219">
      <w:pPr>
        <w:numPr>
          <w:ilvl w:val="0"/>
          <w:numId w:val="120"/>
        </w:numPr>
      </w:pPr>
      <w:r>
        <w:t>La intensidad máxima de la ayuda se evalúa a nivel de proyecto/beneficiario.</w:t>
      </w:r>
    </w:p>
    <w:p w:rsidR="001C6219" w:rsidRDefault="001C6219" w:rsidP="001C6219">
      <w:r>
        <w:t>Con arreglo a las normas de la política de cohesión:</w:t>
      </w:r>
    </w:p>
    <w:p w:rsidR="001C6219" w:rsidRDefault="001C6219" w:rsidP="001C6219">
      <w:pPr>
        <w:numPr>
          <w:ilvl w:val="0"/>
          <w:numId w:val="121"/>
        </w:numPr>
      </w:pPr>
      <w:r>
        <w:t>El nivel máximo del porcentaje de cofinanciación para las regiones afectadas por la excepción en virtud de las normas sobre ayudas estatales, es decir, las zonas de transición, está limitado por el límite máximo establecido en el artículo 112, apartado 3, del Reglamento 2021/1060, incluidas posibles excepciones, por ejemplo, en virtud del artículo 112, apartado 5, del Reglamento 2021/1060.</w:t>
      </w:r>
    </w:p>
    <w:p w:rsidR="001C6219" w:rsidRDefault="001C6219" w:rsidP="001C6219">
      <w:pPr>
        <w:numPr>
          <w:ilvl w:val="0"/>
          <w:numId w:val="122"/>
        </w:numPr>
      </w:pPr>
      <w:r>
        <w:t>Los porcentajes de cofinanciación se fijan para cada prioridad del programa y se aprueban mediante la decisión de la Comisión por la que se aprueba un programa (artículo 112, apartado 1, del RDC).</w:t>
      </w:r>
    </w:p>
    <w:p w:rsidR="001C6219" w:rsidRDefault="001C6219" w:rsidP="001C6219">
      <w:pPr>
        <w:numPr>
          <w:ilvl w:val="0"/>
          <w:numId w:val="123"/>
        </w:numPr>
      </w:pPr>
      <w:r>
        <w:lastRenderedPageBreak/>
        <w:t>Los porcentajes de cofinanciación se aplican a cada prioridad (artículo 112, apartado 1, del RDC). Esto significa que, dentro de una prioridad, el porcentaje de cofinanciación de proyectos/operaciones específicos puede ser diferente del de la prioridad y también puede variar de una operación a otra.</w:t>
      </w:r>
    </w:p>
    <w:p w:rsidR="001C6219" w:rsidRDefault="001C6219" w:rsidP="001C6219">
      <w:pPr>
        <w:numPr>
          <w:ilvl w:val="0"/>
          <w:numId w:val="124"/>
        </w:numPr>
      </w:pPr>
      <w:r>
        <w:t>el porcentaje de cofinanciación para cada prioridad se aplica a:</w:t>
      </w:r>
    </w:p>
    <w:p w:rsidR="001C6219" w:rsidRDefault="001C6219" w:rsidP="001C6219">
      <w:pPr>
        <w:numPr>
          <w:ilvl w:val="0"/>
          <w:numId w:val="125"/>
        </w:numPr>
      </w:pPr>
    </w:p>
    <w:p w:rsidR="001C6219" w:rsidRDefault="001C6219" w:rsidP="001C6219">
      <w:pPr>
        <w:numPr>
          <w:ilvl w:val="1"/>
          <w:numId w:val="126"/>
        </w:numPr>
      </w:pPr>
      <w:r>
        <w:t>la contribución total, incluida la contribución pública y privada; o</w:t>
      </w:r>
    </w:p>
    <w:p w:rsidR="001C6219" w:rsidRDefault="001C6219" w:rsidP="001C6219">
      <w:pPr>
        <w:numPr>
          <w:ilvl w:val="1"/>
          <w:numId w:val="126"/>
        </w:numPr>
      </w:pPr>
      <w:r>
        <w:t>la contribución pública.</w:t>
      </w:r>
    </w:p>
    <w:p w:rsidR="001C6219" w:rsidRDefault="001C6219" w:rsidP="001C6219"/>
    <w:p w:rsidR="001C6219" w:rsidRDefault="001C6219" w:rsidP="001C6219">
      <w:r>
        <w:t>En este sentido:</w:t>
      </w:r>
    </w:p>
    <w:p w:rsidR="001C6219" w:rsidRDefault="001C6219" w:rsidP="001C6219">
      <w:r>
        <w:t>Los porcentajes máximos de cofinanciación para los ejes prioritarios en el marco de la política de cohesión se establecen en el artículo 112, apartado 3, y siguientes del Reglamento (CE) n.º 2021/1060. Solo se trata de porcentajes máximos, lo que significa que los Estados miembros pueden incluir porcentajes más bajos en sus programas. Además, cabe señalar que, en el marco de la política de cohesión, no existe base jurídica para imponer un determinado porcentaje de cofinanciación a nivel de operaciones individuales.</w:t>
      </w:r>
    </w:p>
    <w:p w:rsidR="001C6219" w:rsidRDefault="001C6219" w:rsidP="001C6219">
      <w:r>
        <w:t>Dado que la contribución de la Unión se calculará aplicando el porcentaje de cofinanciación de cada prioridad al gasto total subvencionable o a la contribución pública, según lo establecido en el plan de financiación del programa, este se considera el punto de referencia para la ayuda del FTJ aplicable a los proyectos cofinanciados en el marco de la prioridad a efectos del apartado 14 de las DAR.</w:t>
      </w:r>
    </w:p>
    <w:p w:rsidR="001C6219" w:rsidRDefault="001C6219" w:rsidP="001C6219">
      <w:r>
        <w:t xml:space="preserve">Por lo tanto, la tercera condición establecida en el apartado 14 de las DAR, que exige que </w:t>
      </w:r>
      <w:r>
        <w:rPr>
          <w:i/>
        </w:rPr>
        <w:t>«la ayuda estatal para la inversión esté cubierta por el FTJ hasta el máximo permitido»</w:t>
      </w:r>
      <w:r>
        <w:t xml:space="preserve"> debe interpretarse en el sentido de que la ayuda del FTJ a un proyecto asciende al porcentaje máximo de cofinanciación establecido en el programa correspondiente, para la prioridad correspondiente.</w:t>
      </w:r>
    </w:p>
    <w:p w:rsidR="001C6219" w:rsidRDefault="001C6219" w:rsidP="001C6219">
      <w:r>
        <w:t>Cabe señalar que la tercera condición establecida en el apartado 14 de las DAR no excluye que el FTJ cubra la totalidad de la ayuda estatal.</w:t>
      </w:r>
    </w:p>
    <w:p w:rsidR="001C6219" w:rsidRDefault="001C6219" w:rsidP="001C6219">
      <w:r>
        <w:t>Esta distribución de las fuentes nacionales de financiación pública y del FTJ no afecta a las intensidades máximas de ayuda para las grandes empresas en estas zonas «c». Estos últimos se fijan en los mapas regionales nacionales de conformidad con la sección 7.4.2. Intensidades máximas de ayuda en las zonas «c», apartado 182 (4) de las DAR) y no pueden superar el 15 % de los costes subvencionables.</w:t>
      </w:r>
    </w:p>
    <w:p w:rsidR="001C6219" w:rsidRDefault="001C6219" w:rsidP="001C6219"/>
    <w:p w:rsidR="001C6219" w:rsidRDefault="001C6219" w:rsidP="001C6219"/>
    <w:p w:rsidR="001C6219" w:rsidRDefault="001C6219" w:rsidP="001C6219">
      <w:pPr>
        <w:pStyle w:val="Ttulo1"/>
      </w:pPr>
      <w:bookmarkStart w:id="245" w:name="scroll-bookmark-265"/>
      <w:bookmarkStart w:id="246" w:name="scroll-bookmark-266"/>
      <w:bookmarkEnd w:id="245"/>
      <w:r>
        <w:t xml:space="preserve">QA00138 — Cómo declarar los gastos en caso de que las OCS se apliquen con arreglo a los artículos 53 a 56 del RDC y, a </w:t>
      </w:r>
      <w:r>
        <w:lastRenderedPageBreak/>
        <w:t>continuación, se introduzcan en un régimen de OCS en virtud del artículo 94: opciones y riesgos</w:t>
      </w:r>
      <w:bookmarkEnd w:id="246"/>
    </w:p>
    <w:p w:rsidR="001C6219" w:rsidRDefault="001C6219" w:rsidP="001C6219">
      <w:r>
        <w:rPr>
          <w:noProof/>
          <w:lang w:val="es-ES"/>
        </w:rPr>
        <w:drawing>
          <wp:inline distT="0" distB="0" distL="0" distR="0" wp14:anchorId="38EC8930" wp14:editId="6557BB38">
            <wp:extent cx="152435" cy="152435"/>
            <wp:effectExtent l="0" t="0" r="0" b="0"/>
            <wp:docPr id="100495" name="Imagen 1004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53-56 y 94 del RDC</w:t>
      </w:r>
    </w:p>
    <w:p w:rsidR="001C6219" w:rsidRDefault="001C6219" w:rsidP="001C6219">
      <w:r>
        <w:rPr>
          <w:noProof/>
          <w:lang w:val="es-ES"/>
        </w:rPr>
        <w:drawing>
          <wp:inline distT="0" distB="0" distL="0" distR="0" wp14:anchorId="71B649CD" wp14:editId="793A4457">
            <wp:extent cx="152435" cy="152435"/>
            <wp:effectExtent l="0" t="0" r="0" b="0"/>
            <wp:docPr id="100497" name="Imagen 1004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1C6219" w:rsidRDefault="001C6219" w:rsidP="001C6219"/>
    <w:p w:rsidR="001C6219" w:rsidRDefault="0054633B" w:rsidP="001C6219">
      <w:pPr>
        <w:pStyle w:val="P68B1DB1-Normal1"/>
      </w:pPr>
      <w:r>
        <w:t>Q</w:t>
      </w:r>
      <w:r w:rsidR="001C6219">
        <w:t xml:space="preserve">1: </w:t>
      </w:r>
      <w:proofErr w:type="gramStart"/>
      <w:r w:rsidR="001C6219">
        <w:t xml:space="preserve">Pouvez-vous nous confirmer que nos services seraient en mesure de programmer dès approbation par la CE de la version initiale du PO (donc sans ce BSCU) des opérations de ce type sur la base d’un BSCU, conformément à </w:t>
      </w:r>
      <w:r w:rsidR="007378C4">
        <w:t>l’article</w:t>
      </w:r>
      <w:r w:rsidR="001C6219">
        <w:t> 53 du RPDC, avant la validation de la décision permettant l’adoption de cette OCS au niveau du programme conformément à l’art</w:t>
      </w:r>
      <w:r w:rsidR="00ED6BFD">
        <w:t>ic</w:t>
      </w:r>
      <w:r w:rsidR="001C6219">
        <w:t>l</w:t>
      </w:r>
      <w:r w:rsidR="00ED6BFD">
        <w:t>e</w:t>
      </w:r>
      <w:r w:rsidR="001C6219">
        <w:t> 94?</w:t>
      </w:r>
      <w:proofErr w:type="gramEnd"/>
    </w:p>
    <w:p w:rsidR="001C6219" w:rsidRDefault="001C6219" w:rsidP="001C6219"/>
    <w:p w:rsidR="001C6219" w:rsidRDefault="001C6219" w:rsidP="001C6219">
      <w:pPr>
        <w:pStyle w:val="P68B1DB1-Normal3"/>
      </w:pPr>
      <w:r>
        <w:rPr>
          <w:b/>
        </w:rPr>
        <w:t>EN</w:t>
      </w:r>
      <w:r>
        <w:t>: ¿Puede confirmar que nuestros servicios podrían programar, tan pronto como la versión inicial de la OP sea aprobada por la CE (por tanto, sin este SSUC) sobre la base de un SSUC, de conformidad con el artículo 53 del RDC, antes de validar la decisión que permite la adopción de esta OCS a nivel de programa de conformidad con el artículo 94?</w:t>
      </w:r>
    </w:p>
    <w:p w:rsidR="001C6219" w:rsidRDefault="001C6219" w:rsidP="001C6219"/>
    <w:p w:rsidR="001C6219" w:rsidRDefault="00F70C5D" w:rsidP="001C6219">
      <w:r>
        <w:rPr>
          <w:b/>
        </w:rPr>
        <w:t>Q</w:t>
      </w:r>
      <w:r w:rsidR="001C6219">
        <w:rPr>
          <w:b/>
        </w:rPr>
        <w:t>2:</w:t>
      </w:r>
      <w:r w:rsidR="001C6219">
        <w:t xml:space="preserve"> </w:t>
      </w:r>
      <w:r w:rsidR="00795C72">
        <w:rPr>
          <w:b/>
        </w:rPr>
        <w:t xml:space="preserve">En </w:t>
      </w:r>
      <w:proofErr w:type="spellStart"/>
      <w:r w:rsidR="00795C72">
        <w:rPr>
          <w:b/>
        </w:rPr>
        <w:t>cas</w:t>
      </w:r>
      <w:proofErr w:type="spellEnd"/>
      <w:r w:rsidR="00795C72">
        <w:rPr>
          <w:b/>
        </w:rPr>
        <w:t xml:space="preserve"> de </w:t>
      </w:r>
      <w:proofErr w:type="spellStart"/>
      <w:r w:rsidR="00795C72">
        <w:rPr>
          <w:b/>
        </w:rPr>
        <w:t>réponse</w:t>
      </w:r>
      <w:proofErr w:type="spellEnd"/>
      <w:r w:rsidR="00795C72">
        <w:rPr>
          <w:b/>
        </w:rPr>
        <w:t xml:space="preserve"> positive</w:t>
      </w:r>
      <w:r w:rsidR="001C6219">
        <w:rPr>
          <w:b/>
        </w:rPr>
        <w:t xml:space="preserve"> à cette première, nous </w:t>
      </w:r>
      <w:proofErr w:type="spellStart"/>
      <w:r w:rsidR="001C6219">
        <w:rPr>
          <w:b/>
        </w:rPr>
        <w:t>confirmez-vous</w:t>
      </w:r>
      <w:proofErr w:type="spellEnd"/>
      <w:r w:rsidR="001C6219">
        <w:rPr>
          <w:b/>
        </w:rPr>
        <w:t xml:space="preserve"> que la </w:t>
      </w:r>
      <w:proofErr w:type="spellStart"/>
      <w:r w:rsidR="001C6219">
        <w:rPr>
          <w:b/>
        </w:rPr>
        <w:t>règle</w:t>
      </w:r>
      <w:proofErr w:type="spellEnd"/>
      <w:r w:rsidR="001C6219">
        <w:rPr>
          <w:b/>
        </w:rPr>
        <w:t xml:space="preserve"> </w:t>
      </w:r>
      <w:proofErr w:type="spellStart"/>
      <w:r w:rsidR="001C6219">
        <w:rPr>
          <w:b/>
        </w:rPr>
        <w:t>selon</w:t>
      </w:r>
      <w:proofErr w:type="spellEnd"/>
      <w:r w:rsidR="001C6219">
        <w:rPr>
          <w:b/>
        </w:rPr>
        <w:t xml:space="preserve"> </w:t>
      </w:r>
      <w:proofErr w:type="spellStart"/>
      <w:r w:rsidR="001C6219">
        <w:rPr>
          <w:b/>
        </w:rPr>
        <w:t>laquelle</w:t>
      </w:r>
      <w:proofErr w:type="spellEnd"/>
      <w:r w:rsidR="001C6219">
        <w:rPr>
          <w:b/>
        </w:rPr>
        <w:t xml:space="preserve"> les dépenses/</w:t>
      </w:r>
      <w:proofErr w:type="spellStart"/>
      <w:r w:rsidR="001C6219">
        <w:rPr>
          <w:b/>
        </w:rPr>
        <w:t>réalisations</w:t>
      </w:r>
      <w:proofErr w:type="spellEnd"/>
      <w:r w:rsidR="001C6219">
        <w:rPr>
          <w:b/>
        </w:rPr>
        <w:t xml:space="preserve"> </w:t>
      </w:r>
      <w:proofErr w:type="spellStart"/>
      <w:r w:rsidR="001C6219">
        <w:rPr>
          <w:b/>
        </w:rPr>
        <w:t>d’une</w:t>
      </w:r>
      <w:proofErr w:type="spellEnd"/>
      <w:r w:rsidR="001C6219">
        <w:rPr>
          <w:b/>
        </w:rPr>
        <w:t xml:space="preserve"> </w:t>
      </w:r>
      <w:proofErr w:type="spellStart"/>
      <w:r w:rsidR="001C6219">
        <w:rPr>
          <w:b/>
        </w:rPr>
        <w:t>opération</w:t>
      </w:r>
      <w:proofErr w:type="spellEnd"/>
      <w:r w:rsidR="001C6219">
        <w:rPr>
          <w:b/>
        </w:rPr>
        <w:t xml:space="preserve"> </w:t>
      </w:r>
      <w:proofErr w:type="spellStart"/>
      <w:r w:rsidR="001C6219">
        <w:rPr>
          <w:b/>
        </w:rPr>
        <w:t>antérieures</w:t>
      </w:r>
      <w:proofErr w:type="spellEnd"/>
      <w:r w:rsidR="001C6219">
        <w:rPr>
          <w:b/>
        </w:rPr>
        <w:t xml:space="preserve"> à la date </w:t>
      </w:r>
      <w:proofErr w:type="spellStart"/>
      <w:r w:rsidR="001C6219">
        <w:rPr>
          <w:b/>
        </w:rPr>
        <w:t>d’introduction</w:t>
      </w:r>
      <w:proofErr w:type="spellEnd"/>
      <w:r w:rsidR="001C6219">
        <w:rPr>
          <w:b/>
        </w:rPr>
        <w:t xml:space="preserve"> de la demande de </w:t>
      </w:r>
      <w:proofErr w:type="spellStart"/>
      <w:r w:rsidR="001C6219">
        <w:rPr>
          <w:b/>
        </w:rPr>
        <w:t>modification</w:t>
      </w:r>
      <w:proofErr w:type="spellEnd"/>
      <w:r w:rsidR="001C6219">
        <w:rPr>
          <w:b/>
        </w:rPr>
        <w:t xml:space="preserve"> du PO </w:t>
      </w:r>
      <w:proofErr w:type="spellStart"/>
      <w:r w:rsidR="001C6219">
        <w:rPr>
          <w:b/>
        </w:rPr>
        <w:t>visant</w:t>
      </w:r>
      <w:proofErr w:type="spellEnd"/>
      <w:r w:rsidR="001C6219">
        <w:rPr>
          <w:b/>
        </w:rPr>
        <w:t xml:space="preserve"> à </w:t>
      </w:r>
      <w:proofErr w:type="spellStart"/>
      <w:r w:rsidR="001C6219">
        <w:rPr>
          <w:b/>
        </w:rPr>
        <w:t>intégrer</w:t>
      </w:r>
      <w:proofErr w:type="spellEnd"/>
      <w:r w:rsidR="001C6219">
        <w:rPr>
          <w:b/>
        </w:rPr>
        <w:t xml:space="preserve"> le </w:t>
      </w:r>
      <w:proofErr w:type="spellStart"/>
      <w:r w:rsidR="001C6219">
        <w:rPr>
          <w:b/>
        </w:rPr>
        <w:t>nouveau</w:t>
      </w:r>
      <w:proofErr w:type="spellEnd"/>
      <w:r w:rsidR="001C6219">
        <w:rPr>
          <w:b/>
        </w:rPr>
        <w:t xml:space="preserve"> BSCU dans SFC ne sont pas éligibles, ne</w:t>
      </w:r>
      <w:r w:rsidR="00795C72">
        <w:rPr>
          <w:b/>
        </w:rPr>
        <w:t xml:space="preserve"> </w:t>
      </w:r>
      <w:proofErr w:type="spellStart"/>
      <w:r w:rsidR="00795C72">
        <w:rPr>
          <w:b/>
        </w:rPr>
        <w:t>s</w:t>
      </w:r>
      <w:r w:rsidR="001C6219">
        <w:rPr>
          <w:b/>
        </w:rPr>
        <w:t>’app</w:t>
      </w:r>
      <w:r w:rsidR="00795C72">
        <w:rPr>
          <w:b/>
        </w:rPr>
        <w:t>li</w:t>
      </w:r>
      <w:r w:rsidR="001C6219">
        <w:rPr>
          <w:b/>
        </w:rPr>
        <w:t>que</w:t>
      </w:r>
      <w:proofErr w:type="spellEnd"/>
      <w:r w:rsidR="001C6219">
        <w:rPr>
          <w:b/>
        </w:rPr>
        <w:t xml:space="preserve"> pas dans le cas </w:t>
      </w:r>
      <w:proofErr w:type="spellStart"/>
      <w:r w:rsidR="001C6219">
        <w:rPr>
          <w:b/>
        </w:rPr>
        <w:t>présent</w:t>
      </w:r>
      <w:proofErr w:type="spellEnd"/>
      <w:r w:rsidR="001C6219">
        <w:rPr>
          <w:b/>
        </w:rPr>
        <w:t xml:space="preserve"> au </w:t>
      </w:r>
      <w:proofErr w:type="spellStart"/>
      <w:r w:rsidR="001C6219">
        <w:rPr>
          <w:b/>
        </w:rPr>
        <w:t>niveau</w:t>
      </w:r>
      <w:proofErr w:type="spellEnd"/>
      <w:r w:rsidR="001C6219">
        <w:rPr>
          <w:b/>
        </w:rPr>
        <w:t xml:space="preserve"> du </w:t>
      </w:r>
      <w:proofErr w:type="spellStart"/>
      <w:r w:rsidR="001C6219">
        <w:rPr>
          <w:b/>
        </w:rPr>
        <w:t>bénéficiaire</w:t>
      </w:r>
      <w:proofErr w:type="spellEnd"/>
      <w:r w:rsidR="001C6219">
        <w:rPr>
          <w:b/>
        </w:rPr>
        <w:t xml:space="preserve"> (</w:t>
      </w:r>
      <w:proofErr w:type="spellStart"/>
      <w:r w:rsidR="001C6219">
        <w:rPr>
          <w:b/>
        </w:rPr>
        <w:t>mais</w:t>
      </w:r>
      <w:proofErr w:type="spellEnd"/>
      <w:r w:rsidR="001C6219">
        <w:rPr>
          <w:b/>
        </w:rPr>
        <w:t xml:space="preserve"> </w:t>
      </w:r>
      <w:proofErr w:type="spellStart"/>
      <w:r w:rsidR="001C6219">
        <w:rPr>
          <w:b/>
        </w:rPr>
        <w:t>seulement</w:t>
      </w:r>
      <w:proofErr w:type="spellEnd"/>
      <w:r w:rsidR="001C6219">
        <w:rPr>
          <w:b/>
        </w:rPr>
        <w:t xml:space="preserve"> à l’AG pour la </w:t>
      </w:r>
      <w:proofErr w:type="spellStart"/>
      <w:r w:rsidR="001C6219">
        <w:rPr>
          <w:b/>
        </w:rPr>
        <w:t>réalisation</w:t>
      </w:r>
      <w:proofErr w:type="spellEnd"/>
      <w:r w:rsidR="001C6219">
        <w:rPr>
          <w:b/>
        </w:rPr>
        <w:t xml:space="preserve"> de </w:t>
      </w:r>
      <w:proofErr w:type="spellStart"/>
      <w:r w:rsidR="001C6219">
        <w:rPr>
          <w:b/>
        </w:rPr>
        <w:t>ses</w:t>
      </w:r>
      <w:proofErr w:type="spellEnd"/>
      <w:r w:rsidR="001C6219">
        <w:rPr>
          <w:b/>
        </w:rPr>
        <w:t xml:space="preserve"> demandes de paiement/</w:t>
      </w:r>
      <w:proofErr w:type="spellStart"/>
      <w:r w:rsidR="001C6219">
        <w:rPr>
          <w:b/>
        </w:rPr>
        <w:t>appel</w:t>
      </w:r>
      <w:proofErr w:type="spellEnd"/>
      <w:r w:rsidR="001C6219">
        <w:rPr>
          <w:b/>
        </w:rPr>
        <w:t xml:space="preserve"> de </w:t>
      </w:r>
      <w:proofErr w:type="spellStart"/>
      <w:r w:rsidR="001C6219">
        <w:rPr>
          <w:b/>
        </w:rPr>
        <w:t>fonds</w:t>
      </w:r>
      <w:proofErr w:type="spellEnd"/>
      <w:r w:rsidR="001C6219">
        <w:rPr>
          <w:b/>
        </w:rPr>
        <w:t>)?</w:t>
      </w:r>
    </w:p>
    <w:p w:rsidR="001C6219" w:rsidRDefault="001C6219" w:rsidP="001C6219">
      <w:pPr>
        <w:pStyle w:val="P68B1DB1-Normal1"/>
      </w:pPr>
      <w:r>
        <w:t> </w:t>
      </w:r>
    </w:p>
    <w:p w:rsidR="001C6219" w:rsidRDefault="001C6219" w:rsidP="001C6219">
      <w:pPr>
        <w:pStyle w:val="P68B1DB1-Normal1"/>
      </w:pPr>
      <w:r>
        <w:t xml:space="preserve">TRÈS </w:t>
      </w:r>
      <w:proofErr w:type="spellStart"/>
      <w:r>
        <w:t>concrètement</w:t>
      </w:r>
      <w:proofErr w:type="spellEnd"/>
      <w:r>
        <w:t xml:space="preserve">, pour des </w:t>
      </w:r>
      <w:proofErr w:type="spellStart"/>
      <w:r>
        <w:t>opérations</w:t>
      </w:r>
      <w:proofErr w:type="spellEnd"/>
      <w:r>
        <w:t xml:space="preserve"> de </w:t>
      </w:r>
      <w:proofErr w:type="spellStart"/>
      <w:r>
        <w:t>rénovation</w:t>
      </w:r>
      <w:proofErr w:type="spellEnd"/>
      <w:r>
        <w:t xml:space="preserve"> de </w:t>
      </w:r>
      <w:proofErr w:type="spellStart"/>
      <w:r>
        <w:t>logement</w:t>
      </w:r>
      <w:proofErr w:type="spellEnd"/>
      <w:r>
        <w:t xml:space="preserve"> social qui seraient éligibles dès le 1.er </w:t>
      </w:r>
      <w:proofErr w:type="spellStart"/>
      <w:r>
        <w:t>janvier</w:t>
      </w:r>
      <w:proofErr w:type="spellEnd"/>
      <w:r>
        <w:t xml:space="preserve"> 2021 et </w:t>
      </w:r>
      <w:proofErr w:type="spellStart"/>
      <w:r>
        <w:t>programmés</w:t>
      </w:r>
      <w:proofErr w:type="spellEnd"/>
      <w:r>
        <w:t xml:space="preserve"> par l’AG avec un BSCU </w:t>
      </w:r>
      <w:proofErr w:type="spellStart"/>
      <w:r>
        <w:t>n’ayant</w:t>
      </w:r>
      <w:proofErr w:type="spellEnd"/>
      <w:r>
        <w:t xml:space="preserve"> pas été </w:t>
      </w:r>
      <w:proofErr w:type="spellStart"/>
      <w:r>
        <w:t>encore</w:t>
      </w:r>
      <w:proofErr w:type="spellEnd"/>
      <w:r>
        <w:t xml:space="preserve"> </w:t>
      </w:r>
      <w:proofErr w:type="spellStart"/>
      <w:r>
        <w:t>approuvé</w:t>
      </w:r>
      <w:proofErr w:type="spellEnd"/>
      <w:r>
        <w:t xml:space="preserve"> par la CE dans le PO (par </w:t>
      </w:r>
      <w:proofErr w:type="spellStart"/>
      <w:r>
        <w:t>exexle</w:t>
      </w:r>
      <w:proofErr w:type="spellEnd"/>
      <w:r>
        <w:t xml:space="preserve"> juste </w:t>
      </w:r>
      <w:proofErr w:type="spellStart"/>
      <w:r>
        <w:t>après</w:t>
      </w:r>
      <w:proofErr w:type="spellEnd"/>
      <w:r>
        <w:t xml:space="preserve"> </w:t>
      </w:r>
      <w:proofErr w:type="spellStart"/>
      <w:r>
        <w:t>l’approbation</w:t>
      </w:r>
      <w:proofErr w:type="spellEnd"/>
      <w:r>
        <w:t xml:space="preserve"> du PO inicial en </w:t>
      </w:r>
      <w:proofErr w:type="spellStart"/>
      <w:r>
        <w:t>juin</w:t>
      </w:r>
      <w:proofErr w:type="spellEnd"/>
      <w:r>
        <w:t xml:space="preserve"> 2022), l’AG </w:t>
      </w:r>
      <w:proofErr w:type="spellStart"/>
      <w:r>
        <w:t>introducit</w:t>
      </w:r>
      <w:proofErr w:type="spellEnd"/>
      <w:r>
        <w:t xml:space="preserve"> </w:t>
      </w:r>
      <w:proofErr w:type="spellStart"/>
      <w:r>
        <w:t>formellement</w:t>
      </w:r>
      <w:proofErr w:type="spellEnd"/>
      <w:r>
        <w:t xml:space="preserve"> une demande de </w:t>
      </w:r>
      <w:proofErr w:type="spellStart"/>
      <w:r>
        <w:t>révision</w:t>
      </w:r>
      <w:proofErr w:type="spellEnd"/>
      <w:r>
        <w:t xml:space="preserve"> du PO pour </w:t>
      </w:r>
      <w:proofErr w:type="spellStart"/>
      <w:r>
        <w:t>introduire</w:t>
      </w:r>
      <w:proofErr w:type="spellEnd"/>
      <w:r>
        <w:t xml:space="preserve"> le BSCU en </w:t>
      </w:r>
      <w:proofErr w:type="spellStart"/>
      <w:r>
        <w:t>septembre</w:t>
      </w:r>
      <w:proofErr w:type="spellEnd"/>
      <w:r>
        <w:t xml:space="preserve"> 2022:  ¿L’AG </w:t>
      </w:r>
      <w:proofErr w:type="spellStart"/>
      <w:r>
        <w:t>pourra</w:t>
      </w:r>
      <w:proofErr w:type="spellEnd"/>
      <w:r>
        <w:t xml:space="preserve">-t-elle bien incriminado les dépenses </w:t>
      </w:r>
      <w:proofErr w:type="spellStart"/>
      <w:r>
        <w:t>correspondantes</w:t>
      </w:r>
      <w:proofErr w:type="spellEnd"/>
      <w:r>
        <w:t xml:space="preserve"> (</w:t>
      </w:r>
      <w:proofErr w:type="spellStart"/>
      <w:r>
        <w:t>opération</w:t>
      </w:r>
      <w:proofErr w:type="spellEnd"/>
      <w:r>
        <w:t xml:space="preserve"> </w:t>
      </w:r>
      <w:proofErr w:type="spellStart"/>
      <w:r>
        <w:t>réalisée</w:t>
      </w:r>
      <w:proofErr w:type="spellEnd"/>
      <w:r>
        <w:t xml:space="preserve"> entre </w:t>
      </w:r>
      <w:proofErr w:type="spellStart"/>
      <w:r>
        <w:t>janvier</w:t>
      </w:r>
      <w:proofErr w:type="spellEnd"/>
      <w:r>
        <w:t xml:space="preserve"> 2021 et </w:t>
      </w:r>
      <w:proofErr w:type="spellStart"/>
      <w:r>
        <w:t>Нembre</w:t>
      </w:r>
      <w:proofErr w:type="spellEnd"/>
      <w:r>
        <w:t xml:space="preserve"> 2022) dans une demande de paiement </w:t>
      </w:r>
      <w:proofErr w:type="spellStart"/>
      <w:r>
        <w:t>adressée</w:t>
      </w:r>
      <w:proofErr w:type="spellEnd"/>
      <w:r>
        <w:t xml:space="preserve"> à la CE en 2023?  ¿</w:t>
      </w:r>
      <w:proofErr w:type="spellStart"/>
      <w:r>
        <w:t>Quelle</w:t>
      </w:r>
      <w:proofErr w:type="spellEnd"/>
      <w:r>
        <w:t xml:space="preserve"> forme Devra </w:t>
      </w:r>
      <w:proofErr w:type="spellStart"/>
      <w:r>
        <w:t>alors</w:t>
      </w:r>
      <w:proofErr w:type="spellEnd"/>
      <w:r>
        <w:t xml:space="preserve"> prendre la demande de paiement par l’AG </w:t>
      </w:r>
      <w:proofErr w:type="spellStart"/>
      <w:r>
        <w:t>auprès</w:t>
      </w:r>
      <w:proofErr w:type="spellEnd"/>
      <w:r>
        <w:t xml:space="preserve"> de la </w:t>
      </w:r>
      <w:proofErr w:type="spellStart"/>
      <w:r>
        <w:t>Commission</w:t>
      </w:r>
      <w:proofErr w:type="spellEnd"/>
      <w:r>
        <w:t xml:space="preserve"> </w:t>
      </w:r>
      <w:proofErr w:type="spellStart"/>
      <w:r>
        <w:t>européenne</w:t>
      </w:r>
      <w:proofErr w:type="spellEnd"/>
      <w:r>
        <w:t xml:space="preserve"> au </w:t>
      </w:r>
      <w:proofErr w:type="spellStart"/>
      <w:r>
        <w:t>titre</w:t>
      </w:r>
      <w:proofErr w:type="spellEnd"/>
      <w:r>
        <w:t xml:space="preserve"> de ces </w:t>
      </w:r>
      <w:proofErr w:type="spellStart"/>
      <w:r>
        <w:t>opérations</w:t>
      </w:r>
      <w:proofErr w:type="spellEnd"/>
      <w:r>
        <w:t>?</w:t>
      </w:r>
    </w:p>
    <w:p w:rsidR="001C6219" w:rsidRDefault="001C6219" w:rsidP="001C6219"/>
    <w:p w:rsidR="001C6219" w:rsidRDefault="001C6219" w:rsidP="001C6219">
      <w:r>
        <w:rPr>
          <w:i/>
        </w:rPr>
        <w:t>EN: En caso de respuesta positiva a esta primera pregunta, ¿puede confirmar que la norma según la cual el gasto o la ejecución de una operación antes de la fecha de presentación de la solicitud de modificación del PO destinada a integrar el nuevo SSUC en el</w:t>
      </w:r>
      <w:r>
        <w:t xml:space="preserve"> </w:t>
      </w:r>
      <w:r>
        <w:rPr>
          <w:i/>
        </w:rPr>
        <w:t xml:space="preserve">SFC no es subvencionable en este caso a nivel del beneficiario (sino únicamente a la AG para la presentación de sus solicitudes de pago/petición de fondos)? Muy concretamente, para las operaciones de renovación de viviendas sociales que serían subvencionables a partir del 1 de enero de 2021 y programadas por el GM con un SSUC que aún no ha sido aprobado por la CE en el PO (por ejemplo, justo después de la </w:t>
      </w:r>
      <w:r>
        <w:rPr>
          <w:i/>
        </w:rPr>
        <w:lastRenderedPageBreak/>
        <w:t>aprobación de la OP inicial en junio de 2022), la AG presenta formalmente una solicitud de revisión de la OP para introducir el SSUC en septiembre de 2022: ¿podrá la AG incluir los gastos correspondientes (operación realizada entre enero de 2021 y diciembre de 2022) en una solicitud de pago enviada a la CE en 2023? ¿Qué forma debería adoptar la solicitud de pago de la AG a la Comisión Europea para estas operaciones?</w:t>
      </w:r>
    </w:p>
    <w:p w:rsidR="001C6219" w:rsidRDefault="001C6219" w:rsidP="001C6219"/>
    <w:p w:rsidR="001C6219" w:rsidRDefault="001C6219" w:rsidP="001C6219">
      <w:r>
        <w:rPr>
          <w:b/>
        </w:rPr>
        <w:t>Q3</w:t>
      </w:r>
      <w:r>
        <w:t xml:space="preserve"> </w:t>
      </w:r>
      <w:r>
        <w:rPr>
          <w:b/>
        </w:rPr>
        <w:t xml:space="preserve">¿En </w:t>
      </w:r>
      <w:proofErr w:type="spellStart"/>
      <w:r>
        <w:rPr>
          <w:b/>
        </w:rPr>
        <w:t>cas</w:t>
      </w:r>
      <w:proofErr w:type="spellEnd"/>
      <w:r>
        <w:rPr>
          <w:b/>
        </w:rPr>
        <w:t xml:space="preserve"> de </w:t>
      </w:r>
      <w:proofErr w:type="spellStart"/>
      <w:r>
        <w:rPr>
          <w:b/>
        </w:rPr>
        <w:t>réponse</w:t>
      </w:r>
      <w:proofErr w:type="spellEnd"/>
      <w:r>
        <w:rPr>
          <w:b/>
        </w:rPr>
        <w:t xml:space="preserve"> positivo, </w:t>
      </w:r>
      <w:proofErr w:type="spellStart"/>
      <w:r>
        <w:rPr>
          <w:b/>
        </w:rPr>
        <w:t>pouvez-vous</w:t>
      </w:r>
      <w:proofErr w:type="spellEnd"/>
      <w:r>
        <w:rPr>
          <w:b/>
        </w:rPr>
        <w:t xml:space="preserve"> </w:t>
      </w:r>
      <w:proofErr w:type="spellStart"/>
      <w:r>
        <w:rPr>
          <w:b/>
        </w:rPr>
        <w:t>aussi</w:t>
      </w:r>
      <w:proofErr w:type="spellEnd"/>
      <w:r>
        <w:rPr>
          <w:b/>
        </w:rPr>
        <w:t xml:space="preserve"> nous </w:t>
      </w:r>
      <w:proofErr w:type="spellStart"/>
      <w:r>
        <w:rPr>
          <w:b/>
        </w:rPr>
        <w:t>indiquer</w:t>
      </w:r>
      <w:proofErr w:type="spellEnd"/>
      <w:r>
        <w:rPr>
          <w:b/>
        </w:rPr>
        <w:t xml:space="preserve"> si nous </w:t>
      </w:r>
      <w:proofErr w:type="spellStart"/>
      <w:r>
        <w:rPr>
          <w:b/>
        </w:rPr>
        <w:t>serions</w:t>
      </w:r>
      <w:proofErr w:type="spellEnd"/>
      <w:r>
        <w:rPr>
          <w:b/>
        </w:rPr>
        <w:t xml:space="preserve"> en mesure, le cas </w:t>
      </w:r>
      <w:proofErr w:type="spellStart"/>
      <w:r>
        <w:rPr>
          <w:b/>
        </w:rPr>
        <w:t>échéant</w:t>
      </w:r>
      <w:proofErr w:type="spellEnd"/>
      <w:r>
        <w:rPr>
          <w:b/>
        </w:rPr>
        <w:t xml:space="preserve">, de faire </w:t>
      </w:r>
      <w:proofErr w:type="spellStart"/>
      <w:r>
        <w:rPr>
          <w:b/>
        </w:rPr>
        <w:t>remonter</w:t>
      </w:r>
      <w:proofErr w:type="spellEnd"/>
      <w:r>
        <w:rPr>
          <w:b/>
        </w:rPr>
        <w:t xml:space="preserve"> à la CE une demande de paiement </w:t>
      </w:r>
      <w:proofErr w:type="spellStart"/>
      <w:r>
        <w:rPr>
          <w:b/>
        </w:rPr>
        <w:t>incluant</w:t>
      </w:r>
      <w:proofErr w:type="spellEnd"/>
      <w:r>
        <w:rPr>
          <w:b/>
        </w:rPr>
        <w:t xml:space="preserve"> ces </w:t>
      </w:r>
      <w:proofErr w:type="spellStart"/>
      <w:r>
        <w:rPr>
          <w:b/>
        </w:rPr>
        <w:t>opérations</w:t>
      </w:r>
      <w:proofErr w:type="spellEnd"/>
      <w:r>
        <w:rPr>
          <w:b/>
        </w:rPr>
        <w:t xml:space="preserve"> </w:t>
      </w:r>
      <w:proofErr w:type="spellStart"/>
      <w:r>
        <w:rPr>
          <w:b/>
        </w:rPr>
        <w:t>programmées</w:t>
      </w:r>
      <w:proofErr w:type="spellEnd"/>
      <w:r>
        <w:rPr>
          <w:b/>
        </w:rPr>
        <w:t xml:space="preserve"> sur la base </w:t>
      </w:r>
      <w:proofErr w:type="spellStart"/>
      <w:r>
        <w:rPr>
          <w:b/>
        </w:rPr>
        <w:t>d’une</w:t>
      </w:r>
      <w:proofErr w:type="spellEnd"/>
      <w:r>
        <w:rPr>
          <w:b/>
        </w:rPr>
        <w:t xml:space="preserve"> OCS «</w:t>
      </w:r>
      <w:proofErr w:type="spellStart"/>
      <w:r>
        <w:rPr>
          <w:b/>
        </w:rPr>
        <w:t>bénéficiaire</w:t>
      </w:r>
      <w:proofErr w:type="spellEnd"/>
      <w:r>
        <w:rPr>
          <w:b/>
        </w:rPr>
        <w:t xml:space="preserve">» </w:t>
      </w:r>
      <w:proofErr w:type="spellStart"/>
      <w:r>
        <w:rPr>
          <w:b/>
        </w:rPr>
        <w:t>telle</w:t>
      </w:r>
      <w:proofErr w:type="spellEnd"/>
      <w:r>
        <w:rPr>
          <w:b/>
        </w:rPr>
        <w:t xml:space="preserve"> que </w:t>
      </w:r>
      <w:proofErr w:type="spellStart"/>
      <w:r>
        <w:rPr>
          <w:b/>
        </w:rPr>
        <w:t>prévue</w:t>
      </w:r>
      <w:proofErr w:type="spellEnd"/>
      <w:r>
        <w:rPr>
          <w:b/>
        </w:rPr>
        <w:t xml:space="preserve"> à </w:t>
      </w:r>
      <w:r w:rsidR="007378C4">
        <w:rPr>
          <w:b/>
        </w:rPr>
        <w:t>l’article</w:t>
      </w:r>
      <w:r>
        <w:rPr>
          <w:b/>
        </w:rPr>
        <w:t xml:space="preserve"> 53, en </w:t>
      </w:r>
      <w:proofErr w:type="spellStart"/>
      <w:r>
        <w:rPr>
          <w:b/>
        </w:rPr>
        <w:t>incluant</w:t>
      </w:r>
      <w:proofErr w:type="spellEnd"/>
      <w:r>
        <w:rPr>
          <w:b/>
        </w:rPr>
        <w:t xml:space="preserve"> de </w:t>
      </w:r>
      <w:proofErr w:type="spellStart"/>
      <w:r>
        <w:rPr>
          <w:b/>
        </w:rPr>
        <w:t>fait</w:t>
      </w:r>
      <w:proofErr w:type="spellEnd"/>
      <w:r>
        <w:rPr>
          <w:b/>
        </w:rPr>
        <w:t xml:space="preserve"> les </w:t>
      </w:r>
      <w:proofErr w:type="spellStart"/>
      <w:r>
        <w:rPr>
          <w:b/>
        </w:rPr>
        <w:t>coНts</w:t>
      </w:r>
      <w:proofErr w:type="spellEnd"/>
      <w:r>
        <w:rPr>
          <w:b/>
        </w:rPr>
        <w:t xml:space="preserve"> </w:t>
      </w:r>
      <w:proofErr w:type="spellStart"/>
      <w:r>
        <w:rPr>
          <w:b/>
        </w:rPr>
        <w:t>calculés</w:t>
      </w:r>
      <w:proofErr w:type="spellEnd"/>
      <w:r>
        <w:rPr>
          <w:b/>
        </w:rPr>
        <w:t xml:space="preserve"> sur la base aplicable</w:t>
      </w:r>
      <w:r>
        <w:t>?</w:t>
      </w:r>
    </w:p>
    <w:p w:rsidR="001C6219" w:rsidRDefault="001C6219" w:rsidP="001C6219"/>
    <w:p w:rsidR="001C6219" w:rsidRDefault="001C6219" w:rsidP="001C6219">
      <w:pPr>
        <w:pStyle w:val="P68B1DB1-Normal3"/>
      </w:pPr>
      <w:r>
        <w:t xml:space="preserve">EN: En caso de respuesta positiva, ¿puede indicarnos si, en caso necesario, podremos remitir a la CE una solicitud de pago que incluya las operaciones programadas sobre la base de una OCS «beneficiario», tal como se establece en el artículo 53, incluidos de facto los costes calculados sobre la base de la base aplicable? </w:t>
      </w:r>
    </w:p>
    <w:p w:rsidR="001C6219" w:rsidRDefault="001C6219" w:rsidP="001C6219">
      <w:pPr>
        <w:pStyle w:val="P68B1DB1-Normal1"/>
      </w:pPr>
      <w:r>
        <w:t>...</w:t>
      </w:r>
    </w:p>
    <w:p w:rsidR="001C6219" w:rsidRDefault="001C6219" w:rsidP="001C6219">
      <w:pPr>
        <w:pStyle w:val="P68B1DB1-Normal3"/>
      </w:pPr>
      <w:r>
        <w:t> </w:t>
      </w:r>
    </w:p>
    <w:p w:rsidR="001C6219" w:rsidRDefault="001C6219" w:rsidP="001C6219">
      <w:pPr>
        <w:pStyle w:val="P68B1DB1-Normal1"/>
      </w:pPr>
      <w:r>
        <w:t>Respuestas:</w:t>
      </w:r>
    </w:p>
    <w:p w:rsidR="001C6219" w:rsidRDefault="001C6219" w:rsidP="001C6219">
      <w:r>
        <w:rPr>
          <w:b/>
        </w:rPr>
        <w:t xml:space="preserve">(1) </w:t>
      </w:r>
      <w:r>
        <w:t>Los Estados miembros pueden aplicar OCS a nivel del beneficiario de conformidad con los artículos 53 a 56 del RDC directamente y sin presentar a la Comisión el apéndice 1 del anexo V para su aprobación. Los costes correspondientes pueden declararse para dichas OCS de conformidad con el artículo 91, apartado 4, letra c), del RDC.</w:t>
      </w:r>
    </w:p>
    <w:p w:rsidR="001C6219" w:rsidRDefault="001C6219" w:rsidP="001C6219">
      <w:r>
        <w:t xml:space="preserve">No se descarta que el programa decida incluirlos en una fase posterior en los regímenes del artículo 94 del RDC. A continuación, se cubrirán mediante reembolso por parte de la Comisión, de conformidad con el artículo 94 del RDC, una vez aprobada la modificación pertinente del programa. Es posible que el programa empiece a aplicar ya (por su cuenta y riesgo) las OCS a nivel de los beneficiarios, tal como se solicitó antes de la aprobación por la Comisión de los regímenes presentados en el apéndice I del programa. </w:t>
      </w:r>
      <w:r>
        <w:rPr>
          <w:b/>
        </w:rPr>
        <w:t xml:space="preserve">Así pues, la respuesta a la </w:t>
      </w:r>
      <w:r>
        <w:rPr>
          <w:b/>
          <w:u w:val="single"/>
        </w:rPr>
        <w:t>pregunta 1</w:t>
      </w:r>
      <w:r>
        <w:rPr>
          <w:b/>
        </w:rPr>
        <w:t xml:space="preserve"> es afirmativa.</w:t>
      </w:r>
    </w:p>
    <w:p w:rsidR="001C6219" w:rsidRDefault="001C6219" w:rsidP="001C6219">
      <w:r>
        <w:rPr>
          <w:b/>
          <w:u w:val="single"/>
        </w:rPr>
        <w:t>(2) Por lo que respecta a la primera parte de la pregunta 2</w:t>
      </w:r>
      <w:r>
        <w:t>, el artículo 63, apartado 7, del RDC no se aplica a ningún nivel en la situación presentada como gasto para las operaciones que se están ejecutando de conformidad con los artículos 53 a 56 del RDC desde la aprobación del programa y que deben estar cubiertas por el régimen de OCS a partir de la modificación del programa, se entiende que ya son subvencionables a partir del 1 de enero de 2021, de conformidad con el artículo 63, apartado 2, del RDC. Esto se debe a que la modificación del programa no afecta a la subvencionabilidad de los gastos, es decir, ningún nuevo gasto pasará a ser subvencionable como consecuencia de la modificación del programa. La modificación del programa por la que se adopta el régimen de OCS solo afecta al modo de reembolso entre la Comisión y el Estado miembro.</w:t>
      </w:r>
    </w:p>
    <w:p w:rsidR="001C6219" w:rsidRDefault="001C6219" w:rsidP="001C6219">
      <w:r>
        <w:rPr>
          <w:b/>
        </w:rPr>
        <w:t xml:space="preserve">(3) En </w:t>
      </w:r>
      <w:r w:rsidR="005F6434">
        <w:rPr>
          <w:b/>
        </w:rPr>
        <w:t>la</w:t>
      </w:r>
      <w:r w:rsidR="005F6434">
        <w:rPr>
          <w:b/>
          <w:u w:val="single"/>
        </w:rPr>
        <w:t>que</w:t>
      </w:r>
      <w:r>
        <w:rPr>
          <w:b/>
          <w:u w:val="single"/>
        </w:rPr>
        <w:t xml:space="preserve"> respecta a la segunda parte de la pregunta 2</w:t>
      </w:r>
      <w:r>
        <w:rPr>
          <w:b/>
        </w:rPr>
        <w:t xml:space="preserve">, </w:t>
      </w:r>
      <w:r>
        <w:t xml:space="preserve">hasta que se adopte una decisión de conformidad con el artículo 94 del RDC, la autoridad de gestión podrá declarar a la Comisión los importes correspondientes a los costes calculados sobre la </w:t>
      </w:r>
      <w:r>
        <w:lastRenderedPageBreak/>
        <w:t xml:space="preserve">base aplicable (es decir, las OCS ejecutadas de conformidad con los artículos 53 a 56 del RDC). Esto significa que </w:t>
      </w:r>
      <w:r>
        <w:rPr>
          <w:b/>
        </w:rPr>
        <w:t>la AG puede incluir el gasto de las operaciones de OCS llevadas a cabo</w:t>
      </w:r>
      <w:r>
        <w:t xml:space="preserve"> </w:t>
      </w:r>
      <w:r>
        <w:rPr>
          <w:b/>
        </w:rPr>
        <w:t>entre enero de 2021 y diciembre de 2022 en virtud de los artículos 53 a 56 del RDC en una solicitud de pago a la Comisión en la columna B de la plantilla de solicitud de pago (anexo XXIII del RDC)</w:t>
      </w:r>
      <w:r>
        <w:t>, de conformidad con el artículo 91, apartado 4, letra c), del RDC. La Comisión reembolsará al Estado miembro en consecuencia.</w:t>
      </w:r>
    </w:p>
    <w:p w:rsidR="001C6219" w:rsidRDefault="005F6434" w:rsidP="001C6219">
      <w:r>
        <w:t>Una</w:t>
      </w:r>
      <w:r>
        <w:rPr>
          <w:b/>
        </w:rPr>
        <w:t xml:space="preserve"> vez</w:t>
      </w:r>
      <w:r w:rsidR="001C6219">
        <w:rPr>
          <w:b/>
        </w:rPr>
        <w:t xml:space="preserve"> adoptada la decisión sobre la modificación del programa</w:t>
      </w:r>
      <w:r w:rsidR="001C6219">
        <w:t xml:space="preserve">, </w:t>
      </w:r>
      <w:r w:rsidR="001C6219">
        <w:rPr>
          <w:b/>
        </w:rPr>
        <w:t>la Comisión empezará a reembolsar la contribución de la Unión a un programa sobre la base de las OCS</w:t>
      </w:r>
      <w:r w:rsidR="001C6219">
        <w:t>. La autoridad de gestión incluirá estos importes en una solicitud de pago en la columna C del modelo de solicitud de pago (anexo XXIII), de conformidad con el artículo 91, apartado 4, letra b), del RDC. La Comisión reembolsará al Estado miembro en consecuencia. A partir de la inclusión de estos importes en la columna C de la solicitud de pago, los importes reembolsados al beneficiario no deben incluirse en la solicitud de pago [columna (B) del modelo de solicitud de pago] para evitar la doble financiación del mismo gasto.</w:t>
      </w:r>
    </w:p>
    <w:p w:rsidR="001C6219" w:rsidRDefault="001C6219" w:rsidP="001C6219">
      <w:r>
        <w:t xml:space="preserve">Consideramos que la </w:t>
      </w:r>
      <w:r>
        <w:rPr>
          <w:b/>
          <w:u w:val="single"/>
        </w:rPr>
        <w:t>pregunta 3 se aborda en el punto 3 anterior</w:t>
      </w:r>
      <w:r>
        <w:t>. Por lo tanto, no es necesaria una respuesta separada.</w:t>
      </w:r>
    </w:p>
    <w:p w:rsidR="001C6219" w:rsidRDefault="001C6219" w:rsidP="001C6219"/>
    <w:p w:rsidR="001C6219" w:rsidRDefault="001C6219" w:rsidP="001C6219"/>
    <w:p w:rsidR="001C6219" w:rsidRDefault="001C6219" w:rsidP="001C6219">
      <w:pPr>
        <w:pStyle w:val="Ttulo1"/>
      </w:pPr>
      <w:bookmarkStart w:id="247" w:name="scroll-bookmark-267"/>
      <w:bookmarkStart w:id="248" w:name="scroll-bookmark-268"/>
      <w:bookmarkEnd w:id="247"/>
      <w:r>
        <w:t>QA00139 — RDC y Reglamento Interreg 2021-2027 — posible doble corrección</w:t>
      </w:r>
      <w:bookmarkEnd w:id="248"/>
    </w:p>
    <w:p w:rsidR="001C6219" w:rsidRDefault="001C6219" w:rsidP="001C6219">
      <w:r>
        <w:rPr>
          <w:noProof/>
          <w:lang w:val="es-ES"/>
        </w:rPr>
        <w:drawing>
          <wp:inline distT="0" distB="0" distL="0" distR="0" wp14:anchorId="4B5CBC02" wp14:editId="3FA5830D">
            <wp:extent cx="152435" cy="152435"/>
            <wp:effectExtent l="0" t="0" r="0" b="0"/>
            <wp:docPr id="100499" name="Imagen 1004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98, apartado 6, letra a), y artículo 103 del RDC</w:t>
      </w:r>
    </w:p>
    <w:p w:rsidR="001C6219" w:rsidRDefault="001C6219" w:rsidP="001C6219">
      <w:r>
        <w:t>Artículo 52 del Reglamento Interreg</w:t>
      </w:r>
    </w:p>
    <w:p w:rsidR="001C6219" w:rsidRDefault="001C6219" w:rsidP="001C6219">
      <w:r>
        <w:rPr>
          <w:noProof/>
          <w:lang w:val="es-ES"/>
        </w:rPr>
        <w:drawing>
          <wp:inline distT="0" distB="0" distL="0" distR="0" wp14:anchorId="4BA159E5" wp14:editId="08028DAC">
            <wp:extent cx="152435" cy="152435"/>
            <wp:effectExtent l="0" t="0" r="0" b="0"/>
            <wp:docPr id="100501" name="Imagen 1005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pStyle w:val="P68B1DB1-Normal1"/>
      </w:pPr>
      <w:r>
        <w:t>¿Cuál es la base jurídica que permite a la CE evitar la doble corrección, es decir, no emitir una orden de ingreso con arreglo al artículo 52 del Reglamento Interreg si el importe ya se ha retirado en las cuentas anuales? </w:t>
      </w:r>
    </w:p>
    <w:p w:rsidR="001C6219" w:rsidRDefault="001C6219" w:rsidP="001C6219"/>
    <w:p w:rsidR="001C6219" w:rsidRDefault="001C6219" w:rsidP="001C6219">
      <w:pPr>
        <w:pStyle w:val="P68B1DB1-Normal1"/>
      </w:pPr>
      <w:r>
        <w:t>Ejemplo facilitado por el solicitante en el que se explica el riesgo de doble corrección</w:t>
      </w:r>
    </w:p>
    <w:p w:rsidR="001C6219" w:rsidRDefault="001C6219" w:rsidP="001C6219">
      <w:r>
        <w:t>Durante el ejercicio contable 2024/2025, la AG identifica gastos irregulares en la solicitud de pago del beneficiario (por ejemplo, 100 000 EUR) que ya se han presentado en la solicitud de pago intermedio en el ejercicio contable 2024/2025. La AG abre posteriormente el procedimiento de recuperación, que, sin embargo, no ha concluido antes de que las cuentas de 2024/2025 sean aprobadas por la CE.</w:t>
      </w:r>
    </w:p>
    <w:p w:rsidR="001C6219" w:rsidRDefault="001C6219" w:rsidP="001C6219">
      <w:r>
        <w:lastRenderedPageBreak/>
        <w:t>De conformidad con el artículo 98 (6) (a) del RDC, este importe irregular (100 000 EUR) aún debe deducirse de las cuentas con independencia del estado de la recuperación (en nuestro ejemplo, el procedimiento de recuperación no ha concluido). Por lo tanto, el importe total declarado en las cuentas (por ejemplo, 1 millones. EUR) se reducirá a 900 000 EUR. Esto significa que el Estado miembro ha aplicado la corrección financiera y esta irregularidad debe resolverse en relación con el presupuesto de la UE.</w:t>
      </w:r>
    </w:p>
    <w:p w:rsidR="001C6219" w:rsidRDefault="001C6219" w:rsidP="001C6219">
      <w:r>
        <w:t>Sin embargo, una vez concluido el procedimiento de recuperación con el resultado de que ni los socios pertinentes ni los Estados miembros no reembolsaron los importes indebidamente pagados al programa, la Comisión está, en nuestra opinión, obligada a emitir la orden de recuperación con arreglo al artículo 52 (5) del Reglamento Interreg para esos 100 000 EUR, que los Estados miembros pertinentes no reembolsaron, a pesar de que la corrección financiera ya se había aplicado en las cuentas de 2024/2025.</w:t>
      </w:r>
    </w:p>
    <w:p w:rsidR="001C6219" w:rsidRDefault="001C6219" w:rsidP="001C6219">
      <w:r>
        <w:t>Esto significa, en nuestra opinión, que un importe irregular (100 000 EUR) se deducirá dos veces de los pagos a nivel de programa de la UE (deducción en las cuentas y compensación adicional por parte de la Comisión).</w:t>
      </w:r>
    </w:p>
    <w:p w:rsidR="001C6219" w:rsidRDefault="001C6219" w:rsidP="001C6219">
      <w:r>
        <w:t>Esto daría lugar a una doble corrección, por lo que estamos tratando de encontrar la base jurídica (de la que actualmente no conocemos) que permitiría a la Comisión no emitir una orden de recuperación de conformidad con el artículo 52, apartado 5, del Reglamento Interreg de la CTE cuando la corrección ya haya sido aplicada por los Estados miembros.</w:t>
      </w:r>
    </w:p>
    <w:p w:rsidR="001C6219" w:rsidRDefault="001C6219" w:rsidP="001C6219"/>
    <w:p w:rsidR="001C6219" w:rsidRDefault="001C6219" w:rsidP="001C6219">
      <w:pPr>
        <w:pStyle w:val="P68B1DB1-Normal1"/>
      </w:pPr>
      <w:r>
        <w:t>Respuesta.</w:t>
      </w:r>
    </w:p>
    <w:p w:rsidR="001C6219" w:rsidRDefault="001C6219" w:rsidP="001C6219">
      <w:r>
        <w:t>Es importante distinguir dos procedimientos distintos: </w:t>
      </w:r>
    </w:p>
    <w:p w:rsidR="001C6219" w:rsidRDefault="001C6219" w:rsidP="001C6219">
      <w:pPr>
        <w:numPr>
          <w:ilvl w:val="0"/>
          <w:numId w:val="127"/>
        </w:numPr>
      </w:pPr>
      <w:r>
        <w:t>correcciones financieras llevadas a cabo por el Estado miembro que acoge a la AG del programa Interreg tras identificar los gastos irregulares sobre la base del artículo 98, apartado 6, letra a), del RDC y del artículo 103 del RDC;</w:t>
      </w:r>
    </w:p>
    <w:p w:rsidR="001C6219" w:rsidRDefault="001C6219" w:rsidP="001C6219">
      <w:pPr>
        <w:numPr>
          <w:ilvl w:val="0"/>
          <w:numId w:val="127"/>
        </w:numPr>
      </w:pPr>
      <w:r>
        <w:t>las órdenes de ingreso emitidas en el marco del procedimiento de examen de las cuentas, cuando la Comisión determine el importe con cargo a los Fondos para el ejercicio contable y los consiguientes ajustes en relación con los pagos al Estado miembro que acoge a la AG sobre la base del artículo 100 del RDC.</w:t>
      </w:r>
    </w:p>
    <w:p w:rsidR="001C6219" w:rsidRDefault="001C6219" w:rsidP="001C6219">
      <w:r>
        <w:t>El Estado miembro que acoge a la AG, tras identificar los gastos irregulares, debe aplicar correcciones financieras de conformidad con el artículo 103 del RDC y retirar los importes irregulares de la solicitud de pago intermedio, tal como se establece en el artículo 98, apartado 3, letra b), del RDC, o, a más tardar, deducir dichos importes de las cuentas de conformidad con el artículo 98, apartado 6, letra a), del RDC.</w:t>
      </w:r>
    </w:p>
    <w:p w:rsidR="001C6219" w:rsidRDefault="001C6219" w:rsidP="001C6219">
      <w:r>
        <w:t>Cuando, como resultado del examen de las cuentas, se determine el importe a cargo de los Fondos para el ejercicio contable, la Comisión aplicará los ajustes consiguientes en relación con los pagos efectuados al Estado miembro para equilibrar las cuentas. A tal fin, la Comisión emitirá una orden de recuperación sobre la base del artículo 100, apartado 2, del RDC ejecutada, cuando sea posible, mediante compensación con los importes adeudados al Estado miembro que acoge a la AG en pagos posteriores al mismo programa Interreg.</w:t>
      </w:r>
    </w:p>
    <w:p w:rsidR="001C6219" w:rsidRDefault="001C6219" w:rsidP="001C6219">
      <w:r>
        <w:lastRenderedPageBreak/>
        <w:t>Es importante señalar que dichas órdenes de ingreso no constituyen correcciones financieras por parte de la Comisión sobre la base del artículo 104 del RDC y no reducen la ayuda de los Fondos al programa Interreg.</w:t>
      </w:r>
    </w:p>
    <w:p w:rsidR="001C6219" w:rsidRDefault="001C6219" w:rsidP="001C6219">
      <w:r>
        <w:t>El artículo 52 del Reglamento Interreg prevé importantes ajustes de procedimiento destinados a establecer una cadena clara de responsabilidad financiera en relación con la recuperación por irregularidades, teniendo especialmente en cuenta la situación en la que el socio principal o único está situado en un país distinto del Estado miembro en el que se encuentra la AG.  </w:t>
      </w:r>
    </w:p>
    <w:p w:rsidR="001C6219" w:rsidRDefault="001C6219" w:rsidP="001C6219">
      <w:r>
        <w:t xml:space="preserve">Sobre la base del ejemplo facilitado, si el gasto irregular de 100 000 EUR estuviera presente en una solicitud de </w:t>
      </w:r>
      <w:r w:rsidR="005F6434">
        <w:t>pago,</w:t>
      </w:r>
      <w:r>
        <w:t xml:space="preserve"> pero posteriormente se dedujera en las cuentas, de </w:t>
      </w:r>
      <w:r w:rsidR="005F6434">
        <w:t>hecho,</w:t>
      </w:r>
      <w:r>
        <w:t xml:space="preserve"> daría lugar a un importe que habría que recuperar. Este importe se recuperaría en el contexto del saldo anual de las cuentas determinando el importe con cargo a los Fondos para el ejercicio contable y el consiguiente ajuste en relación con los pagos al Estado miembro que acoge la AG. La Comisión no emitiría otra orden de recuperación sobre la base del artículo 52, apartado 5, del Reglamento Interreg para el mismo gasto que los intereses financieros del presupuesto de la UE ya se habrían garantizado mediante la aplicación del artículo 100 del RDC.  No puede haber una doble recuperación de los mismos gastos.</w:t>
      </w:r>
    </w:p>
    <w:p w:rsidR="001C6219" w:rsidRDefault="001C6219" w:rsidP="001C6219"/>
    <w:p w:rsidR="001C6219" w:rsidRDefault="001C6219" w:rsidP="001C6219">
      <w:r>
        <w:t>En conclusión, la Comisión Europea no recuperará dos veces el mismo importe irregular hacia la AG del programa Interreg.</w:t>
      </w:r>
    </w:p>
    <w:p w:rsidR="001C6219" w:rsidRDefault="001C6219" w:rsidP="001C6219"/>
    <w:p w:rsidR="001C6219" w:rsidRDefault="001C6219" w:rsidP="001C6219"/>
    <w:p w:rsidR="001C6219" w:rsidRDefault="001C6219" w:rsidP="001C6219">
      <w:pPr>
        <w:pStyle w:val="Ttulo1"/>
      </w:pPr>
      <w:bookmarkStart w:id="249" w:name="scroll-bookmark-269"/>
      <w:bookmarkStart w:id="250" w:name="scroll-bookmark-270"/>
      <w:bookmarkEnd w:id="249"/>
      <w:r>
        <w:t>QA00140 — Programación del DLP en el FSE</w:t>
      </w:r>
      <w:bookmarkEnd w:id="250"/>
    </w:p>
    <w:p w:rsidR="001C6219" w:rsidRDefault="001C6219" w:rsidP="001C6219">
      <w:r>
        <w:rPr>
          <w:noProof/>
          <w:lang w:val="es-ES"/>
        </w:rPr>
        <w:drawing>
          <wp:inline distT="0" distB="0" distL="0" distR="0" wp14:anchorId="6501AD0A" wp14:editId="0C584342">
            <wp:extent cx="152435" cy="152435"/>
            <wp:effectExtent l="0" t="0" r="0" b="0"/>
            <wp:docPr id="100503" name="Imagen 1005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34 (1) del RDC</w:t>
      </w:r>
    </w:p>
    <w:p w:rsidR="001C6219" w:rsidRDefault="001C6219" w:rsidP="001C6219">
      <w:r>
        <w:rPr>
          <w:noProof/>
          <w:lang w:val="es-ES"/>
        </w:rPr>
        <w:drawing>
          <wp:inline distT="0" distB="0" distL="0" distR="0" wp14:anchorId="311900A9" wp14:editId="273B2A63">
            <wp:extent cx="152435" cy="152435"/>
            <wp:effectExtent l="0" t="0" r="0" b="0"/>
            <wp:docPr id="100505" name="Imagen 1005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rPr>
          <w:u w:val="single"/>
        </w:rPr>
        <w:t>Las autoridades han programado en el marco del objetivo específico (K) del FSE +</w:t>
      </w:r>
      <w:r>
        <w:t xml:space="preserve"> (mejorar el acceso equitativo y oportuno a servicios de calidad, sostenibles y asequibles, incluidos los servicios que promueven el acceso a la vivienda y los cuidados centrados en las personas, incluida la asistencia sanitaria; modernizar los sistemas de protección social, también fomentando el acceso a la protección social, con especial atención a los menores y los grupos desfavorecidos; mejorar la accesibilidad, también para las personas con discapacidad, de la eficacia y la resiliencia de los sistemas sanitarios y los servicios de cuidados de larga duración) </w:t>
      </w:r>
      <w:r>
        <w:rPr>
          <w:u w:val="single"/>
        </w:rPr>
        <w:t>las siguientes actividades para los GAL urbanos:</w:t>
      </w:r>
    </w:p>
    <w:p w:rsidR="001C6219" w:rsidRDefault="001C6219" w:rsidP="001C6219">
      <w:r>
        <w:t>a) apoyo preparatorio para el desarrollo de estrategias urbanas locales (art. 34 (1) RDC);</w:t>
      </w:r>
    </w:p>
    <w:p w:rsidR="001C6219" w:rsidRDefault="001C6219" w:rsidP="001C6219">
      <w:r>
        <w:lastRenderedPageBreak/>
        <w:t>b) apoyo preparatorio para la cooperación nacional y transnacional entre los GAL y otros agentes;</w:t>
      </w:r>
    </w:p>
    <w:p w:rsidR="001C6219" w:rsidRDefault="001C6219" w:rsidP="001C6219">
      <w:r>
        <w:t>C) el apoyo al funcionamiento, la gestión y la evaluación (estudios de impacto) de los GAL urbanos, tal como se establece en el artículo 34, apartado 1, letras a) y c), del RDC.</w:t>
      </w:r>
    </w:p>
    <w:p w:rsidR="001C6219" w:rsidRDefault="001C6219" w:rsidP="001C6219">
      <w:r>
        <w:t>Esto también incluye actividades de cooperación entre los GAL para reforzar los vínculos entre las zonas urbanas y rurales.</w:t>
      </w:r>
    </w:p>
    <w:p w:rsidR="001C6219" w:rsidRDefault="001C6219" w:rsidP="001C6219">
      <w:r>
        <w:t>Las estrategias urbanas locales en el marco del DLP en Rumanía se financian tanto con cargo al FSE + como al FEDER.</w:t>
      </w:r>
    </w:p>
    <w:p w:rsidR="001C6219" w:rsidRDefault="001C6219" w:rsidP="001C6219">
      <w:r>
        <w:t>En este contexto, le agradeceríamos que nos asesorara sobre las siguientes preguntas:</w:t>
      </w:r>
    </w:p>
    <w:p w:rsidR="001C6219" w:rsidRDefault="001C6219" w:rsidP="001C6219">
      <w:pPr>
        <w:numPr>
          <w:ilvl w:val="0"/>
          <w:numId w:val="128"/>
        </w:numPr>
      </w:pPr>
      <w:r>
        <w:t>¿Solo el FSE + puede financiar las actividades mencionadas a pesar de que las estrategias urbanas locales se financian tanto con cargo al FEDER como al FSE +?</w:t>
      </w:r>
    </w:p>
    <w:p w:rsidR="001C6219" w:rsidRDefault="001C6219" w:rsidP="001C6219">
      <w:pPr>
        <w:numPr>
          <w:ilvl w:val="0"/>
          <w:numId w:val="128"/>
        </w:numPr>
      </w:pPr>
      <w:r>
        <w:t>En caso negativo, ¿existe alguna posibilidad de que solo el FSE + pueda hacerlo (quizás en el marco de la asistencia técnica)?</w:t>
      </w:r>
    </w:p>
    <w:p w:rsidR="001C6219" w:rsidRDefault="001C6219" w:rsidP="001C6219">
      <w:pPr>
        <w:numPr>
          <w:ilvl w:val="0"/>
          <w:numId w:val="128"/>
        </w:numPr>
      </w:pPr>
      <w:r>
        <w:t>¿Está adecuadamente programada dicha asignación en el marco del objetivo específico k)?</w:t>
      </w:r>
    </w:p>
    <w:p w:rsidR="001C6219" w:rsidRDefault="001C6219" w:rsidP="001C6219">
      <w:pPr>
        <w:numPr>
          <w:ilvl w:val="0"/>
          <w:numId w:val="128"/>
        </w:numPr>
      </w:pPr>
      <w:r>
        <w:t>En caso negativo, ¿cuál sería el objetivo específico más pertinente para tales actividades que deben programarse o financiarse?</w:t>
      </w:r>
    </w:p>
    <w:p w:rsidR="001C6219" w:rsidRDefault="001C6219" w:rsidP="001C6219"/>
    <w:p w:rsidR="001C6219" w:rsidRDefault="001C6219" w:rsidP="001C6219">
      <w:pPr>
        <w:pStyle w:val="P68B1DB1-Normal1"/>
      </w:pPr>
      <w:r>
        <w:t>Respuesta.</w:t>
      </w:r>
    </w:p>
    <w:p w:rsidR="001C6219" w:rsidRDefault="001C6219" w:rsidP="001C6219">
      <w:r>
        <w:t xml:space="preserve">(1) Como se explica en la respuesta al </w:t>
      </w:r>
      <w:r w:rsidR="00F70C5D">
        <w:t>QA</w:t>
      </w:r>
      <w:r>
        <w:t xml:space="preserve">00058, cuando una estrategia de desarrollo local participativo (DLP) se financia con cargo a más de un Fondo, el artículo 31, apartado 3, del RDC permite a las autoridades de gestión pertinentes sufragar todos los costes de preparación, gestión y animación a que se refiere el artículo 34, apartado 1, letras a) a c), del RDC con cargo a un Fondo. Como se explica en la respuesta al </w:t>
      </w:r>
      <w:r w:rsidR="00F70C5D">
        <w:t>QA</w:t>
      </w:r>
      <w:r>
        <w:t>00052, la ayuda a que se refiere el artículo 34, apartado 1, letra c), del RDC no superará el 25 % de la contribución pública total a la estrategia de DLP.</w:t>
      </w:r>
    </w:p>
    <w:p w:rsidR="001C6219" w:rsidRDefault="001C6219" w:rsidP="001C6219">
      <w:r>
        <w:t>Cabe señalar que algunas de estas actividades, dentro del límite establecido en el artículo 34, apartado 2, del RDC, también pueden financiarse mediante asistencia técnica, por ejemplo, estudios de impacto y evaluaciones de estrategias de desarrollo local o DLP en su conjunto.</w:t>
      </w:r>
    </w:p>
    <w:p w:rsidR="001C6219" w:rsidRDefault="001C6219" w:rsidP="001C6219">
      <w:r>
        <w:t>(2) Véase el punto 1.</w:t>
      </w:r>
    </w:p>
    <w:p w:rsidR="001C6219" w:rsidRDefault="001C6219" w:rsidP="001C6219">
      <w:r>
        <w:t>3.El DLP y cualquier gasto relacionado podrán financiarse en el marco de cualquiera de los objetivos específicos del FSE + enumerados en el artículo 4, apartado 1, del Reglamento del FSE +, a excepción del objetivo específico m). Es responsabilidad de la autoridad de gestión definir la lógica de intervención del programa e incluir el DLP en el objetivo específico que mejor refleje la finalidad de la financiación. Por lo tanto, siempre que estas estrategias contribuyan al objetivo específico k), podrán recibir apoyo en el marco de dicho objetivo específico.</w:t>
      </w:r>
    </w:p>
    <w:p w:rsidR="001C6219" w:rsidRDefault="001C6219" w:rsidP="001C6219">
      <w:r>
        <w:t xml:space="preserve">Por lo que respecta al FEDER, existen posibilidades en el marco del objetivo político 4 vinculado al pilar social y del objetivo político 5 «Una Europa más cercana a los ciudadanos», en particular el objetivo específico 5.1, que se dedica a las estrategias </w:t>
      </w:r>
      <w:r>
        <w:lastRenderedPageBreak/>
        <w:t>urbanas integradas, incluidas las estrategias urbanas de DLP. Corresponde a la autoridad de gestión incluir una estrategia de DLP en el objetivo específico que mejor refleje la finalidad de la actividad prevista. </w:t>
      </w:r>
    </w:p>
    <w:p w:rsidR="001C6219" w:rsidRDefault="001C6219" w:rsidP="001C6219">
      <w:r>
        <w:t>(4) Véase el punto 3.</w:t>
      </w:r>
    </w:p>
    <w:p w:rsidR="001C6219" w:rsidRDefault="001C6219" w:rsidP="001C6219"/>
    <w:p w:rsidR="001C6219" w:rsidRDefault="001C6219" w:rsidP="001C6219"/>
    <w:p w:rsidR="001C6219" w:rsidRDefault="001C6219" w:rsidP="001C6219">
      <w:pPr>
        <w:pStyle w:val="Ttulo1"/>
      </w:pPr>
      <w:bookmarkStart w:id="251" w:name="scroll-bookmark-271"/>
      <w:bookmarkStart w:id="252" w:name="scroll-bookmark-272"/>
      <w:bookmarkEnd w:id="251"/>
      <w:r>
        <w:t>QA00141 — Apoyo a los instrumentos combinados</w:t>
      </w:r>
      <w:bookmarkEnd w:id="252"/>
    </w:p>
    <w:p w:rsidR="001C6219" w:rsidRDefault="001C6219" w:rsidP="001C6219">
      <w:r>
        <w:rPr>
          <w:noProof/>
          <w:lang w:val="es-ES"/>
        </w:rPr>
        <w:drawing>
          <wp:inline distT="0" distB="0" distL="0" distR="0" wp14:anchorId="23D5ED63" wp14:editId="6100A523">
            <wp:extent cx="152435" cy="152435"/>
            <wp:effectExtent l="0" t="0" r="0" b="0"/>
            <wp:docPr id="100507" name="Imagen 1005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del FTJ</w:t>
      </w:r>
    </w:p>
    <w:p w:rsidR="001C6219" w:rsidRDefault="001C6219" w:rsidP="001C6219">
      <w:r>
        <w:rPr>
          <w:noProof/>
          <w:lang w:val="es-ES"/>
        </w:rPr>
        <w:drawing>
          <wp:inline distT="0" distB="0" distL="0" distR="0" wp14:anchorId="70CC1610" wp14:editId="607768A9">
            <wp:extent cx="152435" cy="152435"/>
            <wp:effectExtent l="0" t="0" r="0" b="0"/>
            <wp:docPr id="100509" name="Imagen 1005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pStyle w:val="P68B1DB1-Normal1"/>
        <w:ind w:left="284"/>
      </w:pPr>
      <w:r>
        <w:t>1.</w:t>
      </w:r>
      <w:r w:rsidR="001313FA">
        <w:t xml:space="preserve"> </w:t>
      </w:r>
      <w:r>
        <w:t>¿pondrá en tela de juicio la Comisión Europea durante el proceso de verificación/auditoría de la forma en que las regiones gastan los fondos del FTJ el incumplimiento de las soluciones adoptadas para tipos similares de operaciones financiadas con fondos del FSE +?</w:t>
      </w:r>
    </w:p>
    <w:p w:rsidR="001C6219" w:rsidRDefault="001C6219" w:rsidP="001C6219">
      <w:pPr>
        <w:ind w:left="284"/>
      </w:pPr>
      <w:r>
        <w:t>Este fondo se creó específicamente para abordar los problemas de la transición. Puede suponerse que la naturaleza de las operaciones financiadas con cargo a sus recursos, en particular en el marco de las actividades a que se refiere el artículo 8, apartado 2, letra k-m), del Reglamento del FTJ, puede diferir de operaciones similares del FSE +.</w:t>
      </w:r>
    </w:p>
    <w:p w:rsidR="001C6219" w:rsidRDefault="001C6219" w:rsidP="001C6219">
      <w:pPr>
        <w:ind w:left="284"/>
      </w:pPr>
      <w:r>
        <w:t xml:space="preserve">(2) De conformidad con el Reglamento (UE) 2021/1056 del Parlamento Europeo y del Consejo, de 24 de junio de 2021, por el que se establece el Fondo de Transición Justa, una de las posibles acciones es aumentar y modificar las cualificaciones de los trabajadores y los solicitantes de empleo. En vista de lo anterior, y teniendo en cuenta las disposiciones sobre ayudas estatales, la autoridad de gestión de la región de Wielkopolska se dirigió a la Comisión preguntando </w:t>
      </w:r>
      <w:r>
        <w:rPr>
          <w:b/>
        </w:rPr>
        <w:t>si es posible financiar las siguientes operaciones con cargo a los fondos del Fondo de Transición Justa</w:t>
      </w:r>
      <w:r>
        <w:t>:</w:t>
      </w:r>
    </w:p>
    <w:p w:rsidR="001C6219" w:rsidRDefault="001C6219" w:rsidP="001C6219">
      <w:pPr>
        <w:numPr>
          <w:ilvl w:val="0"/>
          <w:numId w:val="129"/>
        </w:numPr>
      </w:pPr>
    </w:p>
    <w:p w:rsidR="001C6219" w:rsidRDefault="001C6219" w:rsidP="001C6219">
      <w:pPr>
        <w:numPr>
          <w:ilvl w:val="1"/>
          <w:numId w:val="130"/>
        </w:numPr>
      </w:pPr>
      <w:r>
        <w:t xml:space="preserve">el reciclaje profesional y la mejora de las capacidades de los empleados de una sociedad de cartera (la principal entidad en proceso de transformación, compuesta por varias empresas vinculadas, «sociedad matriz» y «empresas vinculadas») para satisfacer las necesidades de los nuevos ámbitos de actividad de la empresa. Debido al cierre de las actividades mineras, la sociedad de cartera, con el fin de cambiar su perfil empresarial a la producción de energía verde, necesitará empleados con cualificaciones diferentes a las de los empleados actuales. En interés de los trabajadores y de las administraciones locales, para evitar fenómenos sociales negativos, los actuales empleados de la sociedad holding serían </w:t>
      </w:r>
      <w:r>
        <w:lastRenderedPageBreak/>
        <w:t xml:space="preserve">considerados en primer lugar como personal para nuevas empresas. </w:t>
      </w:r>
      <w:r>
        <w:rPr>
          <w:b/>
        </w:rPr>
        <w:t>¿Es posible aplicar este tipo de ayuda del FTJ en lo que respecta a las disposiciones de los reglamentos de la Unión relativos a la perspectiva 2021-2027, incluido el Reglamento del FTJ y las disposiciones sobre ayudas estatales?</w:t>
      </w:r>
    </w:p>
    <w:p w:rsidR="001C6219" w:rsidRDefault="001C6219" w:rsidP="001C6219">
      <w:pPr>
        <w:numPr>
          <w:ilvl w:val="0"/>
          <w:numId w:val="131"/>
        </w:numPr>
      </w:pPr>
    </w:p>
    <w:p w:rsidR="001C6219" w:rsidRDefault="001C6219" w:rsidP="001C6219">
      <w:pPr>
        <w:numPr>
          <w:ilvl w:val="1"/>
          <w:numId w:val="132"/>
        </w:numPr>
      </w:pPr>
      <w:r>
        <w:rPr>
          <w:b/>
        </w:rPr>
        <w:t>Si existe una empresa que opera dentro de la sociedad de cartera (por ejemplo, que opera en el ámbito de las fuentes de energía renovables), tiene la intención de contratar a empleados previamente empleados en una empresa vinculada (por ejemplo, en una mina; la relación «empresa matriz» — «empresa filial» o «sociedad filial» — «empresa filial»), ¿es posible apoyar las actividades de reciclaje profesional del FTJ?</w:t>
      </w:r>
      <w:r>
        <w:t xml:space="preserve"> En tal caso, ¿se mantendrá el principio de exclusión de cualquier relación entre las acciones en favor de los trabajadores y el beneficio que podría obtener el empresario que despidió al trabajador? En tal situación, ¿el propósito y el alcance de elevar o modificar las cualificaciones no se corresponderán con las necesidades específicas de una empresa determinada, sino únicamente con las necesidades del trabajador despedido de conformidad con las exigencias del mercado laboral regional, lo que significa que no habrá ayuda estatal? O la finalidad y el alcance de la mejora o modificación de las cualificaciones se corresponderán con las necesidades específicas de una empresa determinada, lo que equivaldrá al hecho de que se producirá ayuda estatal para una empresa determinada?</w:t>
      </w:r>
    </w:p>
    <w:p w:rsidR="001C6219" w:rsidRDefault="001C6219" w:rsidP="001C6219"/>
    <w:p w:rsidR="001C6219" w:rsidRDefault="001C6219" w:rsidP="001C6219"/>
    <w:p w:rsidR="001C6219" w:rsidRDefault="001C6219" w:rsidP="001C6219">
      <w:pPr>
        <w:pStyle w:val="P68B1DB1-Normal1"/>
      </w:pPr>
      <w:r>
        <w:t>Respuesta.</w:t>
      </w:r>
    </w:p>
    <w:p w:rsidR="001C6219" w:rsidRDefault="001C6219" w:rsidP="001C6219">
      <w:r>
        <w:t>1.Las acciones llevadas a cabo en el marco del FTJ, en primer lugar, deben contribuir al objetivo único específico del FTJ (artículo 2 del Reglamento del FTJ), encajar en el ámbito de la ayuda establecido en el artículo 8 del Reglamento (UE) 2021/1056 (Reglamento del FTJ) y ayudar a ejecutar el correspondiente Plan Territorial de Transición Justa.</w:t>
      </w:r>
    </w:p>
    <w:p w:rsidR="001C6219" w:rsidRDefault="001C6219" w:rsidP="001C6219">
      <w:r>
        <w:t>Las acciones del FTJ pueden llevarse a cabo de forma diferente a las medidas similares desarrolladas en el marco del FSE +, siempre que su ejecución se ajuste plenamente al marco jurídico establecido por el Reglamento (UE) 2021/1060 (Reglamento sobre disposiciones comunes) y el Reglamento del FTJ.</w:t>
      </w:r>
    </w:p>
    <w:p w:rsidR="001C6219" w:rsidRDefault="001C6219" w:rsidP="001C6219">
      <w:r>
        <w:t>(2) Sobre la base de la información facilitada, es difícil determinar si dicha operación puede ejecutarse en el marco del FTJ.</w:t>
      </w:r>
    </w:p>
    <w:p w:rsidR="001C6219" w:rsidRDefault="001C6219" w:rsidP="001C6219">
      <w:r>
        <w:t>Además de las condiciones ya mencionadas en la respuesta 1, cualquier acción destinada a mejorar las capacidades y el reciclaje profesional (incluida la formación) debe dirigirse principalmente a los trabajadores afectados por la transición, independientemente de que sigan estando empleados o hayan perdido su puesto de trabajo debido a la transición, en lugar de dirigirse a empresas específicas y a sus necesidades y prioridades.</w:t>
      </w:r>
    </w:p>
    <w:p w:rsidR="001C6219" w:rsidRDefault="001C6219" w:rsidP="001C6219">
      <w:r>
        <w:lastRenderedPageBreak/>
        <w:t>Las medidas diseñadas en el programa de apoyo del FTJ deben ser coherentes con las necesidades de recalificación, tal como se detalla en la sección 2.1 del plan territorial de transición justa.</w:t>
      </w:r>
    </w:p>
    <w:p w:rsidR="001C6219" w:rsidRDefault="001C6219" w:rsidP="001C6219">
      <w:r>
        <w:t>Por lo que se refiere a las ayudas estatales, el considerando (16) del Reglamento del FTJ recuerda que el apoyo del FTJ a las empresas debe cumplir las normas sobre ayudas estatales de la Unión establecidas en los artículos 107 y 108 del TFUE. Es responsabilidad de los Estados miembros garantizar el cumplimiento de las normas sobre ayudas estatales. En caso de que la medida pueda considerarse ayuda estatal y, dependiendo de las características específicas del proyecto, puede haber varios motivos de compatibilidad, por ejemplo, en virtud de las Directrices sobre ayudas a la formación, las Directrices sobre ayudas de finalidad regional, las Directrices sobre clima, energía y medio ambiente o las partes correspondientes del RGEC.</w:t>
      </w:r>
    </w:p>
    <w:p w:rsidR="001C6219" w:rsidRDefault="001C6219" w:rsidP="001C6219">
      <w:r>
        <w:t>Suponiendo que se cumplan todas las condiciones mencionadas anteriormente, pueden ser subvencionables los gastos efectuados y pagados en la ejecución de las operaciones que beneficien a los empleados que, en última instancia, no hayan perdido empleo.</w:t>
      </w:r>
    </w:p>
    <w:p w:rsidR="001C6219" w:rsidRDefault="001C6219" w:rsidP="001C6219"/>
    <w:p w:rsidR="001C6219" w:rsidRDefault="001C6219" w:rsidP="001C6219"/>
    <w:p w:rsidR="001C6219" w:rsidRDefault="001C6219" w:rsidP="001C6219">
      <w:pPr>
        <w:pStyle w:val="Ttulo1"/>
      </w:pPr>
      <w:bookmarkStart w:id="253" w:name="scroll-bookmark-273"/>
      <w:bookmarkStart w:id="254" w:name="scroll-bookmark-274"/>
      <w:bookmarkEnd w:id="253"/>
      <w:r>
        <w:t>QA00142 — Aplicabilidad del artículo 36, apartado 2, del RDC sobre la asistencia técnica al FTJ</w:t>
      </w:r>
      <w:bookmarkEnd w:id="254"/>
    </w:p>
    <w:p w:rsidR="001C6219" w:rsidRDefault="001C6219" w:rsidP="001C6219">
      <w:r>
        <w:rPr>
          <w:noProof/>
          <w:lang w:val="es-ES"/>
        </w:rPr>
        <w:drawing>
          <wp:inline distT="0" distB="0" distL="0" distR="0" wp14:anchorId="5FF6F72E" wp14:editId="20758D1C">
            <wp:extent cx="152435" cy="152435"/>
            <wp:effectExtent l="0" t="0" r="0" b="0"/>
            <wp:docPr id="100511" name="Imagen 1005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1C6219" w:rsidRDefault="001C6219" w:rsidP="001C6219">
      <w:r>
        <w:t>Artículo 36.2 del RDC</w:t>
      </w:r>
    </w:p>
    <w:p w:rsidR="001C6219" w:rsidRDefault="001C6219" w:rsidP="001C6219">
      <w:r>
        <w:t>Artículo 8 del FTJ</w:t>
      </w:r>
    </w:p>
    <w:p w:rsidR="001C6219" w:rsidRDefault="001C6219" w:rsidP="001C6219">
      <w:r>
        <w:rPr>
          <w:noProof/>
          <w:lang w:val="es-ES"/>
        </w:rPr>
        <w:drawing>
          <wp:inline distT="0" distB="0" distL="0" distR="0" wp14:anchorId="58B32624" wp14:editId="6BCB0B0B">
            <wp:extent cx="152435" cy="152435"/>
            <wp:effectExtent l="0" t="0" r="0" b="0"/>
            <wp:docPr id="100513" name="Imagen 1005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Casi toda la región NUTS 2 de Silesia (PL), excepto una subregión NUTS 3, fue identificada por los servicios de la Comisión como elegible para la ayuda del Fondo de Transición Justa. El FTJ se programará</w:t>
      </w:r>
      <w:r>
        <w:rPr>
          <w:b/>
        </w:rPr>
        <w:t xml:space="preserve"> </w:t>
      </w:r>
      <w:r>
        <w:t xml:space="preserve">a nivel de la región, por lo que el programa regional incluirá una prioridad pertinente dedicada al objetivo específico del FTJ. Las medidas del FTJ serán ejecutadas por las mismas entidades que en el caso del FEDER/FSE +. La autoridad de gestión señaló la necesidad de incluir en el programa una prioridad separada de asistencia técnica para el FTJ. De conformidad con el artículo 36, apartado 2, del RDC, cada Fondo podrá apoyar acciones de asistencia técnica subvencionables en el marco de cualquiera de los demás Fondos. </w:t>
      </w:r>
      <w:r>
        <w:rPr>
          <w:b/>
        </w:rPr>
        <w:t xml:space="preserve">¿Puede confirmarse entonces que el artículo 36, apartado 2, del RDC se aplica también a la asistencia técnica financiada en el marco del FTJ? ¿Puede la AG apoyar en una secuencia temporal operaciones similares y las mismas entidades, en primer lugar, mediante recursos de asistencia técnica del FTJ y, </w:t>
      </w:r>
      <w:r>
        <w:rPr>
          <w:b/>
        </w:rPr>
        <w:lastRenderedPageBreak/>
        <w:t>a continuación, mediante asistencia técnica FEDER/FSE (u otra vía), evitando al mismo tiempo la doble financiación?</w:t>
      </w:r>
    </w:p>
    <w:p w:rsidR="001C6219" w:rsidRDefault="001C6219" w:rsidP="001C6219"/>
    <w:p w:rsidR="001C6219" w:rsidRDefault="001C6219" w:rsidP="001C6219">
      <w:pPr>
        <w:pStyle w:val="P68B1DB1-Normal1"/>
      </w:pPr>
      <w:r>
        <w:t>Respuesta.</w:t>
      </w:r>
    </w:p>
    <w:p w:rsidR="001C6219" w:rsidRDefault="001C6219" w:rsidP="001C6219">
      <w:r>
        <w:t>Entre los Reglamentos específicos de cada Fondo, el FTJ contiene normas específicas relativas al apoyo a actividades relacionadas con la asistencia técnica. De conformidad con el artículo 1, apartado 6, del RDC, estas normas complementan y matizan las normas generales del RDC (artículo 36), incluida la flexibilidad prevista en el artículo 36, apartado 2, del RDC:</w:t>
      </w:r>
    </w:p>
    <w:p w:rsidR="001C6219" w:rsidRDefault="001C6219" w:rsidP="001C6219">
      <w:pPr>
        <w:numPr>
          <w:ilvl w:val="0"/>
          <w:numId w:val="133"/>
        </w:numPr>
      </w:pPr>
      <w:r>
        <w:t>De conformidad con el artículo 8, apartado 2, letra n), del Reglamento del FTJ, las acciones de asistencia técnica son subvencionables en el marco del FTJ.</w:t>
      </w:r>
    </w:p>
    <w:p w:rsidR="001C6219" w:rsidRDefault="001C6219" w:rsidP="001C6219">
      <w:pPr>
        <w:numPr>
          <w:ilvl w:val="0"/>
          <w:numId w:val="133"/>
        </w:numPr>
      </w:pPr>
      <w:r>
        <w:t>Además, de conformidad con el artículo 8, apartado 1, del Reglamento del FTJ, este solo debe apoyar actividades directamente relacionadas con su objetivo específico, tal como se establece en el artículo 2, y que contribuyan a la ejecución de los planes territoriales de transición justa.</w:t>
      </w:r>
    </w:p>
    <w:p w:rsidR="001C6219" w:rsidRDefault="001C6219" w:rsidP="001C6219">
      <w:r>
        <w:t>El FTJ también podrá apoyar acciones de asistencia técnica subvencionables en el marco de cualquiera de los demás Fondos, tal como permite el artículo 36, apartado 2, del RDC. Sin embargo, en este caso, para garantizar el pleno cumplimiento del artículo 8, apartado 1, del Reglamento del FTJ, dado que especifica las condiciones en las que el FTJ puede apoyar las actividades de asistencia técnica, un Estado miembro tendría que demostrar que dichas acciones están directamente relacionadas con el objetivo específico del FTJ y también benefician al mismo y contribuyen a la ejecución del plan territorial de transición justa pertinente. Los ejemplos de medidas subvencionables pueden incluir sistemas de gestión y control o herramientas web de información y comunicación que sean comunes al FTJ y a otros Fondos en el marco de un programa multifondo.</w:t>
      </w:r>
    </w:p>
    <w:p w:rsidR="001C6219" w:rsidRDefault="001C6219" w:rsidP="001C6219">
      <w:r>
        <w:t>Debido a una norma específica establecida en el Reglamento del FTJ, una medida de asistencia técnica que no contribuya en absoluto al objetivo específico del FTJ debe incluirse en una prioridad de asistencia técnica apoyada por otro Fondo.</w:t>
      </w:r>
    </w:p>
    <w:p w:rsidR="001C6219" w:rsidRDefault="001C6219" w:rsidP="001C6219">
      <w:r>
        <w:t xml:space="preserve">En cualquier caso, el Estado miembro debe evitar la duplicación de costes y eliminar el riesgo de doble financiación en consonancia con una buena gestión financiera. El enfoque propuesto para un apoyo </w:t>
      </w:r>
      <w:r>
        <w:rPr>
          <w:u w:val="single"/>
        </w:rPr>
        <w:t>secuencial</w:t>
      </w:r>
      <w:r>
        <w:t xml:space="preserve"> para el mismo tipo de medida, recibido primero de la asistencia técnica del FTJ y posteriormente de la asistencia técnica de otros Fondos, garantizaría la ausencia de doble declaración y doble financiación del mismo gasto.</w:t>
      </w:r>
    </w:p>
    <w:p w:rsidR="001C6219" w:rsidRDefault="001C6219" w:rsidP="001C6219"/>
    <w:p w:rsidR="001C6219" w:rsidRDefault="001C6219" w:rsidP="001C6219"/>
    <w:p w:rsidR="001C6219" w:rsidRDefault="001C6219" w:rsidP="001C6219">
      <w:pPr>
        <w:pStyle w:val="Ttulo1"/>
      </w:pPr>
      <w:bookmarkStart w:id="255" w:name="scroll-bookmark-275"/>
      <w:bookmarkStart w:id="256" w:name="scroll-bookmark-276"/>
      <w:bookmarkEnd w:id="255"/>
      <w:r>
        <w:t>QA00144 — OCS en operaciones sujetas a ayudas de minimis</w:t>
      </w:r>
      <w:bookmarkEnd w:id="256"/>
    </w:p>
    <w:p w:rsidR="001C6219" w:rsidRDefault="001C6219" w:rsidP="001C6219">
      <w:r>
        <w:rPr>
          <w:noProof/>
          <w:lang w:val="es-ES"/>
        </w:rPr>
        <w:drawing>
          <wp:inline distT="0" distB="0" distL="0" distR="0" wp14:anchorId="67738846" wp14:editId="563FD931">
            <wp:extent cx="152435" cy="152435"/>
            <wp:effectExtent l="0" t="0" r="0" b="0"/>
            <wp:docPr id="100515" name="Imagen 1005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53 (2) del RDC</w:t>
      </w:r>
    </w:p>
    <w:p w:rsidR="001C6219" w:rsidRDefault="001C6219" w:rsidP="001C6219">
      <w:r>
        <w:rPr>
          <w:noProof/>
          <w:lang w:val="es-ES"/>
        </w:rPr>
        <w:lastRenderedPageBreak/>
        <w:drawing>
          <wp:inline distT="0" distB="0" distL="0" distR="0" wp14:anchorId="6A7C1EFD" wp14:editId="36BDC938">
            <wp:extent cx="152435" cy="152435"/>
            <wp:effectExtent l="0" t="0" r="0" b="0"/>
            <wp:docPr id="100517" name="Imagen 1005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De conformidad con el artículo 53 (2) del RDC, existe la obligación de utilizar OCS para operaciones con un coste total de hasta 200,000 EUR. Esta condición se aplica a los proyectos ejecutados fuera del ámbito de las ayudas estatales, así como a los proyectos sujetos a ayudas de minimis.</w:t>
      </w:r>
    </w:p>
    <w:p w:rsidR="001C6219" w:rsidRDefault="001C6219" w:rsidP="001C6219">
      <w:r>
        <w:t>¿Se entiende por «ayudas de minimis» todos los reglamentos de minimis, es decir, todos los regímenes de minimis (incluido, por ejemplo, el Reglamento (UE) n.º 360/2012 por el que se establecen las ayudas de minimis concedidas a empresas que prestan servicios de interés económico general), o solo el Reglamento (UE) n.º 1407/2013 de la Comisión, de 18 de diciembre de 2013, relativo a la aplicación de los artículos 107 y 108 del Tratado de Funcionamiento de la Unión Europea a las ayudas de minimis?</w:t>
      </w:r>
    </w:p>
    <w:p w:rsidR="001C6219" w:rsidRDefault="001C6219" w:rsidP="001C6219"/>
    <w:p w:rsidR="001C6219" w:rsidRDefault="001C6219" w:rsidP="001C6219">
      <w:pPr>
        <w:pStyle w:val="P68B1DB1-Normal1"/>
      </w:pPr>
      <w:r>
        <w:t>Respuesta.</w:t>
      </w:r>
    </w:p>
    <w:p w:rsidR="001C6219" w:rsidRDefault="001C6219" w:rsidP="001C6219">
      <w:r>
        <w:t xml:space="preserve">De conformidad con el artículo 53, apartado 2, del RDC, cuando el coste total de una operación no supere los 200 000 EUR, la contribución proporcionada al beneficiario por el FEDER, el FSE +, el FTJ, el FAMI, el FSI y el IGFV adoptará la forma de costes unitarios, sumas a tanto alzado o tipos fijos, excepto en el caso de las operaciones en las que la ayuda constituya ayuda estatal. En virtud del Reglamento (CE) n.º 994/98, el Consejo decidió, de conformidad con el artículo 109 del Tratado, que se considera que las ayudas de </w:t>
      </w:r>
      <w:r>
        <w:rPr>
          <w:i/>
        </w:rPr>
        <w:t>minimis</w:t>
      </w:r>
      <w:r>
        <w:t xml:space="preserve"> que constituyen ayudas concedidas a una única empresa durante un período de tiempo determinado y que no superan un determinado importe fijo no cumplen todos los criterios establecidos en el artículo 107, apartado 1, y, por tanto, no se consideran ayudas estatales. Por lo tanto</w:t>
      </w:r>
      <w:r>
        <w:rPr>
          <w:b/>
        </w:rPr>
        <w:t xml:space="preserve">, </w:t>
      </w:r>
      <w:r>
        <w:t>dado que las</w:t>
      </w:r>
      <w:r>
        <w:rPr>
          <w:b/>
        </w:rPr>
        <w:t xml:space="preserve"> </w:t>
      </w:r>
      <w:r>
        <w:t>operaciones sujetas a ayudas de minimis no se consideran ayudas estatales, no están exentas del uso obligatorio de OCS establecido en el artículo 53, apartado 2, del RDC, independientemente del Reglamento de minimis que se aplique en un caso concreto. Comprende:</w:t>
      </w:r>
    </w:p>
    <w:p w:rsidR="001C6219" w:rsidRDefault="001C6219" w:rsidP="001C6219">
      <w:pPr>
        <w:numPr>
          <w:ilvl w:val="0"/>
          <w:numId w:val="134"/>
        </w:numPr>
      </w:pPr>
      <w:r>
        <w:t>Reglamento (UE) n.º 1407/2013 de la Comisión relativo a la aplicación de los artículos 107 y 108 del Tratado de Funcionamiento de la Unión Europea a las ayudas de minimis;</w:t>
      </w:r>
    </w:p>
    <w:p w:rsidR="001C6219" w:rsidRDefault="001C6219" w:rsidP="001C6219">
      <w:pPr>
        <w:numPr>
          <w:ilvl w:val="0"/>
          <w:numId w:val="134"/>
        </w:numPr>
      </w:pPr>
      <w:r>
        <w:t>Reglamento (UE) n.º 1408/2013 de la Comisión — ayudas de minimis en el sector agrícola;</w:t>
      </w:r>
    </w:p>
    <w:p w:rsidR="001C6219" w:rsidRDefault="001C6219" w:rsidP="001C6219">
      <w:pPr>
        <w:numPr>
          <w:ilvl w:val="0"/>
          <w:numId w:val="134"/>
        </w:numPr>
      </w:pPr>
      <w:r>
        <w:t>Reglamento (UE) n.º 717/2014 de la Comisión — ayudas de minimis en el sector de la pesca y la acuicultura;</w:t>
      </w:r>
    </w:p>
    <w:p w:rsidR="001C6219" w:rsidRDefault="001C6219" w:rsidP="001C6219">
      <w:pPr>
        <w:numPr>
          <w:ilvl w:val="0"/>
          <w:numId w:val="134"/>
        </w:numPr>
      </w:pPr>
      <w:r>
        <w:t>Reglamento (UE) n.º 360/2012 de la Comisión — ayudas de minimis concedidas a empresas que prestan servicios de interés económico general.</w:t>
      </w:r>
    </w:p>
    <w:p w:rsidR="001C6219" w:rsidRDefault="001C6219" w:rsidP="001C6219"/>
    <w:p w:rsidR="001C6219" w:rsidRDefault="001C6219" w:rsidP="001C6219"/>
    <w:p w:rsidR="001C6219" w:rsidRDefault="001C6219" w:rsidP="001C6219">
      <w:pPr>
        <w:pStyle w:val="Ttulo1"/>
      </w:pPr>
      <w:bookmarkStart w:id="257" w:name="scroll-bookmark-277"/>
      <w:bookmarkStart w:id="258" w:name="scroll-bookmark-278"/>
      <w:bookmarkEnd w:id="257"/>
      <w:r>
        <w:lastRenderedPageBreak/>
        <w:t>QA00145 — Exclusión de los combustibles fósiles (esquisto bituminoso como ceniza heredada de esquisto bituminoso y no combustible)</w:t>
      </w:r>
      <w:bookmarkEnd w:id="258"/>
    </w:p>
    <w:p w:rsidR="001C6219" w:rsidRDefault="001C6219" w:rsidP="001C6219">
      <w:r>
        <w:rPr>
          <w:noProof/>
          <w:lang w:val="es-ES"/>
        </w:rPr>
        <w:drawing>
          <wp:inline distT="0" distB="0" distL="0" distR="0" wp14:anchorId="29DD461B" wp14:editId="28D74EB4">
            <wp:extent cx="152435" cy="152435"/>
            <wp:effectExtent l="0" t="0" r="0" b="0"/>
            <wp:docPr id="100519" name="Imagen 1005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8 y artículo 9 del FTJ</w:t>
      </w:r>
    </w:p>
    <w:p w:rsidR="001C6219" w:rsidRDefault="001C6219" w:rsidP="001C6219">
      <w:r>
        <w:rPr>
          <w:noProof/>
          <w:lang w:val="es-ES"/>
        </w:rPr>
        <w:drawing>
          <wp:inline distT="0" distB="0" distL="0" distR="0" wp14:anchorId="66F32183" wp14:editId="18597B6E">
            <wp:extent cx="152435" cy="152435"/>
            <wp:effectExtent l="0" t="0" r="0" b="0"/>
            <wp:docPr id="100521" name="Imagen 1005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primer lugar, por lo que respecta a la exclusión de los combustibles fósiles, en el Reglamento del FTJ se explica muy claramente que las inversiones relacionadas con los combustibles fósiles no pueden optar a ayudas a través del FTJ. Esto se entiende y es claro, y no lo estamos cuestionando.</w:t>
      </w:r>
    </w:p>
    <w:p w:rsidR="001C6219" w:rsidRDefault="001C6219" w:rsidP="001C6219">
      <w:r>
        <w:t>Sin embargo, lo que queremos aclarar es que no todos los combustibles fósiles pueden considerarse automáticamente combustibles. Un fósil es cualquier restos o rastros conservados de cualquier cosa que viva una sola vez a partir de una edad geológica pasada. Los combustibles fósiles son, de hecho, un subtipo de una categoría más amplia de combustibles fósiles, pero no todos son combustibles fósiles. Por ejemplo, el fosforita, una roca sedimentaria no perjudicial que contiene grandes cantidades de minerales fosfatados y se encuentra en grandes cantidades en Estonia. Es fósil, pero se utiliza casi en su totalidad para la producción de fertilizantes y complementos de alimentación animal, así como un agente de equilibrio para la producción de productos químicos industriales. No se utiliza ni puede utilizarse como combustible. Otro ejemplo podría ser el carbón: existe una diferencia entre el uso del carbón para la producción de energía o la producción de acero; en un caso, se trata de un combustible, en el otro (insumo para un proceso industrial), aunque es esencialmente el mismo fósil.</w:t>
      </w:r>
    </w:p>
    <w:p w:rsidR="001C6219" w:rsidRDefault="001C6219" w:rsidP="001C6219">
      <w:r>
        <w:t>El Reglamento del FTJ excluye expresamente los «combustibles fósiles», no los fósiles en general. En el documento de trabajo de los servicios de la Comisión también se afirma lo siguiente: «las inversiones en subproductos de combustibles fósiles o en los usos no energéticos de los combustibles fósiles (por ejemplo, subproductos del petróleo de esquisto o de cenizas de esquisto bituminoso) no son subvencionables cuando son técnicamente inseparables de la producción en curso del propio combustible fósil». Sin embargo, parece que, según la interpretación de la Comisión, incluso el uso de combustibles fósiles sin combustible (en el caso de Estonia, esquisto bituminoso), en procesos que no están técnicamente relacionados con la producción en curso de combustibles, quedaría excluido de la ayuda del FTJ.</w:t>
      </w:r>
    </w:p>
    <w:p w:rsidR="001C6219" w:rsidRDefault="001C6219" w:rsidP="001C6219">
      <w:r>
        <w:t>Es un hecho que el esquisto bituminoso puede utilizarse, y hasta ahora se ha utilizado principalmente, como combustible. Sin embargo, se trata solo de un uso de este material concreto. También puede utilizarse en procesos innovadores de producción de productos químicos que no tienen nada que ver con los combustibles.</w:t>
      </w:r>
    </w:p>
    <w:p w:rsidR="001C6219" w:rsidRDefault="001C6219" w:rsidP="001C6219">
      <w:r>
        <w:t>Por lo tanto, a lo largo de todo el proceso de preparación de nuestro plan territorial de transición justa, nuestra interpretación ha sido la siguiente:</w:t>
      </w:r>
    </w:p>
    <w:p w:rsidR="001C6219" w:rsidRDefault="001C6219" w:rsidP="001C6219">
      <w:r>
        <w:lastRenderedPageBreak/>
        <w:t>— Cuando la pizarra bituminosa se utilice como combustible (ya sea quemado para la producción de electricidad, pirolizado para la producción de petróleo de esquisto, gas de coque o cualquier otro tipo de combustible fósil), se considera que no puede optar a la financiación del FTJ. Esto está claro.</w:t>
      </w:r>
    </w:p>
    <w:p w:rsidR="001C6219" w:rsidRDefault="001C6219" w:rsidP="001C6219">
      <w:r>
        <w:t>— Cuando la pizarra bituminosa se utilice para la producción de sustancias químicas en un proceso separado e independiente de la producción en curso de combustibles fósiles, debe poder optar a la financiación del FTJ.</w:t>
      </w:r>
    </w:p>
    <w:p w:rsidR="001C6219" w:rsidRDefault="001C6219" w:rsidP="001C6219">
      <w:r>
        <w:t>¿Puede comentar si en este caso estamos interpretando correctamente o incorrectamente el texto del Reglamento del FTJ y del documento de trabajo de los servicios de la Comisión?</w:t>
      </w:r>
    </w:p>
    <w:p w:rsidR="001C6219" w:rsidRDefault="001C6219" w:rsidP="001C6219">
      <w:pPr>
        <w:pStyle w:val="P68B1DB1-Normal1"/>
      </w:pPr>
      <w:r>
        <w:t>Respuesta.</w:t>
      </w:r>
    </w:p>
    <w:p w:rsidR="001C6219" w:rsidRDefault="001C6219" w:rsidP="001C6219">
      <w:r>
        <w:t xml:space="preserve">Los combustibles fósiles son fuentes de energía no renovables basadas en el carbono, como los combustibles sólidos, el gas natural y el petróleo, tal como se definen en el artículo 2, apartado 62, del Reglamento sobre la gobernanza de la Unión de la Energía y de la Acción </w:t>
      </w:r>
      <w:r w:rsidR="001313FA">
        <w:t>por el</w:t>
      </w:r>
      <w:r>
        <w:t xml:space="preserve"> 11.12.2018]. El artículo 9, letra d), del Reglamento del FTJ excluye las ayudas relacionadas con la producción, la transformación, el transporte, la distribución, el almacenamiento o la combustión de combustibles fósiles, sin especificar el fin o el uso final. Incluye la transformación de combustibles fósiles, lo que significa que el FTJ no puede apoyar inversiones en la transformación de combustibles fósiles, incluidos el esquisto bituminoso y el petróleo de esquisto bituminoso tanto para combustibles como para productos no combustibles. </w:t>
      </w:r>
    </w:p>
    <w:p w:rsidR="001C6219" w:rsidRDefault="001C6219" w:rsidP="001C6219">
      <w:r>
        <w:t>Además, desde una perspectiva política, el FTJ no debe apoyar nuevas cadenas de valor basadas en combustibles fósiles, en particular porque contribuye en un 100 % a los objetivos en materia de cambio climático en el contexto del presupuesto de la UE.</w:t>
      </w:r>
    </w:p>
    <w:p w:rsidR="001C6219" w:rsidRDefault="001C6219" w:rsidP="001C6219">
      <w:r>
        <w:t>—</w:t>
      </w:r>
    </w:p>
    <w:p w:rsidR="001C6219" w:rsidRDefault="00FC0FB1" w:rsidP="001C6219">
      <w:hyperlink w:anchor="scroll-bookmark-280" w:history="1">
        <w:r w:rsidR="001C6219">
          <w:rPr>
            <w:rStyle w:val="Hipervnculo"/>
          </w:rPr>
          <w:t>[1]</w:t>
        </w:r>
      </w:hyperlink>
      <w:r w:rsidR="001C6219">
        <w:t xml:space="preserve"> En las estadísticas sobre energía, los combustibles fósiles abarcan: combustibles fósiles sólidos (carbón), gases manufacturados, turba y productos a base de turba, esquisto bituminoso y arenas bituminosas, petróleo y productos petrolíferos (excluidos los biocombustibles), gas natural y residuos no renovables. Véase httpson </w:t>
      </w:r>
      <w:hyperlink r:id="rId478" w:history="1">
        <w:r w:rsidR="001C6219">
          <w:rPr>
            <w:rStyle w:val="Hipervnculo"/>
          </w:rPr>
          <w:t>//ec.europa.eu/eurostat/statistics-explained/index.php?title=Glossary:Fossil_fuel</w:t>
        </w:r>
      </w:hyperlink>
    </w:p>
    <w:p w:rsidR="001C6219" w:rsidRDefault="001C6219" w:rsidP="001C6219">
      <w:pPr>
        <w:pStyle w:val="P68B1DB1-Normal1"/>
      </w:pPr>
      <w:r>
        <w:br/>
        <w:t>Pregunta 2 (incluidos los hechos e información pertinentes):</w:t>
      </w:r>
    </w:p>
    <w:p w:rsidR="001C6219" w:rsidRDefault="001C6219" w:rsidP="001C6219">
      <w:r>
        <w:t>Nos gustaría comentar el tema de la reutilización de la ceniza de esquisto bituminoso, que es objeto de uno de los posibles proyectos de no pymes, descrito en el plan territorial de transición justa (Ragn Sells).</w:t>
      </w:r>
    </w:p>
    <w:p w:rsidR="001C6219" w:rsidRDefault="001C6219" w:rsidP="001C6219">
      <w:r>
        <w:t>Como ya se ha mencionado anteriormente, según el documento de trabajo de los servicios de la Comisión, «las inversiones en subproductos de combustibles fósiles o en los usos no energéticos de los combustibles fósiles (por ejemplo, subproductos del petróleo de esquisto o de cenizas de esquisto bituminoso) no son subvencionables cuando son técnicamente inseparables de la producción en curso del propio combustible fósil». Por consiguiente, entendemos que, según el documento de trabajo de los servicios de la Comisión, son subvencionables las inversiones en cenizas que no estén relacionadas con la producción en curso de combustibles fósiles.</w:t>
      </w:r>
    </w:p>
    <w:p w:rsidR="001C6219" w:rsidRDefault="001C6219" w:rsidP="001C6219">
      <w:r>
        <w:lastRenderedPageBreak/>
        <w:t>En el caso del proyecto potencial de Ragn Sells, descrito en nuestro plan territorial de transición justa, solo se utilizarán como insumos para el proyecto las cenizas heredadas. En la actualidad, hay aproximadamente 600 millones de toneladas de ceniza de esquisto bituminoso en Ida-Virumaa que se han depositado en el medio ambiente de la región en forma de las denominadas «montañas de cenizas» durante los últimos 50 años. La ceniza de esquisto bituminoso está clasificada como sustancia química por el Reglamento REACH y está registrada en la base de datos de la Agencia Europea de Sustancias y Mezclas Químicas (</w:t>
      </w:r>
      <w:hyperlink r:id="rId479" w:history="1">
        <w:r>
          <w:rPr>
            <w:rStyle w:val="Hipervnculo"/>
          </w:rPr>
          <w:t>Reg.nr</w:t>
        </w:r>
      </w:hyperlink>
      <w:r>
        <w:t>: 01-2119703178-42-0002). En 2018, también se excluyó de la lista de residuos peligrosos, que ha brindado la oportunidad de reciclarlos y resolver un problema medioambiental importante para Ida-Virumaa.</w:t>
      </w:r>
    </w:p>
    <w:p w:rsidR="001C6219" w:rsidRDefault="001C6219" w:rsidP="001C6219">
      <w:r>
        <w:t>A nuestro entender, este proyecto, que no está relacionado con la producción en curso de combustibles, debe considerarse técnicamente admisible para solicitar financiación del FTJ. Obviamente, también se sigue el principio de «quien contamina paga» en el caso de este proyecto.</w:t>
      </w:r>
    </w:p>
    <w:p w:rsidR="001C6219" w:rsidRDefault="001C6219" w:rsidP="001C6219">
      <w:r>
        <w:t>¿Podría confirmar la Comisión que nuestra interpretación del documento de trabajo de los servicios de la Comisión y la admisibilidad de este proyecto concreto son correctas?</w:t>
      </w:r>
    </w:p>
    <w:p w:rsidR="001C6219" w:rsidRDefault="001C6219" w:rsidP="001C6219"/>
    <w:p w:rsidR="001C6219" w:rsidRDefault="001C6219" w:rsidP="001C6219">
      <w:pPr>
        <w:pStyle w:val="P68B1DB1-Normal1"/>
      </w:pPr>
      <w:r>
        <w:t>Respuesta.</w:t>
      </w:r>
    </w:p>
    <w:p w:rsidR="001C6219" w:rsidRDefault="001C6219" w:rsidP="001C6219">
      <w:r>
        <w:t>El uso de cenizas heredadas se considera subvencionable para el FTJ en la medida en que contribuya a la regeneración de los lugares de extracción y a la restauración de tierras con arreglo al artículo 8, apartado 2, letra i), del Reglamento del FTJ.</w:t>
      </w:r>
    </w:p>
    <w:p w:rsidR="001C6219" w:rsidRDefault="001C6219" w:rsidP="001C6219">
      <w:r>
        <w:t>En caso de admisibilidad de proyectos concretos, debe demostrarse que estas inversiones están vinculadas al objetivo específico del FTJ, tal como se establece en el artículo 2 del Reglamento del FTJ, y que contribuyen a la ejecución del plan territorial de transición justa. Deben justificarse por su contribución a abordar los efectos de la transición y su relación con los retos de la transición identificados en el plan territorial de transición justa. Por lo tanto, los servicios de la Comisión evaluarán la medida concreta en el contexto del plan territorial de transición justa presentado. En este caso concreto, será importante demostrar que el proyecto se ocupa únicamente de las cenizas heredadas y no puede considerarse que apoye la continuación de la extracción de esquisto bituminoso.</w:t>
      </w:r>
    </w:p>
    <w:p w:rsidR="001C6219" w:rsidRDefault="001C6219" w:rsidP="001C6219"/>
    <w:p w:rsidR="001C6219" w:rsidRDefault="001C6219" w:rsidP="001C6219"/>
    <w:p w:rsidR="001C6219" w:rsidRDefault="001C6219" w:rsidP="001C6219">
      <w:pPr>
        <w:pStyle w:val="Ttulo1"/>
      </w:pPr>
      <w:bookmarkStart w:id="259" w:name="scroll-bookmark-281"/>
      <w:bookmarkStart w:id="260" w:name="scroll-bookmark-282"/>
      <w:bookmarkEnd w:id="259"/>
      <w:r>
        <w:t>QA00146 — Inversión en actividades del RCDE sin parámetros de referencia existentes</w:t>
      </w:r>
      <w:bookmarkEnd w:id="260"/>
    </w:p>
    <w:p w:rsidR="001C6219" w:rsidRDefault="001C6219" w:rsidP="001C6219">
      <w:r>
        <w:rPr>
          <w:noProof/>
          <w:lang w:val="es-ES"/>
        </w:rPr>
        <w:drawing>
          <wp:inline distT="0" distB="0" distL="0" distR="0" wp14:anchorId="3BE0E076" wp14:editId="3D0FDCDE">
            <wp:extent cx="152435" cy="152435"/>
            <wp:effectExtent l="0" t="0" r="0" b="0"/>
            <wp:docPr id="100523" name="Imagen 1005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8 (2) y 11 (2) (i) del Reglamento del FTJ </w:t>
      </w:r>
    </w:p>
    <w:p w:rsidR="001C6219" w:rsidRDefault="001C6219" w:rsidP="001C6219">
      <w:r>
        <w:rPr>
          <w:noProof/>
          <w:lang w:val="es-ES"/>
        </w:rPr>
        <w:drawing>
          <wp:inline distT="0" distB="0" distL="0" distR="0" wp14:anchorId="24990DDC" wp14:editId="1EB58944">
            <wp:extent cx="152435" cy="152435"/>
            <wp:effectExtent l="0" t="0" r="0" b="0"/>
            <wp:docPr id="100525" name="Imagen 1005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1C6219" w:rsidRDefault="001C6219" w:rsidP="001C6219"/>
    <w:p w:rsidR="001C6219" w:rsidRDefault="001C6219" w:rsidP="001C6219">
      <w:pPr>
        <w:pStyle w:val="P68B1DB1-Normal1"/>
      </w:pPr>
      <w:r>
        <w:lastRenderedPageBreak/>
        <w:br/>
        <w:t>Pregunta 1 (incluidos los hechos e información pertinentes):</w:t>
      </w:r>
    </w:p>
    <w:p w:rsidR="001C6219" w:rsidRDefault="001C6219" w:rsidP="001C6219">
      <w:r>
        <w:t>El Reglamento del FTJ brinda la oportunidad de apoyar las inversiones destinadas a reducir las emisiones de gases de efecto invernadero (GEI) procedentes de las actividades enumeradas en el anexo 1 de la Directiva 2008/87/CE en varias condiciones, entre ellas la de que den lugar a una reducción sustancial de las emisiones de GEI por debajo de los parámetros de referencia pertinentes.</w:t>
      </w:r>
    </w:p>
    <w:p w:rsidR="001C6219" w:rsidRDefault="001C6219" w:rsidP="001C6219">
      <w:r>
        <w:t>En la región de Västerbotten, uno de los tipos de operaciones previstos es el apoyo a la reducción de las emisiones de GEI procedentes de las actividades enumeradas en el anexo I de la Directiva 2003/87/CE en la planta del RCDE Rönnskär, Boliden Mineral. Sin embargo, no existe ningún parámetro de referencia para los procesos considerados por los suecos. La razón por la que no se dispone de parámetros de referencia en este ámbito específico se debe a que no se dispone de suficientes datos históricos y a que en Europa hay demasiadas instalaciones activas en este campo de funcionamiento específico, por lo que no existe la posibilidad de obtener datos suficientes para un índice de referencia. En su lugar, la instalación de Rönnskär de Västerbotten recibe una asignación gratuita de derechos de emisión con arreglo a valores de referencia alternativos, es decir, sobre la base del uso de combustible, la producción de calor o calefacción urbana y las emisiones de proceso. Las emisiones de GEI de la planta del RCDE (Rönnskär) en cuestión se notifican a la Comisión Europea, que también supervisa el cumplimiento de las normas pertinentes por parte de los Estados miembros.</w:t>
      </w:r>
    </w:p>
    <w:p w:rsidR="001C6219" w:rsidRDefault="001C6219" w:rsidP="001C6219">
      <w:r>
        <w:t>La Agencia Sueca de Protección del Medio Ambiente toma decisiones sobre la asignación de derechos de emisión, es la autoridad de supervisión y es responsable del seguimiento de la notificación anual de las emisiones de gases de efecto invernadero por parte de las empresas. La Agencia Sueca de la Energía administra la parte sueca del Registro de la Unión. Tanto la Agencia Sueca de Protección del Medio Ambiente como la Agencia Sueca de Energía desempeñarán un papel activo en la ejecución del Fondo de Transición Justa y participarán en las consultas previas a las decisiones de financiación adoptadas por la autoridad de gestión.</w:t>
      </w:r>
    </w:p>
    <w:p w:rsidR="001C6219" w:rsidRDefault="001C6219" w:rsidP="001C6219">
      <w:r>
        <w:t>Dado que el Reglamento del FTJ se refiere claramente a la necesidad de comparar la reducción de las emisiones de GEI con el valor de referencia pertinente, ¿podría considerarse que un proyecto de este tipo es subvencionable en ausencia de un valor de referencia?</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 xml:space="preserve">Como observación preliminar, las autoridades suecas deben comprobar si la actividad de la instalación de Rönnskär en Västerbotten, que no está correctamente definida en la cuestión prejudicial, está comprendida en el ámbito de aplicación de la Directiva 2003/87/CE, </w:t>
      </w:r>
      <w:r w:rsidR="002F3719">
        <w:t xml:space="preserve">ya que, </w:t>
      </w:r>
      <w:r>
        <w:t xml:space="preserve">el artículo 8, apartado 2, del Reglamento del FTJ se remite a dicha Directiva (véase el apartado siguiente). Por lo tanto, en primer lugar, debe liquidarse exactamente cuál de las categorías de actividades del anexo I de dicha Directiva corresponde a la instalación Rönnskär. Solo entonces será posible analizar más a fondo qué índice de referencia debe utilizarse y cómo debe calcularse teniendo también en cuenta el Reglamento (CE) no 2019/331. Se considera que la evolución que figura a </w:t>
      </w:r>
      <w:r>
        <w:lastRenderedPageBreak/>
        <w:t>continuación solo se aplica en caso de que la actividad de que se trate entre en el ámbito de aplicación de la Directiva mencionada.</w:t>
      </w:r>
    </w:p>
    <w:p w:rsidR="001C6219" w:rsidRDefault="001C6219" w:rsidP="001C6219">
      <w:r>
        <w:t xml:space="preserve">El artículo 8, apartado 2, párrafo segundo, del Reglamento del FTJ establece que puede prestarse </w:t>
      </w:r>
      <w:r>
        <w:rPr>
          <w:i/>
        </w:rPr>
        <w:t>apoyo a «las inversiones destinadas a lograr la reducción de las emisiones de gases de efecto invernadero procedentes de las actividades enumeradas en el anexo I de la Directiva 2003/87/CE, siempre que dichas inversiones hayan sido aprobadas como parte del plan territorial de transición justa basado en la información exigida en el artículo 11, apartado</w:t>
      </w:r>
      <w:r>
        <w:t>2, letra i)». En dicho artículo se especifica que el plan territorial de transición justa contendrá «</w:t>
      </w:r>
      <w:r>
        <w:rPr>
          <w:i/>
        </w:rPr>
        <w:t>una lista de operaciones que deben apoyarse y una justificación de que contribuyen a la transición a una economía climáticamente neutra y dan lugar a una reducción sustancial de las emisiones de gases de efecto invernadero sustancialmente por debajo de los parámetros de referencia pertinentes establecidos para la asignación gratuita en virtud de la Directiva 2003/87/CE, y siempre que estas operaciones sean necesarias para la protección de un número significativo de puestos de trabajo</w:t>
      </w:r>
      <w:r>
        <w:t>». El documento de trabajo de los servicios de la Comisión sobre los planes territoriales de transición justa [SWD (2021) 275 final] explica con más detalle cómo evaluará la Comisión las inversiones propuestas.</w:t>
      </w:r>
    </w:p>
    <w:p w:rsidR="001C6219" w:rsidRDefault="001C6219" w:rsidP="001C6219">
      <w:r>
        <w:t>La metodología para la asignación gratuita y la evaluación comparativa se describe en el artículo 10, letra a), de la Directiva 2003/87/CE («Directiva RCDE»), en el Reglamento (UE) 2019/331 por el que se determinan las normas transitorias de la Unión para la armonización de la asignación gratuita de derechos de emisión con arreglo al artículo 10, letra a), de la Directiva RCDE, y en el Reglamento (UE) 2021/447 por el que se determinan los valores revisados de los parámetros de referencia para la asignación gratuita de derechos de emisión para el período 2021-2025.</w:t>
      </w:r>
    </w:p>
    <w:p w:rsidR="001C6219" w:rsidRDefault="001C6219" w:rsidP="001C6219">
      <w:r>
        <w:t>Casi todas las actividades que reciben derechos de emisión gratuitos en el marco del RCDE tienen una referencia de producto definida. Cuando no sea posible definir una referencia de producto, se utilizarán referencias alternativas basadas en la producción de calor o el consumo de combustible [véase el Reglamento (CE) n.º 2019/331].</w:t>
      </w:r>
    </w:p>
    <w:p w:rsidR="001C6219" w:rsidRDefault="001C6219" w:rsidP="001C6219">
      <w:r>
        <w:t>En algunos casos muy limitados, no fue posible definir un parámetro de referencia debido al número limitado de instalaciones, la falta de datos, etc. Este es el caso de las emisiones de proceso (emisiones relacionadas con el proceso de producción de un producto), en las que la asignación gratuita se basa en emisiones históricas (por ejemplo, relacionadas con el tratamiento de metales no ferrosos como el cobre):</w:t>
      </w:r>
    </w:p>
    <w:p w:rsidR="001C6219" w:rsidRDefault="001C6219" w:rsidP="001C6219">
      <w:pPr>
        <w:numPr>
          <w:ilvl w:val="0"/>
          <w:numId w:val="135"/>
        </w:numPr>
      </w:pPr>
      <w:r>
        <w:t>no se dispone de referencia de producto,</w:t>
      </w:r>
    </w:p>
    <w:p w:rsidR="001C6219" w:rsidRDefault="001C6219" w:rsidP="001C6219">
      <w:pPr>
        <w:numPr>
          <w:ilvl w:val="0"/>
          <w:numId w:val="135"/>
        </w:numPr>
      </w:pPr>
      <w:r>
        <w:t>el calor no es medible y</w:t>
      </w:r>
    </w:p>
    <w:p w:rsidR="001C6219" w:rsidRDefault="001C6219" w:rsidP="001C6219">
      <w:pPr>
        <w:numPr>
          <w:ilvl w:val="0"/>
          <w:numId w:val="135"/>
        </w:numPr>
      </w:pPr>
      <w:r>
        <w:t>Las emisiones de GEI no se derivan de la combustión de combustible (por lo que no se dispone de valores de referencia alternativos).</w:t>
      </w:r>
    </w:p>
    <w:p w:rsidR="001C6219" w:rsidRDefault="001C6219" w:rsidP="001C6219">
      <w:r>
        <w:t>Los servicios de la Comisión consideran que pueden proponerse inversiones para reducir las emisiones de GEI procedentes de las actividades del RCDE también para actividades en instalaciones industriales</w:t>
      </w:r>
      <w:hyperlink w:anchor="scroll-bookmark-283" w:history="1">
        <w:r w:rsidRPr="00767CF5">
          <w:rPr>
            <w:rStyle w:val="Hipervnculo"/>
          </w:rPr>
          <w:t>[1]</w:t>
        </w:r>
      </w:hyperlink>
      <w:r>
        <w:t xml:space="preserve"> para las que se conceden asignaciones gratuitas debido a las emisiones de proceso, siempre que se demuestre y justifique en el plan territorial de transición justa pertinente que el nivel de emisiones por unidad de producto después y antes de la inversión es significativo en comparación con los datos publicados para </w:t>
      </w:r>
      <w:r>
        <w:lastRenderedPageBreak/>
        <w:t>otras instalaciones similares, incluidas las mejores tecnologías disponibles (es decir, BREF u otros informes públicamente disponibles).</w:t>
      </w:r>
    </w:p>
    <w:p w:rsidR="001C6219" w:rsidRDefault="001C6219" w:rsidP="001C6219">
      <w:r>
        <w:t>Sin embargo, para que el proyecto propuesto de Mineral Boliden se considere subvencionable, también deben cumplirse todas las demás condiciones relacionadas con las inversiones del RCDE, junto con otros criterios de apoyo en virtud del RDC y los Reglamentos del FTJ.</w:t>
      </w:r>
    </w:p>
    <w:p w:rsidR="001C6219" w:rsidRDefault="001C6219" w:rsidP="001C6219">
      <w:r>
        <w:t>TIERNA _</w:t>
      </w:r>
    </w:p>
    <w:p w:rsidR="001C6219" w:rsidRDefault="00FC0FB1" w:rsidP="001C6219">
      <w:hyperlink w:anchor="scroll-bookmark-284" w:history="1">
        <w:r w:rsidR="001C6219">
          <w:rPr>
            <w:rStyle w:val="Hipervnculo"/>
          </w:rPr>
          <w:t>[1]</w:t>
        </w:r>
      </w:hyperlink>
      <w:r w:rsidR="001C6219">
        <w:t xml:space="preserve"> En cambio, estas inversiones siguen excluidas en el sector eléctrico, debido a la exclusión del apoyo a los combustibles fósiles [artículo 9, letra d), del FTJ] y a que no existen parámetros de referencia pertinentes para ese sector.</w:t>
      </w:r>
    </w:p>
    <w:p w:rsidR="001C6219" w:rsidRDefault="001C6219" w:rsidP="001C6219"/>
    <w:p w:rsidR="001C6219" w:rsidRDefault="001C6219" w:rsidP="001C6219"/>
    <w:p w:rsidR="001C6219" w:rsidRDefault="001C6219" w:rsidP="001C6219">
      <w:pPr>
        <w:pStyle w:val="Ttulo1"/>
      </w:pPr>
      <w:bookmarkStart w:id="261" w:name="scroll-bookmark-285"/>
      <w:bookmarkStart w:id="262" w:name="scroll-bookmark-286"/>
      <w:bookmarkEnd w:id="261"/>
      <w:r>
        <w:t>QA00148 — Apoyo por parte del FEDER a actividades de investigación e innovación aplicada emprendidas por empresas distintas de las PYME</w:t>
      </w:r>
      <w:bookmarkEnd w:id="262"/>
    </w:p>
    <w:p w:rsidR="001C6219" w:rsidRDefault="001C6219" w:rsidP="001C6219">
      <w:r>
        <w:rPr>
          <w:noProof/>
          <w:lang w:val="es-ES"/>
        </w:rPr>
        <w:drawing>
          <wp:inline distT="0" distB="0" distL="0" distR="0" wp14:anchorId="355FAF19" wp14:editId="32CD312B">
            <wp:extent cx="152435" cy="152435"/>
            <wp:effectExtent l="0" t="0" r="0" b="0"/>
            <wp:docPr id="100527" name="Imagen 1005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del Reglamento FEDER</w:t>
      </w:r>
    </w:p>
    <w:p w:rsidR="001C6219" w:rsidRDefault="001C6219" w:rsidP="001C6219">
      <w:r>
        <w:rPr>
          <w:noProof/>
          <w:lang w:val="es-ES"/>
        </w:rPr>
        <w:drawing>
          <wp:inline distT="0" distB="0" distL="0" distR="0" wp14:anchorId="04E4055B" wp14:editId="3AAE3985">
            <wp:extent cx="152435" cy="152435"/>
            <wp:effectExtent l="0" t="0" r="0" b="0"/>
            <wp:docPr id="100529" name="Imagen 1005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España desea apoyar las actividades de investigación e innovación aplicada (I) realizadas por empresas distintas de las PYME. España alega lo siguiente:</w:t>
      </w:r>
    </w:p>
    <w:p w:rsidR="001C6219" w:rsidRDefault="001C6219" w:rsidP="001C6219">
      <w:pPr>
        <w:numPr>
          <w:ilvl w:val="0"/>
          <w:numId w:val="136"/>
        </w:numPr>
      </w:pPr>
      <w:r>
        <w:t>la excepción relacionada con la cooperación con las pymes permitida por el artículo 5, apartado 2, letra a), solo se aplica a las inversiones productivas (artículo 5, apartado 1, letra d), pero no a las actividades para la R I aplicada [artículo 5, apartado 1, letra b)].</w:t>
      </w:r>
    </w:p>
    <w:p w:rsidR="001C6219" w:rsidRDefault="001C6219" w:rsidP="001C6219">
      <w:pPr>
        <w:numPr>
          <w:ilvl w:val="0"/>
          <w:numId w:val="136"/>
        </w:numPr>
      </w:pPr>
      <w:r>
        <w:t>Las actividades de la I representan una intervención distinta de las inversiones productivas, y así lo confirman los códigos de intervención incluidos en el anexo I del Reglamento (UE) n.º 1060/2021: los códigos 009-012 se dedican a las actividades de I + i, mientras que los códigos 001-008 se utilizan para inversiones productivas.</w:t>
      </w:r>
    </w:p>
    <w:p w:rsidR="001C6219" w:rsidRDefault="001C6219" w:rsidP="001C6219">
      <w:pPr>
        <w:numPr>
          <w:ilvl w:val="0"/>
          <w:numId w:val="136"/>
        </w:numPr>
      </w:pPr>
      <w:r>
        <w:t>El apoyo prestado respetará las normas pertinentes sobre ayudas estatales, a saber, el Reglamento (UE) n.º 651/2014, sobre exención general por categorías, el Reglamento de minimis y el Marco de ayudas estatales de investigación, desarrollo e innovación.</w:t>
      </w:r>
    </w:p>
    <w:p w:rsidR="001C6219" w:rsidRDefault="001C6219" w:rsidP="001C6219">
      <w:pPr>
        <w:numPr>
          <w:ilvl w:val="0"/>
          <w:numId w:val="136"/>
        </w:numPr>
      </w:pPr>
      <w:r>
        <w:t xml:space="preserve">El apoyo a las actividades de I + i en empresas que no sean pymes solo se prestará en las siguientes condiciones: los proyectos deben tener un elevado componente tecnológico, las empresas subvencionadas deben beneficiarse o tener un </w:t>
      </w:r>
      <w:r>
        <w:lastRenderedPageBreak/>
        <w:t>impacto positivo en las pymes de la zona en la que se ejecuta el proyecto, y el apoyo solo se presta en las regiones menos desarrolladas o ultraperiféricas.</w:t>
      </w:r>
    </w:p>
    <w:p w:rsidR="001C6219" w:rsidRDefault="001C6219" w:rsidP="001C6219">
      <w:pPr>
        <w:numPr>
          <w:ilvl w:val="0"/>
          <w:numId w:val="136"/>
        </w:numPr>
      </w:pPr>
      <w:r>
        <w:t>Según las últimas cifras, el gasto total en I + i en España representó el 1,41 % del PIB, frente a la media de la UE del 2,32 %. Esta diferencia se explica principalmente por el gasto privado en I + D, que solo representó el 0,78 % del PIB, muy por debajo de la media de la UE del 1,53 %. El bajo gasto privado en I + i solo puede aumentar con un mayor esfuerzo de todos los tipos de empresas, incluidas las que no son pymes, y esto es así, en particular, en las regiones menos desarrolladas, en las que las pymes tienden a invertir menos en I + i.</w:t>
      </w:r>
    </w:p>
    <w:p w:rsidR="001C6219" w:rsidRDefault="001C6219" w:rsidP="001C6219"/>
    <w:p w:rsidR="001C6219" w:rsidRDefault="001C6219" w:rsidP="001C6219">
      <w:pPr>
        <w:pStyle w:val="P68B1DB1-Normal1"/>
      </w:pPr>
      <w:r>
        <w:t>Siguiendo estos argumentos, ¿podría el FEDER apoyar actividades de investigación e innovación aplicada emprendidas por empresas distintas de las PYME en las condiciones propuestas por España?</w:t>
      </w:r>
    </w:p>
    <w:p w:rsidR="001C6219" w:rsidRDefault="001C6219" w:rsidP="001C6219"/>
    <w:p w:rsidR="001C6219" w:rsidRDefault="001C6219" w:rsidP="001C6219">
      <w:pPr>
        <w:pStyle w:val="P68B1DB1-Normal1"/>
      </w:pPr>
      <w:r>
        <w:t>Respuesta.</w:t>
      </w:r>
    </w:p>
    <w:p w:rsidR="001C6219" w:rsidRDefault="001C6219" w:rsidP="001C6219">
      <w:r>
        <w:t>Por regla general, el FEDER apoya las inversiones productivas en pymes [artículo 5, apartado 1, letra d), del FEDER/FC]. El FEDER solo podrá apoyar inversiones productivas en empresas distintas de las pymes en los casos definidos en el artículo 5, apartado 2, del Reglamento FEDER/FC. En particular, las letras a) y d) de esta disposición establecen las condiciones para la inversión de empresas distintas de las PYME en «actividades de investigación e innovación» en el marco del objetivo específico «desarrollar y mejorar las capacidades de investigación e innovación y la adopción de tecnologías avanzadas».</w:t>
      </w:r>
    </w:p>
    <w:p w:rsidR="001C6219" w:rsidRDefault="001C6219" w:rsidP="001C6219">
      <w:r>
        <w:t xml:space="preserve">La investigación aplicada en las empresas tiene por objeto desarrollar nuevos productos, procesos o servicios o lograr una mejora significativa de los productos, procesos o servicios existentes. Estas actividades entran en el concepto de inversiones productivas establecido en el considerando 38 del Reglamento FEDER/FC, </w:t>
      </w:r>
      <w:r w:rsidR="002F3719">
        <w:t xml:space="preserve">ya que, </w:t>
      </w:r>
      <w:r>
        <w:t>constituyen inversiones en capital fijo o en activos inmateriales con el fin de producir bienes y servicios y, por tanto, contribuyen a la formación bruta de capital y al empleo. </w:t>
      </w:r>
    </w:p>
    <w:p w:rsidR="001C6219" w:rsidRDefault="001C6219" w:rsidP="001C6219">
      <w:r>
        <w:t>Cabe señalar que los tipos de intervención establecidos en el anexo I sirven a fines estadísticos (y, por tanto, distinguen entre inversión en activos fijos, activos inmateriales o actividades de investigación e innovación), pero no definen la admisibilidad.</w:t>
      </w:r>
    </w:p>
    <w:p w:rsidR="001C6219" w:rsidRDefault="001C6219" w:rsidP="001C6219">
      <w:r>
        <w:t>E</w:t>
      </w:r>
    </w:p>
    <w:p w:rsidR="001C6219" w:rsidRDefault="001C6219" w:rsidP="001C6219"/>
    <w:p w:rsidR="001C6219" w:rsidRDefault="001C6219" w:rsidP="001C6219"/>
    <w:p w:rsidR="001C6219" w:rsidRDefault="001C6219" w:rsidP="001C6219">
      <w:pPr>
        <w:pStyle w:val="Ttulo1"/>
      </w:pPr>
      <w:bookmarkStart w:id="263" w:name="scroll-bookmark-287"/>
      <w:bookmarkStart w:id="264" w:name="scroll-bookmark-288"/>
      <w:bookmarkEnd w:id="263"/>
      <w:r>
        <w:t>QA00149 — Apoyo a la infraestructura de GNL para combustibles alternativos, admisibilidad del biometano para la infraestructura para los combustibles alternativos</w:t>
      </w:r>
      <w:bookmarkEnd w:id="264"/>
    </w:p>
    <w:p w:rsidR="001C6219" w:rsidRDefault="001C6219" w:rsidP="001C6219">
      <w:r>
        <w:rPr>
          <w:noProof/>
          <w:lang w:val="es-ES"/>
        </w:rPr>
        <w:drawing>
          <wp:inline distT="0" distB="0" distL="0" distR="0" wp14:anchorId="48E16567" wp14:editId="09FC0234">
            <wp:extent cx="152435" cy="152435"/>
            <wp:effectExtent l="0" t="0" r="0" b="0"/>
            <wp:docPr id="100531" name="Imagen 1005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del FEDER</w:t>
      </w:r>
    </w:p>
    <w:p w:rsidR="001C6219" w:rsidRDefault="001C6219" w:rsidP="001C6219">
      <w:r>
        <w:rPr>
          <w:noProof/>
          <w:lang w:val="es-ES"/>
        </w:rPr>
        <w:lastRenderedPageBreak/>
        <w:drawing>
          <wp:inline distT="0" distB="0" distL="0" distR="0" wp14:anchorId="23ED39F1" wp14:editId="5ED49D1A">
            <wp:extent cx="152435" cy="152435"/>
            <wp:effectExtent l="0" t="0" r="0" b="0"/>
            <wp:docPr id="100533" name="Imagen 1005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Apoyo a la infraestructura de GNL para combustibles alternativos, admisibilidad del biometano para la infraestructura de combustibles alternativos</w:t>
      </w:r>
    </w:p>
    <w:p w:rsidR="001C6219" w:rsidRDefault="001C6219" w:rsidP="001C6219">
      <w:r>
        <w:t>Existen varios problemas relacionados con la infraestructura de repostaje de GNL y su admisibilidad:</w:t>
      </w:r>
    </w:p>
    <w:p w:rsidR="001C6219" w:rsidRDefault="001C6219" w:rsidP="001C6219">
      <w:pPr>
        <w:numPr>
          <w:ilvl w:val="0"/>
          <w:numId w:val="137"/>
        </w:numPr>
      </w:pPr>
      <w:r>
        <w:t xml:space="preserve">El Reglamento (UE) 2021/1058 relativo al Fondo Europeo de Desarrollo Regional y al Fondo de Cohesión en general no permite los proyectos relacionados con </w:t>
      </w:r>
      <w:r w:rsidR="001313FA">
        <w:t>«inversiones</w:t>
      </w:r>
      <w:r>
        <w:rPr>
          <w:i/>
        </w:rPr>
        <w:t xml:space="preserve"> relacionadas con la producción, la transformación, el transporte, la distribución, el almacenamiento o la combustión de combustibles fósiles» (</w:t>
      </w:r>
      <w:r w:rsidR="001313FA">
        <w:rPr>
          <w:i/>
        </w:rPr>
        <w:t>véase el</w:t>
      </w:r>
      <w:r>
        <w:t xml:space="preserve"> artículo 7, letra h). Sin embargo, según el inciso iii) de dicha disposición, existe una excepción para </w:t>
      </w:r>
      <w:r>
        <w:rPr>
          <w:i/>
        </w:rPr>
        <w:t xml:space="preserve">«las inversiones en: en vehículos limpios, tal como se definen en la Directiva 2009/33/CE del Parlamento Europeo y del Consejo (2), con fines públicos». </w:t>
      </w:r>
      <w:r>
        <w:t> </w:t>
      </w:r>
    </w:p>
    <w:p w:rsidR="001C6219" w:rsidRDefault="001C6219" w:rsidP="001C6219">
      <w:pPr>
        <w:numPr>
          <w:ilvl w:val="0"/>
          <w:numId w:val="137"/>
        </w:numPr>
      </w:pPr>
      <w:r>
        <w:t>Dado que los vehículos limpios de origen fósil (vehículo GNL/GNC) no podrían funcionar sin la correspondiente infraestructura de repostaje, la República Checa interpreta la excepción mencionada anteriormente de manera que también debe ser posible apoyar la infraestructura de repostaje de GNL con cargo al Fondo de Cohesión. Desde la perspectiva de los Estados miembros, la Comisión debe tener en cuenta, en particular, el hecho de que la infraestructura de GNL en los países de cohesión sigue estando rezagada. Al mismo tiempo, en el marco jurídico vigente para el desarrollo de infraestructuras para los combustibles alternativos (Directiva n.º 2014/94, denominada «Directiva AFID»), así como en la propuesta de nuevo Reglamento que aborda esta cuestión (el denominado «Reglamento AFIR»), existen algunos objetivos para los Estados miembros en relación con la infraestructura de repostaje de GNL.</w:t>
      </w:r>
    </w:p>
    <w:p w:rsidR="001C6219" w:rsidRDefault="001C6219" w:rsidP="001C6219">
      <w:pPr>
        <w:numPr>
          <w:ilvl w:val="0"/>
          <w:numId w:val="137"/>
        </w:numPr>
      </w:pPr>
      <w:r>
        <w:t xml:space="preserve">Al mismo tiempo, las autoridades checas plantearon la cuestión de si </w:t>
      </w:r>
      <w:r w:rsidR="001313FA">
        <w:t>el biometano</w:t>
      </w:r>
      <w:r>
        <w:t xml:space="preserve"> podía optar a la ayuda y podría utilizarse como combustible alternativo en la infraestructura de combustibles alternativos (por ejemplo, biometano licuado o biometano comprimido). En opinión de las autoridades checas, el biometano no se considera combustible fósil y, en consecuencia, </w:t>
      </w:r>
      <w:r>
        <w:rPr>
          <w:i/>
        </w:rPr>
        <w:t xml:space="preserve">no se aplica la exclusión a que se refiere el artículo 7 del Reglamento (UE) 2021/1058 «inversiones relacionadas con la producción, la transformación, el transporte, la distribución, el almacenamiento o la combustión de combustibles </w:t>
      </w:r>
      <w:r>
        <w:t>fósiles</w:t>
      </w:r>
      <w:r>
        <w:rPr>
          <w:i/>
        </w:rPr>
        <w:t xml:space="preserve">». </w:t>
      </w:r>
      <w:r>
        <w:t>¿Podría confirmar esta interpretación?</w:t>
      </w:r>
    </w:p>
    <w:p w:rsidR="001C6219" w:rsidRDefault="001C6219" w:rsidP="001C6219"/>
    <w:p w:rsidR="001C6219" w:rsidRDefault="001C6219" w:rsidP="001C6219">
      <w:pPr>
        <w:pStyle w:val="P68B1DB1-Normal1"/>
      </w:pPr>
      <w:r>
        <w:t>Respuesta.</w:t>
      </w:r>
    </w:p>
    <w:p w:rsidR="001C6219" w:rsidRDefault="001C6219" w:rsidP="001C6219">
      <w:pPr>
        <w:numPr>
          <w:ilvl w:val="0"/>
          <w:numId w:val="138"/>
        </w:numPr>
      </w:pPr>
      <w:r>
        <w:t xml:space="preserve">La ayuda al GNL (gas natural licuado) como combustible que se distribuirá a través de la red de infraestructuras de combustibles alternativos entra en el ámbito de aplicación del artículo 7 del Reglamento (UE) 2021/1058 del Parlamento Europeo y del Consejo, de 24 de junio de 2021, relativo al Fondo </w:t>
      </w:r>
      <w:r>
        <w:lastRenderedPageBreak/>
        <w:t>Europeo de Desarrollo Regional y al Fondo de Cohesión: El FEDER y el Fondo de Cohesión no proporcionarán ayuda para:  h) «inversiones relacionadas con la producción, la transformación, el transporte, la distribución, el almacenamiento o la combustión de combustibles fósiles...».</w:t>
      </w:r>
    </w:p>
    <w:p w:rsidR="001C6219" w:rsidRDefault="001C6219" w:rsidP="001C6219">
      <w:pPr>
        <w:numPr>
          <w:ilvl w:val="0"/>
          <w:numId w:val="138"/>
        </w:numPr>
      </w:pPr>
      <w:r>
        <w:t>Una excepción para «la inversión en: en los vehículos limpios, tal como se definen en la Directiva 2009/33/CE del Parlamento Europeo y del Consejo (2) con fines públicos, «se aplica únicamente a los vehículos limpios y no puede ampliarse a la infraestructura para combustibles alternativos. En consecuencia, las infraestructuras de GNL para combustibles alternativos que utilizan gas natural no pueden optar a la ayuda del Fondo de Cohesión. En cuanto a la Directiva 2014/94/UE, establece un marco común de medidas para la implantación de una infraestructura para los combustibles alternativos en la Unión. Dicha Directiva se basa en el artículo 91 del TFUE, relativo a la política de transportes, y establece requisitos mínimos para la construcción de una infraestructura para los combustibles alternativos, incluidos puntos de recarga para vehículos eléctricos y puntos de repostaje de gas natural (GNL y GNC) e hidrógeno, que deben aplicarse a través de los marcos de acción nacionales de los Estados miembros. Estos objetivos no pueden influir en la interpretación de las decisiones políticas adoptadas en el marco de la política de cohesión en lo que respecta a las medidas que pueden optar a la ayuda de los Fondos EIE. Así pues, el FEDER/FC solo podría apoyar las instalaciones de repostaje (almacenamiento y distribución) dedicadas exclusivamente a vehículos limpios utilizados con fines públicos.</w:t>
      </w:r>
    </w:p>
    <w:p w:rsidR="001C6219" w:rsidRDefault="001C6219" w:rsidP="001C6219">
      <w:pPr>
        <w:numPr>
          <w:ilvl w:val="0"/>
          <w:numId w:val="138"/>
        </w:numPr>
      </w:pPr>
      <w:r>
        <w:t>Dado que el biometano no entra en la categoría de combustibles fósiles, puede optar a la ayuda del FEDER y del Fondo de Cohesión. A este respecto, deben respetarse las disposiciones pertinentes de la Directiva (UE) 2018/2001 relativa al fomento del uso de energía procedente de fuentes renovables. Deben tenerse en cuenta las complementariedades y sinergias con el apoyo potencial a través de la política agrícola común. El apoyo a las instalaciones de producción de biometano en el marco de la política de cohesión debe limitarse a las infraestructuras basadas en aportaciones procedentes de biorresiduos municipales clasificados. Cuando las instalaciones de producción de biometano sean desarrolladas y gestionadas por un agricultor o una estructura relacionada con la agricultura (como la cooperativa de agricultores), no debe haber apoyo de la política de cohesión a la propia instalación de producción.</w:t>
      </w:r>
    </w:p>
    <w:p w:rsidR="001C6219" w:rsidRDefault="001C6219" w:rsidP="001C6219"/>
    <w:p w:rsidR="001C6219" w:rsidRDefault="001C6219" w:rsidP="001C6219"/>
    <w:p w:rsidR="001C6219" w:rsidRDefault="001C6219" w:rsidP="001C6219">
      <w:pPr>
        <w:pStyle w:val="Ttulo1"/>
      </w:pPr>
      <w:bookmarkStart w:id="265" w:name="scroll-bookmark-289"/>
      <w:bookmarkStart w:id="266" w:name="scroll-bookmark-290"/>
      <w:bookmarkEnd w:id="265"/>
      <w:r>
        <w:t>QA00150 — Gastos directos de personal relativos a las subvenciones</w:t>
      </w:r>
      <w:bookmarkEnd w:id="266"/>
    </w:p>
    <w:p w:rsidR="001C6219" w:rsidRDefault="001C6219" w:rsidP="001C6219">
      <w:r>
        <w:rPr>
          <w:noProof/>
          <w:lang w:val="es-ES"/>
        </w:rPr>
        <w:drawing>
          <wp:inline distT="0" distB="0" distL="0" distR="0" wp14:anchorId="1D9BE463" wp14:editId="009559B3">
            <wp:extent cx="152435" cy="152435"/>
            <wp:effectExtent l="0" t="0" r="0" b="0"/>
            <wp:docPr id="100535" name="Imagen 1005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55 del RDC</w:t>
      </w:r>
    </w:p>
    <w:p w:rsidR="001C6219" w:rsidRDefault="001C6219" w:rsidP="001C6219">
      <w:r>
        <w:rPr>
          <w:noProof/>
          <w:lang w:val="es-ES"/>
        </w:rPr>
        <w:drawing>
          <wp:inline distT="0" distB="0" distL="0" distR="0" wp14:anchorId="7C9ED02F" wp14:editId="73A5A910">
            <wp:extent cx="152435" cy="152435"/>
            <wp:effectExtent l="0" t="0" r="0" b="0"/>
            <wp:docPr id="100537" name="Imagen 1005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El artículo 55 del RDC establece normas para un tipo fijo del 20 % sobre el cálculo de los costes directos de personal. Contiene una norma especial para los Fondos de Asuntos de Interior. Le pedimos que aclare esta norma.</w:t>
      </w:r>
    </w:p>
    <w:p w:rsidR="001C6219" w:rsidRDefault="001C6219" w:rsidP="001C6219">
      <w:pPr>
        <w:numPr>
          <w:ilvl w:val="0"/>
          <w:numId w:val="139"/>
        </w:numPr>
      </w:pPr>
      <w:r>
        <w:t>El apartado 1) establece que los costes directos de personal podrán calcularse a un tipo fijo de hasta el 20 % de los costes directos distintos de los costes directos de personal de dicha operación (...) siempre que los costes directos de la operación no incluyan (...) contratos que superen en valor los umbrales (...) de la Directiva 2014/24/UE y de la Directiva 2014/25/UE.</w:t>
      </w:r>
    </w:p>
    <w:p w:rsidR="001C6219" w:rsidRDefault="001C6219" w:rsidP="001C6219">
      <w:pPr>
        <w:numPr>
          <w:ilvl w:val="0"/>
          <w:numId w:val="139"/>
        </w:numPr>
      </w:pPr>
      <w:r>
        <w:t>También afirma que, en el caso del FAMI, el FSI y el IGFV, el tipo fijo solo se aplicará a los costes directos de la operación no sujeta a contratación pública.</w:t>
      </w:r>
    </w:p>
    <w:p w:rsidR="001C6219" w:rsidRDefault="001C6219" w:rsidP="001C6219">
      <w:pPr>
        <w:numPr>
          <w:ilvl w:val="0"/>
          <w:numId w:val="139"/>
        </w:numPr>
      </w:pPr>
      <w:r>
        <w:t xml:space="preserve">Nuestra pregunta es </w:t>
      </w:r>
      <w:r w:rsidR="00A07290">
        <w:t>¿</w:t>
      </w:r>
      <w:r>
        <w:t>qué se entiende por contratación pública? ¿Es correcta nuestra interpretación de que, en el Derecho de la Unión, la contratación pública se define como aquella que supera en valor los umbrales establecidos en las Directivas 2014/24 o 2014/25?</w:t>
      </w:r>
    </w:p>
    <w:p w:rsidR="001C6219" w:rsidRDefault="001C6219" w:rsidP="001C6219">
      <w:pPr>
        <w:numPr>
          <w:ilvl w:val="0"/>
          <w:numId w:val="139"/>
        </w:numPr>
      </w:pPr>
      <w:r>
        <w:t>¿Entendemos correctamente que para el FAMI, el FSI y el IGFV está permitido utilizar la norma del 20 % también para operaciones que incluyan contratos que superen los umbrales, pero como la base de cálculo sirve a los costes de la operación menos los costes de la contratación pública? Y que la diferencia para otros Fondos es que, cuando existe una contratación pública que supera los umbrales en una operación, no pueden utilizar en absoluto esta norma del apartado 1?</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En relación con el tipo fijo de hasta el 20 % previsto en el artículo 55, apartado 1, del RDC para calcular los costes directos de personal de dicha operación</w:t>
      </w:r>
      <w:r w:rsidRPr="00767CF5">
        <w:t>,</w:t>
      </w:r>
      <w:r>
        <w:t xml:space="preserve"> el párrafo 1 limita su uso (para todos los Fondos del RDC), cuando los costes directos de la operación incluyan costes de contratos públicos de obras o contratos de suministro o servicios que superen en valor los umbrales establecidos en el artículo 4 de la Directiva 2014/24/UE o en el artículo 15 de la Directiva 2014/25/UE. En otras palabras: el tipo fijo del 20 % en virtud del artículo 55, apartado 1, del RDC solo podrá utilizarse en operaciones ejecutadas mediante contratación pública cuando los costes directos de dichas operaciones incluyan costes de contratos públicos de obras o contratos de suministro o de servicios que no superen en valor los umbrales establecidos en dichas Directivas.</w:t>
      </w:r>
    </w:p>
    <w:p w:rsidR="001C6219" w:rsidRDefault="001C6219" w:rsidP="001C6219">
      <w:r>
        <w:t xml:space="preserve">Además, por lo que se refiere específicamente al FAMI, al IGFV y al FSI, </w:t>
      </w:r>
      <w:r>
        <w:rPr>
          <w:b/>
        </w:rPr>
        <w:t>cualquier coste sujeto a contratación pública</w:t>
      </w:r>
      <w:r>
        <w:t xml:space="preserve"> (es decir, los costes subcontratados/externalizados) debe excluirse de la base para el cálculo del tipo fijo </w:t>
      </w:r>
      <w:r>
        <w:rPr>
          <w:i/>
        </w:rPr>
        <w:t>(véase el artículo 55, apartado 1, párrafo segundo, del</w:t>
      </w:r>
      <w:r>
        <w:t xml:space="preserve"> RDC).</w:t>
      </w:r>
    </w:p>
    <w:p w:rsidR="001C6219" w:rsidRDefault="001C6219" w:rsidP="001C6219">
      <w:r>
        <w:t xml:space="preserve">Cuando una operación incluya costes de contratos públicos de obras o contratos de suministro o servicios que superen en valor los umbrales establecidos en dichas Directivas, cualquier tipo de opción de costes simplificados podrá establecerse de </w:t>
      </w:r>
      <w:r>
        <w:lastRenderedPageBreak/>
        <w:t>conformidad con los métodos establecidos en el artículo 53 (3) del RDC para el reembolso de los costes directos de personal. El artículo 55, apartado 2, del RDC también puede utilizarse.</w:t>
      </w:r>
    </w:p>
    <w:p w:rsidR="001C6219" w:rsidRDefault="001C6219" w:rsidP="001C6219">
      <w:r>
        <w:t>La contratación pública en la Unión Europea se rige por la Directiva 2014/24/UE y la Directiva 2014/25/UE. Las Directivas definen, entre otras cosas, el concepto de «contratación», incluidos los umbrales. Es responsabilidad de los Estados miembros aplicar las normas nacionales y de la UE en materia de contratación pública.</w:t>
      </w:r>
    </w:p>
    <w:p w:rsidR="001C6219" w:rsidRDefault="001C6219" w:rsidP="001C6219">
      <w:r>
        <w:t xml:space="preserve">Por último, se invita a las autoridades checas a remitirse a la Comunicación de la Comisión «Directrices sobre el uso de las opciones de costes simplificados en los Fondos Estructurales y de Inversión Europeos (EIE) — Versión revisada tras la entrada en vigor del Reglamento (UE, Euratom) 2018/1046 </w:t>
      </w:r>
      <w:r>
        <w:rPr>
          <w:i/>
        </w:rPr>
        <w:t>(véase 2021/C 200/01, en particular los puntos 2.4.1, 2.4.2, 3.1.2.2 y 3.1.2)</w:t>
      </w:r>
      <w:r>
        <w:t>». Aunque las presentes Directrices se refieren al marco jurídico del período de programación 2014-20, pueden aplicarse los mismos principios durante el período de programación 2021-27. Esto es especialmente pertinente en el caso de las disposiciones legales que se han prorrogado de 2014-20 al nuevo período de programación.</w:t>
      </w:r>
    </w:p>
    <w:p w:rsidR="001C6219" w:rsidRDefault="001C6219" w:rsidP="001C6219"/>
    <w:p w:rsidR="001C6219" w:rsidRDefault="001C6219" w:rsidP="001C6219"/>
    <w:p w:rsidR="001C6219" w:rsidRDefault="001C6219" w:rsidP="001C6219">
      <w:pPr>
        <w:pStyle w:val="Ttulo1"/>
      </w:pPr>
      <w:bookmarkStart w:id="267" w:name="scroll-bookmark-291"/>
      <w:bookmarkStart w:id="268" w:name="scroll-bookmark-292"/>
      <w:bookmarkEnd w:id="267"/>
      <w:r>
        <w:t>QA00153 — Tratamiento/verificación de las infracciones — solicitud de aclaración (RDC y Reglamento CTE 2021-2027)</w:t>
      </w:r>
      <w:bookmarkEnd w:id="268"/>
    </w:p>
    <w:p w:rsidR="001C6219" w:rsidRDefault="001C6219" w:rsidP="001C6219">
      <w:r>
        <w:rPr>
          <w:noProof/>
          <w:lang w:val="es-ES"/>
        </w:rPr>
        <w:drawing>
          <wp:inline distT="0" distB="0" distL="0" distR="0" wp14:anchorId="3553B849" wp14:editId="67D18A87">
            <wp:extent cx="152435" cy="152435"/>
            <wp:effectExtent l="0" t="0" r="0" b="0"/>
            <wp:docPr id="100539" name="Imagen 1005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258 TFUE</w:t>
      </w:r>
    </w:p>
    <w:p w:rsidR="001C6219" w:rsidRDefault="001C6219" w:rsidP="001C6219">
      <w:r>
        <w:t>Artículo 97, apartado 1, letra d), del RDC</w:t>
      </w:r>
    </w:p>
    <w:p w:rsidR="001C6219" w:rsidRDefault="001C6219" w:rsidP="001C6219">
      <w:r>
        <w:t>Artículo 22, apartado 4, letra j), del Reglamento Interreg,</w:t>
      </w:r>
    </w:p>
    <w:p w:rsidR="001C6219" w:rsidRDefault="001C6219" w:rsidP="001C6219">
      <w:r>
        <w:t>Artículo 22, apartado 4, letra h), del Reglamento Interreg</w:t>
      </w:r>
    </w:p>
    <w:p w:rsidR="001C6219" w:rsidRDefault="001C6219" w:rsidP="001C6219">
      <w:r>
        <w:rPr>
          <w:noProof/>
          <w:lang w:val="es-ES"/>
        </w:rPr>
        <w:drawing>
          <wp:inline distT="0" distB="0" distL="0" distR="0" wp14:anchorId="6CBC5E38" wp14:editId="117769E1">
            <wp:extent cx="152435" cy="152435"/>
            <wp:effectExtent l="0" t="0" r="0" b="0"/>
            <wp:docPr id="100541" name="Imagen 1005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El artículo 22, apartado 4, letra j), del Reglamento Interreg prevé que el comité de </w:t>
      </w:r>
      <w:r>
        <w:rPr>
          <w:i/>
        </w:rPr>
        <w:t>seguimiento debe «garantizar que las operaciones seleccionadas no se vean directamente afectadas por un dictamen motivado de la Comisión en relación con una infracción en el ámbito de aplicación del artículo 258 del TFUE que ponga en peligro la legalidad y regularidad del gasto o la ejecución de las operaciones; (..)»</w:t>
      </w:r>
      <w:r>
        <w:t>.</w:t>
      </w:r>
    </w:p>
    <w:p w:rsidR="001C6219" w:rsidRDefault="001C6219" w:rsidP="001C6219">
      <w:pPr>
        <w:numPr>
          <w:ilvl w:val="0"/>
          <w:numId w:val="140"/>
        </w:numPr>
      </w:pPr>
      <w:r>
        <w:t xml:space="preserve">¿Cómo deben obtener los programas Interreg información sobre la lista de infracciones? ¿Podría ser suficiente este sitio web? </w:t>
      </w:r>
      <w:hyperlink r:id="rId480" w:history="1">
        <w:r>
          <w:rPr>
            <w:rStyle w:val="Hipervnculo"/>
          </w:rPr>
          <w:t>Decisiones de infracción (europa.eu)</w:t>
        </w:r>
      </w:hyperlink>
      <w:r>
        <w:t xml:space="preserve">? ¿Deberían las autoridades de gestión de los programas Interreg basarse en la información facilitada por las autoridades nacionales o regionales? </w:t>
      </w:r>
      <w:r>
        <w:lastRenderedPageBreak/>
        <w:t>Examinar todo tipo de procedimientos de infracción (aunque se limite al «impacto directo» supondrá un enorme desafío para los miembros de la AG y del MC.</w:t>
      </w:r>
    </w:p>
    <w:p w:rsidR="001C6219" w:rsidRDefault="001C6219" w:rsidP="001C6219">
      <w:pPr>
        <w:numPr>
          <w:ilvl w:val="0"/>
          <w:numId w:val="140"/>
        </w:numPr>
      </w:pPr>
      <w:r>
        <w:t>¿Qué hacer en caso de infracción en un ámbito cubierto por un proyecto específico? ¿Cómo evaluar si las operaciones seleccionadas se ven «</w:t>
      </w:r>
      <w:r>
        <w:rPr>
          <w:i/>
        </w:rPr>
        <w:t>directamente afectadas</w:t>
      </w:r>
      <w:r>
        <w:t>» por un dictamen motivado? Una interpretación muy amplia podría «bloquear» varios proyectos/programas Interreg.</w:t>
      </w:r>
    </w:p>
    <w:p w:rsidR="001C6219" w:rsidRDefault="001C6219" w:rsidP="001C6219">
      <w:pPr>
        <w:pStyle w:val="P68B1DB1-Normal1"/>
      </w:pPr>
      <w:r>
        <w:t>Pregunta 2:</w:t>
      </w:r>
    </w:p>
    <w:p w:rsidR="001C6219" w:rsidRDefault="001C6219" w:rsidP="001C6219">
      <w:r>
        <w:t xml:space="preserve">El artículo 97, apartado 1, letra d), del RDC establece que la Comisión puede suspender la totalidad o parte de los pagos (...) si se cumple alguna de las condiciones siguientes: d) </w:t>
      </w:r>
      <w:r>
        <w:rPr>
          <w:i/>
        </w:rPr>
        <w:t>«existe un dictamen motivado de la Comisión en relación con un procedimiento de infracción con arreglo al artículo 258 del TFUE sobre una cuestión que pone en peligro la legalidad y regularidad del gasto»</w:t>
      </w:r>
      <w:r>
        <w:t>.</w:t>
      </w:r>
    </w:p>
    <w:p w:rsidR="001C6219" w:rsidRDefault="001C6219" w:rsidP="001C6219">
      <w:r>
        <w:t>No nos queda claro cómo deben llevar a cabo los controles los responsables de la tramitación de los pagos intermedios.</w:t>
      </w:r>
    </w:p>
    <w:p w:rsidR="001C6219" w:rsidRDefault="001C6219" w:rsidP="001C6219"/>
    <w:p w:rsidR="001C6219" w:rsidRDefault="001C6219" w:rsidP="001C6219">
      <w:pPr>
        <w:pStyle w:val="P68B1DB1-Normal1"/>
      </w:pPr>
      <w:r>
        <w:t>Respuesta.</w:t>
      </w:r>
    </w:p>
    <w:p w:rsidR="001C6219" w:rsidRDefault="001C6219" w:rsidP="001C6219">
      <w:r>
        <w:t>De conformidad con el artículo 69, apartado 2, del RDC, los Estados miembros deben garantizar la legalidad y regularidad del gasto incluido en las cuentas presentadas a la Comisión y adoptarán todas las medidas necesarias para prevenir, detectar, corregir e informar sobre irregularidades, incluido el fraude.</w:t>
      </w:r>
    </w:p>
    <w:p w:rsidR="001C6219" w:rsidRDefault="001C6219" w:rsidP="001C6219">
      <w:r>
        <w:t>Garantizar que las operaciones seleccionadas no se vean directamente afectadas por un dictamen motivado de la Comisión en relación con un incumplimiento con arreglo al artículo 258 del TFUE tiene por objeto prevenir irregularidades. De conformidad con el artículo 22, apartado 4, letra i), de la CTE, el comité de seguimiento o director es responsable de esta tarea en los programas Interreg.</w:t>
      </w:r>
    </w:p>
    <w:p w:rsidR="001C6219" w:rsidRDefault="001C6219" w:rsidP="001C6219">
      <w:r>
        <w:t>Al apoyar el trabajo del comité de seguimiento, la autoridad de gestión debe facilitar al comité de seguimiento de manera oportuna toda la información necesaria para llevar a cabo sus tareas [artículo 75, letra a), del RDC].</w:t>
      </w:r>
    </w:p>
    <w:p w:rsidR="001C6219" w:rsidRDefault="001C6219" w:rsidP="001C6219">
      <w:r>
        <w:t xml:space="preserve">Un dictamen motivado (una solicitud formal de cumplimiento del Derecho de la UE) puede enviarse al Estado miembro cuando la Comisión llegue a la conclusión de que el Estado miembro está incumpliendo las obligaciones que le incumben en virtud del Derecho de la UE. En el que explica por qué considera que se está infringiendo el Derecho de la Unión. Esta justificación es la base para que el Estado miembro determine si existe un vínculo directo entre el asunto tratado en el dictamen motivado y el gasto en cuestión, de modo que ponga en peligro su legalidad y regularidad o la ejecución de las operaciones. Las autoridades de los programas deben participar en dicha evaluación. Los socios pueden aportar valiosos conocimientos especializados en dicha evaluación. La AG o el comité de seguimiento podrán consultar la </w:t>
      </w:r>
      <w:hyperlink r:id="rId481" w:history="1">
        <w:r>
          <w:rPr>
            <w:rStyle w:val="Hipervnculo"/>
          </w:rPr>
          <w:t>base de datos de decisiones de infracción</w:t>
        </w:r>
      </w:hyperlink>
      <w:r>
        <w:t xml:space="preserve"> como una de las fuentes de información. Corresponde a los Estados miembros participantes establecer una comunicación eficaz sobre los casos de infracción.</w:t>
      </w:r>
    </w:p>
    <w:p w:rsidR="001C6219" w:rsidRDefault="001C6219" w:rsidP="001C6219">
      <w:r>
        <w:lastRenderedPageBreak/>
        <w:t>Corresponde a la autoridad de gestión y al comité de seguimiento decidir, sobre la base de toda la información disponible, si una operación o un tipo de operaciones se ven directamente afectados</w:t>
      </w:r>
      <w:r w:rsidR="00A07290">
        <w:t>,</w:t>
      </w:r>
      <w:r>
        <w:t xml:space="preserve"> caso por caso.</w:t>
      </w:r>
    </w:p>
    <w:p w:rsidR="001C6219" w:rsidRDefault="001C6219" w:rsidP="001C6219">
      <w:r>
        <w:t>Cabe señalar que el dictamen motivado en el marco del procedimiento de infracción puede dar lugar a la suspensión de los pagos (artículo 97, apartado 1, del RDC). En su evaluación de si existe el «vínculo directo suficiente» mencionado en el considerando 70 del RDC, la Comisión se basará en este concepto, tal como establece la jurisprudencia del TJUE, y estudiará la situación caso por caso y teniendo en cuenta el principio de proporcionalidad y dependiendo del gasto en cuestión (</w:t>
      </w:r>
      <w:hyperlink r:id="rId482" w:history="1">
        <w:r>
          <w:rPr>
            <w:rStyle w:val="Hipervnculo"/>
          </w:rPr>
          <w:t>QA00152</w:t>
        </w:r>
      </w:hyperlink>
      <w:r>
        <w:t>).</w:t>
      </w:r>
    </w:p>
    <w:p w:rsidR="001C6219" w:rsidRDefault="001C6219" w:rsidP="001C6219"/>
    <w:p w:rsidR="001C6219" w:rsidRDefault="001C6219" w:rsidP="001C6219"/>
    <w:p w:rsidR="001C6219" w:rsidRDefault="001C6219" w:rsidP="001C6219">
      <w:pPr>
        <w:pStyle w:val="Ttulo1"/>
      </w:pPr>
      <w:bookmarkStart w:id="269" w:name="scroll-bookmark-293"/>
      <w:bookmarkStart w:id="270" w:name="scroll-bookmark-294"/>
      <w:bookmarkEnd w:id="269"/>
      <w:r>
        <w:t>QA00154 — Requisitos de notificación para los campos de datos 112 y 115 — Anexo XVII del RDC</w:t>
      </w:r>
      <w:bookmarkEnd w:id="270"/>
    </w:p>
    <w:p w:rsidR="001C6219" w:rsidRDefault="001C6219" w:rsidP="001C6219">
      <w:r>
        <w:rPr>
          <w:noProof/>
          <w:lang w:val="es-ES"/>
        </w:rPr>
        <w:drawing>
          <wp:inline distT="0" distB="0" distL="0" distR="0" wp14:anchorId="2D25A6FE" wp14:editId="18843857">
            <wp:extent cx="152435" cy="152435"/>
            <wp:effectExtent l="0" t="0" r="0" b="0"/>
            <wp:docPr id="100543" name="Imagen 1005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 72 (1) (e), art. 91, art. 94 y art. 95 del RDC</w:t>
      </w:r>
    </w:p>
    <w:p w:rsidR="001C6219" w:rsidRDefault="001C6219" w:rsidP="001C6219">
      <w:r>
        <w:rPr>
          <w:noProof/>
          <w:lang w:val="es-ES"/>
        </w:rPr>
        <w:drawing>
          <wp:inline distT="0" distB="0" distL="0" distR="0" wp14:anchorId="237221D2" wp14:editId="6C884250">
            <wp:extent cx="152435" cy="152435"/>
            <wp:effectExtent l="0" t="0" r="0" b="0"/>
            <wp:docPr id="100545" name="Imagen 1005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«Por lo que se refiere a la preparación de los pagos a tanto alzado en virtud del artículo 94, apartado 95, del RDC, hemos examinado los campos de datos de estos importes a tanto alzado que figuran en el anexo XVII. Se plantean las siguientes preguntas:</w:t>
      </w:r>
    </w:p>
    <w:p w:rsidR="001C6219" w:rsidRDefault="001C6219" w:rsidP="001C6219">
      <w:r>
        <w:t>1) campo de datos 112: ¿Se refiere la indicación «tipo de reembolso» a las formas de subvención a que se refiere el artículo 53 del RDC (costes realmente contraídos, costes unitarios, importes a tanto alzado, tipos fijos, combinación de los mencionados anteriormente, financiación no vinculada a los costes)? ¿Incluyen los tipos de gasto también la información del artículo 67 del RDC (prestaciones en especie y costes de amortización)? En caso afirmativo, ¿qué otros tipos de gastos también se refieren?</w:t>
      </w:r>
    </w:p>
    <w:p w:rsidR="001C6219" w:rsidRDefault="001C6219" w:rsidP="001C6219">
      <w:r>
        <w:rPr>
          <w:u w:val="single"/>
        </w:rPr>
        <w:t>Texto original</w:t>
      </w:r>
      <w:r>
        <w:t xml:space="preserve"> </w:t>
      </w:r>
      <w:r>
        <w:rPr>
          <w:i/>
        </w:rPr>
        <w:t>Datenfeld 112: Handelt es sich bei der Angabe «Art der Erstattung» um die Formen der Zuschüsse nach Artikel 53 Dach-VO (tatsächlich entstandene Kosten, Kosten je Einheit, Pauschalbeträge, Pauschalfinanzierungen, Kombination aus vorgenannten, nicht mit Kosten verknüpfte Finanzierung)? ¿Gehören die Angaben in Artikel 67 Dach-VO (Sachleistungen und Abschreibungskosten) zu den Ausgabearten? ¿Wenn ja, welche Ausgabearten sind Darüber hinaus gemeint?</w:t>
      </w:r>
    </w:p>
    <w:p w:rsidR="001C6219" w:rsidRDefault="001C6219" w:rsidP="001C6219"/>
    <w:p w:rsidR="001C6219" w:rsidRDefault="001C6219" w:rsidP="001C6219">
      <w:r>
        <w:t>2) campo de datos 115: ¿Se refiere la indicación «tipo de ayuda» a la subdivisión prevista en el artículo 52 del RDC (subvención, instrumento financiero, dinero del premio)? Por lo que se refiere al «tipo de reembolso», véase la pregunta sobre el campo de datos 112.</w:t>
      </w:r>
    </w:p>
    <w:p w:rsidR="001C6219" w:rsidRDefault="001C6219" w:rsidP="001C6219">
      <w:r>
        <w:rPr>
          <w:u w:val="single"/>
        </w:rPr>
        <w:lastRenderedPageBreak/>
        <w:t>Texto original</w:t>
      </w:r>
      <w:r>
        <w:t xml:space="preserve"> </w:t>
      </w:r>
      <w:r>
        <w:rPr>
          <w:i/>
        </w:rPr>
        <w:t>Datenfeld 115: ¿Geht es bei der Angabe «Art der Unterstützung ‘um die Unterteilung nach Artikel 52 Dach-VO (Zuschuss, Finanzinstrument, Preisgeld)? Bzgl. Angabe der Erstattung ‘siehe Frage zu Datenfeld 112.</w:t>
      </w:r>
    </w:p>
    <w:p w:rsidR="001C6219" w:rsidRDefault="001C6219" w:rsidP="001C6219">
      <w:pPr>
        <w:pStyle w:val="P68B1DB1-Normal3"/>
      </w:pPr>
      <w:r>
        <w:t> </w:t>
      </w:r>
    </w:p>
    <w:p w:rsidR="001C6219" w:rsidRDefault="001C6219" w:rsidP="001C6219">
      <w:r>
        <w:rPr>
          <w:i/>
        </w:rPr>
        <w:t xml:space="preserve">3) </w:t>
      </w:r>
      <w:r>
        <w:t>los campos de datos 112 y 115 anteriores proporcionan información sobre el reembolso al beneficiario. Si el reembolso al beneficiario es diferente del reembolso de la Comisión Europea al Estado miembro, ¿cómo debería registrarse este reembolso en el sistema electrónico? El sistema electrónico se basa en información a nivel de proyecto. Hasta la fecha, las cuentas de la Comisión Europea se han basado en los datos de los proyectos. La posibilidad de importes a tanto alzado y tipos fijos en virtud de los artículos 94 y 95 modifica este sistema. ¿Es suficiente la presentación de la declaración a la Comisión Europea en SFC2021?</w:t>
      </w:r>
    </w:p>
    <w:p w:rsidR="001C6219" w:rsidRDefault="001C6219" w:rsidP="001C6219">
      <w:pPr>
        <w:pStyle w:val="P68B1DB1-Normal3"/>
      </w:pPr>
      <w:r>
        <w:rPr>
          <w:u w:val="single"/>
        </w:rPr>
        <w:t>Texto original</w:t>
      </w:r>
      <w:r>
        <w:t xml:space="preserve"> Die vorgenannten Datenfelder 112 und 115 geben Auskunft zur Erstattung gegenüber dem Begünstigten. ¿WIE soll im elektronischen System die Erfassung erfolgen, wenn die Erstattung an den Begünstigten nicht identisch ist mit der Erstattung durch die EU-Kommission an den Mitgliedstaat? DAS elektronische System basiert auf Angaben auf Ebene des Vorhabens. Die Abrechnung gegenüber der EU-Kommission hat sich bislang aus den Daten der Vorhaben ergeben. MIT den Pauschalen nach Artikel 94 und 95 Dach-VO ändert sich diese Systematik. IST die Darstellung der Abrechnung gegenüber der EU-Kommission en SFC2021 ausreichend?</w:t>
      </w:r>
    </w:p>
    <w:p w:rsidR="001C6219" w:rsidRDefault="001C6219" w:rsidP="001C6219">
      <w:pPr>
        <w:pStyle w:val="P68B1DB1-Normal3"/>
      </w:pPr>
      <w:r>
        <w:t> </w:t>
      </w:r>
    </w:p>
    <w:p w:rsidR="001C6219" w:rsidRDefault="001C6219" w:rsidP="001C6219">
      <w:pPr>
        <w:pStyle w:val="P68B1DB1-Normal1"/>
      </w:pPr>
      <w:r>
        <w:t>Respuesta.</w:t>
      </w:r>
    </w:p>
    <w:p w:rsidR="001C6219" w:rsidRDefault="001C6219" w:rsidP="001C6219">
      <w:r>
        <w:t>El anexo XVII establece los «Datos que deben registrarse y almacenarse electrónicamente en cada operación». Los campos de datos 112 a 114 del anexo XVII del RDC solo son pertinentes para los gastos reembolsados por la Comisión sobre la base de opciones de costes simplificados (artículo 94 del RDC), mientras que los campos de datos 115-117 solo son pertinentes en caso de que la Comisión reembolse los gastos sobre la base de financiación no vinculada a los costes (artículo 95 del RDC). En tales casos:</w:t>
      </w:r>
    </w:p>
    <w:p w:rsidR="001C6219" w:rsidRDefault="001C6219" w:rsidP="001C6219">
      <w:r>
        <w:rPr>
          <w:u w:val="single"/>
        </w:rPr>
        <w:t>1) para el campo de datos 112 relativo a las opciones de costes simplificados</w:t>
      </w:r>
      <w:r>
        <w:t>: lo que debe introducirse es a) cuándo (fecha) el gasto se pagó a los beneficiarios de las operaciones cubiertas por el artículo 94 y b) la forma de subvención de este reembolso, es decir, los costes realmente contraídos y pagados o un tipo de OCS [la forma de subvención con arreglo al artículo 53 (1) del RDC]. La expresión «cada tipo de gasto en una solicitud de pago» se refiere al tipo de OCS declarado a la Comisión en consonancia con el tipo de OCS aprobado en virtud del artículo 94 [artículo 51, letras c) a e), del RDC].</w:t>
      </w:r>
    </w:p>
    <w:p w:rsidR="001C6219" w:rsidRDefault="001C6219" w:rsidP="001C6219">
      <w:r>
        <w:rPr>
          <w:u w:val="single"/>
        </w:rPr>
        <w:t>2) campo de datos 115</w:t>
      </w:r>
      <w:r>
        <w:t>: lo que debe introducirse es a) cuándo (fecha) los gastos se abonaron a los beneficiarios de las operaciones contempladas en el artículo 95; b) la forma de subvención de este reembolso, es decir, los costes realmente contraídos y pagados o un tipo de OCS o FNLC (la forma de subvención de conformidad con el artículo 53 (1) (a) — (f) del RDC) y c) el «tipo» de ayuda se refiere a si se proporciona a través de subvenciones, instrumentos financieros o premios (la forma de apoyo con arreglo al artículo 52 del RDC).</w:t>
      </w:r>
    </w:p>
    <w:p w:rsidR="001C6219" w:rsidRDefault="001C6219" w:rsidP="001C6219">
      <w:r>
        <w:lastRenderedPageBreak/>
        <w:t>3) cabe señalar que los campos de datos 112 y 115 del anexo XVII del RDC no requieren información sobre los importes reembolsados a los beneficiarios en relación con los regímenes aprobados sobre la base del artículo 94 o 95 del RDC.  </w:t>
      </w:r>
    </w:p>
    <w:p w:rsidR="001C6219" w:rsidRDefault="001C6219" w:rsidP="001C6219"/>
    <w:p w:rsidR="001C6219" w:rsidRDefault="001C6219" w:rsidP="001C6219"/>
    <w:p w:rsidR="001C6219" w:rsidRDefault="001C6219" w:rsidP="001C6219">
      <w:pPr>
        <w:pStyle w:val="Ttulo1"/>
      </w:pPr>
      <w:bookmarkStart w:id="271" w:name="scroll-bookmark-295"/>
      <w:bookmarkStart w:id="272" w:name="scroll-bookmark-296"/>
      <w:bookmarkEnd w:id="271"/>
      <w:r>
        <w:t>QA00155 — Verificaciones relativas a la reubicación — RDC y Reglamento CTE 2021-2027</w:t>
      </w:r>
      <w:bookmarkEnd w:id="272"/>
    </w:p>
    <w:p w:rsidR="001C6219" w:rsidRDefault="001C6219" w:rsidP="001C6219">
      <w:r>
        <w:rPr>
          <w:noProof/>
          <w:lang w:val="es-ES"/>
        </w:rPr>
        <w:drawing>
          <wp:inline distT="0" distB="0" distL="0" distR="0" wp14:anchorId="4264ECC6" wp14:editId="34DC4F8E">
            <wp:extent cx="152435" cy="152435"/>
            <wp:effectExtent l="0" t="0" r="0" b="0"/>
            <wp:docPr id="100547" name="Imagen 1005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22, apartado 4, letra h), del Reglamento Interreg,</w:t>
      </w:r>
    </w:p>
    <w:p w:rsidR="001C6219" w:rsidRDefault="001C6219" w:rsidP="001C6219">
      <w:r>
        <w:t>punto (27) artículo 2 del RDC,</w:t>
      </w:r>
    </w:p>
    <w:p w:rsidR="001C6219" w:rsidRDefault="001C6219" w:rsidP="001C6219">
      <w:r>
        <w:t>artículo 65, apartado 1, letra a), del RDC</w:t>
      </w:r>
    </w:p>
    <w:p w:rsidR="001C6219" w:rsidRDefault="001C6219" w:rsidP="001C6219">
      <w:r>
        <w:rPr>
          <w:noProof/>
          <w:lang w:val="es-ES"/>
        </w:rPr>
        <w:drawing>
          <wp:inline distT="0" distB="0" distL="0" distR="0" wp14:anchorId="02E4DC72" wp14:editId="20E9BD6F">
            <wp:extent cx="152435" cy="152435"/>
            <wp:effectExtent l="0" t="0" r="0" b="0"/>
            <wp:docPr id="100549" name="Imagen 1005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El artículo 22, apartado 4, letra h), del Reglamento Interreg prevé que el comité </w:t>
      </w:r>
      <w:r>
        <w:rPr>
          <w:i/>
        </w:rPr>
        <w:t>de seguimiento «se asegurará de que las operaciones no incluyan actividades que formen parte de una operación sujeta a reubicación en el sentido del artículo 2, punto (27), del Reglamento (UE) 2021/1060 o que constituyan una transferencia de una actividad productiva en el sentido del artículo 65, apartado 1, letra a)</w:t>
      </w:r>
      <w:r>
        <w:t>, de dicho Reglamento».</w:t>
      </w:r>
    </w:p>
    <w:p w:rsidR="001C6219" w:rsidRDefault="001C6219" w:rsidP="001C6219">
      <w:r>
        <w:t>¿Deberían las autoridades de gestión de los programas Interreg basarse únicamente en la información (declaraciones) facilitada por las autoridades nacionales o regionales?</w:t>
      </w:r>
    </w:p>
    <w:p w:rsidR="001C6219" w:rsidRDefault="001C6219" w:rsidP="001C6219"/>
    <w:p w:rsidR="001C6219" w:rsidRDefault="001C6219" w:rsidP="001C6219">
      <w:pPr>
        <w:pStyle w:val="P68B1DB1-Normal1"/>
      </w:pPr>
      <w:r>
        <w:t>Respuesta.</w:t>
      </w:r>
    </w:p>
    <w:p w:rsidR="001C6219" w:rsidRDefault="001C6219" w:rsidP="001C6219">
      <w:r>
        <w:t>De conformidad con el artículo 22, apartado 4, letra h), de la CTE, al seleccionar las operaciones, el comité de seguimiento o dirección debe garantizar que las operaciones no incluyan actividades que formen parte de una operación sujeta a reubicación de conformidad con el artículo 66 del RDC.</w:t>
      </w:r>
    </w:p>
    <w:p w:rsidR="001C6219" w:rsidRDefault="001C6219" w:rsidP="001C6219">
      <w:r>
        <w:t>De conformidad con el artículo 66 del RDC, cuando una contribución de los Fondos constituya ayuda estatal, la autoridad de gestión se asegurará de que la contribución no apoya la reubicación de conformidad con el artículo 14, apartado 16, del Reglamento (UE) n.º 651/2014.</w:t>
      </w:r>
    </w:p>
    <w:p w:rsidR="001C6219" w:rsidRDefault="001C6219" w:rsidP="001C6219">
      <w:r>
        <w:t xml:space="preserve">El procedimiento previsto en el artículo 14, apartado 16, del Reglamento (UE) n.º 651/2014 exige que el beneficiario confirme que no ha llevado a cabo el traslado al establecimiento en el que vaya a tener lugar la inversión inicial para la que se solicita la ayuda en los dos años anteriores a la solicitud de ayuda y se comprometa a no hacerlo </w:t>
      </w:r>
      <w:r>
        <w:lastRenderedPageBreak/>
        <w:t>hasta un período de dos años a partir de la finalización de la inversión inicial para la que se solicita la ayuda.</w:t>
      </w:r>
    </w:p>
    <w:p w:rsidR="001C6219" w:rsidRDefault="001C6219" w:rsidP="001C6219">
      <w:r>
        <w:t>Por lo tanto, la confirmación del beneficiario es necesaria para obtener la garantía exigida en el artículo 22, apartado 4, letra h), del Reglamento Interreg. </w:t>
      </w:r>
    </w:p>
    <w:p w:rsidR="001C6219" w:rsidRDefault="001C6219" w:rsidP="001C6219">
      <w:r>
        <w:t>Al apoyar el trabajo del comité de seguimiento, la autoridad de gestión debe facilitar al comité de seguimiento de manera oportuna toda la información necesaria para llevar a cabo sus tareas [artículo 75, letra a), del RDC].</w:t>
      </w:r>
    </w:p>
    <w:p w:rsidR="001C6219" w:rsidRDefault="001C6219" w:rsidP="001C6219">
      <w:r>
        <w:t>En la fase de selección de las operaciones, el comité de seguimiento o el comité director debe asegurarse de que la solicitud de ayuda contiene la confirmación (declaración) de los solicitantes sobre la reubicación de conformidad con el artículo 14, apartado 16, del Reglamento (UE) n.º 651/2014.</w:t>
      </w:r>
    </w:p>
    <w:p w:rsidR="001C6219" w:rsidRDefault="001C6219" w:rsidP="001C6219"/>
    <w:p w:rsidR="001C6219" w:rsidRDefault="001C6219" w:rsidP="001C6219"/>
    <w:p w:rsidR="001C6219" w:rsidRDefault="001C6219" w:rsidP="001C6219">
      <w:pPr>
        <w:pStyle w:val="Ttulo1"/>
      </w:pPr>
      <w:bookmarkStart w:id="273" w:name="scroll-bookmark-297"/>
      <w:bookmarkStart w:id="274" w:name="scroll-bookmark-298"/>
      <w:bookmarkEnd w:id="273"/>
      <w:r>
        <w:t>QA00156 — Tipo de cambio en el caso de las OCS como contribución de la Unión</w:t>
      </w:r>
      <w:bookmarkEnd w:id="274"/>
    </w:p>
    <w:p w:rsidR="001C6219" w:rsidRDefault="001C6219" w:rsidP="001C6219">
      <w:r>
        <w:rPr>
          <w:noProof/>
          <w:lang w:val="es-ES"/>
        </w:rPr>
        <w:drawing>
          <wp:inline distT="0" distB="0" distL="0" distR="0" wp14:anchorId="421511C2" wp14:editId="3D57266E">
            <wp:extent cx="152435" cy="152435"/>
            <wp:effectExtent l="0" t="0" r="0" b="0"/>
            <wp:docPr id="100551" name="Imagen 1005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54 del RDC </w:t>
      </w:r>
    </w:p>
    <w:p w:rsidR="001C6219" w:rsidRDefault="001C6219" w:rsidP="001C6219">
      <w:r>
        <w:t>Artículo 76 del RDC</w:t>
      </w:r>
    </w:p>
    <w:p w:rsidR="001C6219" w:rsidRDefault="001C6219" w:rsidP="001C6219">
      <w:r>
        <w:t>Artículo 94 del RDC</w:t>
      </w:r>
    </w:p>
    <w:p w:rsidR="001C6219" w:rsidRDefault="001C6219" w:rsidP="001C6219">
      <w:r>
        <w:rPr>
          <w:noProof/>
          <w:lang w:val="es-ES"/>
        </w:rPr>
        <w:drawing>
          <wp:inline distT="0" distB="0" distL="0" distR="0" wp14:anchorId="536A1377" wp14:editId="27799D57">
            <wp:extent cx="152435" cy="152435"/>
            <wp:effectExtent l="0" t="0" r="0" b="0"/>
            <wp:docPr id="100553" name="Imagen 1005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t>Trasfondo</w:t>
      </w:r>
    </w:p>
    <w:p w:rsidR="001C6219" w:rsidRDefault="001C6219" w:rsidP="001C6219">
      <w:r>
        <w:rPr>
          <w:b/>
        </w:rPr>
        <w:t>CZ había presentado a finales del año pasado una pregunta sobre el tipo de cambio que debía utilizarse al declarar a la Comisión los importes de las OCS con arreglo al artículo</w:t>
      </w:r>
      <w:r>
        <w:t xml:space="preserve"> 94. En particular, la pregunta formulada se presenta a continuación:</w:t>
      </w:r>
    </w:p>
    <w:p w:rsidR="001C6219" w:rsidRDefault="001C6219" w:rsidP="001C6219">
      <w:pPr>
        <w:pStyle w:val="P68B1DB1-Normal3"/>
      </w:pPr>
      <w:r>
        <w:t>«Nos gustaría verificar la exactitud de nuestro enfoque previsto para la conversión de los importes establecidos en las metodologías de OCS de CZK a EUR para cumplimentar la parte A del apéndice 1 del programa en SFC2021.</w:t>
      </w:r>
    </w:p>
    <w:p w:rsidR="001C6219" w:rsidRDefault="001C6219" w:rsidP="001C6219">
      <w:pPr>
        <w:pStyle w:val="P68B1DB1-Normal3"/>
      </w:pPr>
      <w:r>
        <w:t>Los importes de los costes unitarios o importes a tanto alzado establecidos en las metodologías por las autoridades de gestión se expresan en la moneda nacional (CZK). Para cumplimentar la información que figura en el apéndice 1, parte A, columna «Importe (en EUR) o porcentaje (en caso de tipos fijos) de las OCS» del SFC2021, tenemos que convertir estos importes en EUR.</w:t>
      </w:r>
    </w:p>
    <w:p w:rsidR="001C6219" w:rsidRDefault="001C6219" w:rsidP="001C6219">
      <w:pPr>
        <w:pStyle w:val="P68B1DB1-Normal3"/>
      </w:pPr>
      <w:r>
        <w:t>Para ello, tenemos previsto coordinar horizontalmente el proceso y fijar de manera uniforme el tipo de cambio utilizado para la conversión. Tenemos previsto utilizar el tipo de cambio mensual de la Comisión en el mes en el que la AG individual presentará el programa para su aprobación en SFC2021.</w:t>
      </w:r>
    </w:p>
    <w:p w:rsidR="001C6219" w:rsidRDefault="001C6219" w:rsidP="001C6219">
      <w:pPr>
        <w:pStyle w:val="P68B1DB1-Normal3"/>
      </w:pPr>
      <w:r>
        <w:lastRenderedPageBreak/>
        <w:t xml:space="preserve">Consideramos utilizar dicho tipo de cambio para la conversión únicamente como paso administrativo necesario para cumplir los requisitos establecidos en la plantilla del programa, </w:t>
      </w:r>
      <w:r w:rsidR="002F3719">
        <w:t xml:space="preserve">ya que, </w:t>
      </w:r>
      <w:r>
        <w:t>SFC2021 no nos permite introducir importes en moneda nacional.</w:t>
      </w:r>
    </w:p>
    <w:p w:rsidR="001C6219" w:rsidRDefault="001C6219" w:rsidP="001C6219">
      <w:pPr>
        <w:pStyle w:val="P68B1DB1-Normal3"/>
      </w:pPr>
      <w:r>
        <w:t>Sin embargo, en la práctica, los importes que deben abonarse a los beneficiarios en concepto de costes unitarios o importes a tanto alzado se fijarán en CZK. Solo posteriormente, cuando estos importes se incluyan en las solicitudes de pago presentadas al organismo responsable de llevar a cabo la función contable, la conversión a EUR se efectuará utilizando el tipo de cambio contable mensual de la Comisión aplicable en el mes durante el cual los gastos se registran en el sistema contable del organismo encargado por la función de contabilidad.</w:t>
      </w:r>
    </w:p>
    <w:p w:rsidR="001C6219" w:rsidRDefault="001C6219" w:rsidP="001C6219">
      <w:pPr>
        <w:pStyle w:val="P68B1DB1-Normal3"/>
      </w:pPr>
      <w:r>
        <w:t>Por lo tanto, puede ocurrir que, debido a las fluctuaciones del tipo de cambio, los importes en EUR cumplimentados en la parte A del apéndice 1 sean diferentes de los utilizados para el cálculo de los importes reclamados en las solicitudes de pago a la Comisión.</w:t>
      </w:r>
    </w:p>
    <w:p w:rsidR="001C6219" w:rsidRDefault="001C6219" w:rsidP="001C6219">
      <w:pPr>
        <w:pStyle w:val="P68B1DB1-Normal3"/>
      </w:pPr>
      <w:r>
        <w:t>Esta cuestión también se refiere a las OCS a escala de la UE una vez aprobadas por la Comisión, que pueden plantear la misma pregunta sobre el tipo de cambio correcto que debe utilizarse para la conversión de los importes fijados en EUR en CZK. Dado que las OCS a escala de la UE no se han utilizado hasta ahora en Chequia, agradeceríamos algunas orientaciones sobre esta cuestión. </w:t>
      </w:r>
    </w:p>
    <w:p w:rsidR="001C6219" w:rsidRDefault="001C6219" w:rsidP="001C6219">
      <w:pPr>
        <w:pStyle w:val="P68B1DB1-Normal3"/>
      </w:pPr>
      <w:r>
        <w:t>Sírvase confirmar que el entendimiento de CZ sobre el uso del tipo de cambio para la conversión de los importes en EUR a efectos de la presentación del apéndice 1 es correcto y que este importe puede diferir de los importes reales utilizados para calcular las solicitudes de pago debido a la fluctuación del tipo de cambio. Le agradeceríamos que nos asesorara a este respecto.»</w:t>
      </w:r>
    </w:p>
    <w:p w:rsidR="001C6219" w:rsidRDefault="001C6219" w:rsidP="001C6219">
      <w:r>
        <w:rPr>
          <w:b/>
        </w:rPr>
        <w:t>Tras una consulta interna y con la DG EMPL mediante correos electrónicos, la respuesta facilitada</w:t>
      </w:r>
      <w:r>
        <w:t xml:space="preserve"> a CZ fue la siguiente:</w:t>
      </w:r>
    </w:p>
    <w:p w:rsidR="001C6219" w:rsidRDefault="001C6219" w:rsidP="001C6219">
      <w:r>
        <w:rPr>
          <w:u w:val="single"/>
        </w:rPr>
        <w:t>«En relación con la presentación del apéndice 1 (en realidad, la fase de presentación del programa)</w:t>
      </w:r>
      <w:r>
        <w:t>: Los programas deben presentarse en euros. Por lo tanto, los importes de las OCS de CZ deben convertirse en euros al presentar el programa. CZ puede proceder como se sugiere, es decir, utilizando el tipo de cambio mensual de la Comisión en el mes en el que la AG individual presentará el programa para su aprobación en SFC2021.</w:t>
      </w:r>
    </w:p>
    <w:p w:rsidR="001C6219" w:rsidRDefault="001C6219" w:rsidP="001C6219">
      <w:r>
        <w:rPr>
          <w:u w:val="single"/>
        </w:rPr>
        <w:t>Para la fase de declaración de gastos</w:t>
      </w:r>
      <w:r>
        <w:t>:  Los importes de las OCS se aprobarán en la Decisión de la Comisión por la que se aprueba el programa. En tal caso, dado que los importes se deciden y aprueban en euros, la disposición del artículo 76 (1) (c) del RDC no es pertinente. De conformidad con el artículo 91 (4) (b) del RDC, cuando la contribución de la Unión se realice de conformidad con el artículo 51, letras c), d) y e), los importes incluidos en una solicitud de pago son los importes determinados de conformidad con la decisión a que se refiere el artículo 94, apartado 3, o el acto delegado a que se refiere el artículo 94, apartado 4. Por lo tanto, jurídicamente, el importe de la decisión de la Comisión es vinculante para la COM del Estado miembro y este importe también debe figurar en la declaración de gastos del Estado miembro.</w:t>
      </w:r>
    </w:p>
    <w:p w:rsidR="001C6219" w:rsidRDefault="001C6219" w:rsidP="001C6219">
      <w:r>
        <w:t>Esto significa que, en el caso de los reembolsos en el caso de los regímenes de OCS en virtud del artículo 94 del RDC, puede no aceptarse la propuesta de CZ (que los importes declarados a la Comisión no coincidan necesariamente con el importe de las OCS en EUR del apéndice 1 debido a posibles fluctuaciones del tipo de cambio). También se recuerda que el riesgo derivado del tipo de cambio es para ambas partes, y que la diferencia para los Estados miembros podría ser positiva o negativa. A largo plazo, la diferencia puede no ser tan grande o marginal».</w:t>
      </w:r>
    </w:p>
    <w:p w:rsidR="001C6219" w:rsidRDefault="001C6219" w:rsidP="001C6219"/>
    <w:p w:rsidR="001C6219" w:rsidRDefault="001C6219" w:rsidP="001C6219">
      <w:pPr>
        <w:pStyle w:val="P68B1DB1-Normal1"/>
      </w:pPr>
      <w:r>
        <w:t>Pregunta</w:t>
      </w:r>
    </w:p>
    <w:p w:rsidR="001C6219" w:rsidRDefault="001C6219" w:rsidP="001C6219">
      <w:r>
        <w:t>Las autoridades volvieron a plantear una pregunta de seguimiento en la que se afirmaba lo siguiente:</w:t>
      </w:r>
    </w:p>
    <w:p w:rsidR="001C6219" w:rsidRDefault="001C6219" w:rsidP="001C6219">
      <w:r>
        <w:t>«Entendemos claramente que los importes de los costes unitarios o importes a tanto alzado establecidos y descritos en el apéndice 1 deben expresarse en EUR. </w:t>
      </w:r>
    </w:p>
    <w:p w:rsidR="001C6219" w:rsidRDefault="001C6219" w:rsidP="001C6219">
      <w:r>
        <w:t>Sin embargo, no vemos por qué en este caso el uso del artículo 76 (1) (c) no es pertinente.  Es evidente que las OCS de conformidad con el artículo 94 (3) deben aprobarse en la Decisión de la Comisión y que todos los importes del programa deben expresarse en EUR, pero, en nuestra opinión, el principio básico de convertir en EUR los importes de los gastos efectuados en otra moneda se define en el artículo 76 (1) (c). Esta opinión está respaldada por el artículo 76 (3), que establece una excepción específica al artículo 76 (1) (c) para los programas Interreg, pero no existe ninguna excepción en relación con el artículo 94.</w:t>
      </w:r>
    </w:p>
    <w:p w:rsidR="001C6219" w:rsidRDefault="001C6219" w:rsidP="001C6219">
      <w:r>
        <w:t>Consideramos que los importes adoptados con arreglo al artículo 94 son muy similares a los del actual período de programación 2014-2020 establecidos para el FSE en los actos delegados adoptados por la Comisión de conformidad con el artículo 14 (1) del Reglamento (CE) no 1304/2013 [véase el acto delegado 2015/2195 [C (2020) 8641 de diciembre de 2020]]. Todos los importes se expresan en moneda nacional y solo posteriormente a efectos del cálculo del importe que debe incluirse en la solicitud de pago, estos importes se convierten a EUR utilizando el tipo de cambio mensual de la Comisión establecido en el artículo 133 (1) del Reglamento (CE) no 1303/2013.</w:t>
      </w:r>
    </w:p>
    <w:p w:rsidR="001C6219" w:rsidRDefault="001C6219" w:rsidP="001C6219">
      <w:r>
        <w:t>Además, los importes y tipos propuestos con arreglo al artículo 94 se basan en un método de cálculo detallado, justo, equitativo y verificable realizado en moneda nacional. La autoridad de auditoría también evalúa el método de cálculo junto con los importes establecidos en la moneda nacional. Por el contrario, la autoridad de auditoría no emite ningún dictamen sobre los importes en euros incluidos en el apéndice 1 ni sobre el tipo de cambio utilizado. En consecuencia, se declararían a la Comisión importes diferentes en EUR que los calculados y revisados con precisión por la AA.</w:t>
      </w:r>
    </w:p>
    <w:p w:rsidR="001C6219" w:rsidRDefault="001C6219" w:rsidP="001C6219">
      <w:r>
        <w:t>Además, en Chequia hemos previsto utilizar los mismos importes y el mismo método de declaración a nivel de beneficiario COM (EM y AG), lo que, sin embargo, ya no sería posible si se aplicara la explicación actual. De este modo, los Estados miembros que han adoptado el euro como moneda se verían en una posición más ventajosa que los que utilizan las monedas nacionales.</w:t>
      </w:r>
    </w:p>
    <w:p w:rsidR="001C6219" w:rsidRDefault="001C6219" w:rsidP="001C6219">
      <w:r>
        <w:t>Por último, no entendemos por qué debería existir un principio de conversión diferente en caso de utilizar los costes reales y las OCS de conformidad con el artículo 94, en particular cuando el cálculo del importe de las OCS se determina sobre la base de los costes reales. En nuestra opinión, los costes simplificados deberían acercarse lo más posible a los costes reales. Esto solo puede lograrse utilizando los importes fijados en la moneda nacional y convirtiéndolos en el tipo de cambio real.»</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pPr>
        <w:numPr>
          <w:ilvl w:val="0"/>
          <w:numId w:val="141"/>
        </w:numPr>
      </w:pPr>
      <w:r>
        <w:lastRenderedPageBreak/>
        <w:t>De conformidad con el artículo 94 del RDC, la Comisión podrá reembolsar la contribución de la Unión a un programa sobre la base de las OCS basadas en los importes y porcentajes aprobados por una decisión de la Comisión.</w:t>
      </w:r>
    </w:p>
    <w:p w:rsidR="001C6219" w:rsidRDefault="001C6219" w:rsidP="001C6219">
      <w:r>
        <w:t>A tal efecto, un Estado miembro deberá presentar una propuesta a la Comisión de conformidad con los modelos que figuran en los anexos V y VI, como parte de la presentación del programa o de una solicitud de modificación del mismo.</w:t>
      </w:r>
    </w:p>
    <w:p w:rsidR="001C6219" w:rsidRDefault="001C6219" w:rsidP="001C6219">
      <w:r>
        <w:t>De conformidad con el artículo 94, apartado 3, del RDC, la decisión por la que se apruebe el programa o su modificación establecerá los tipos de operaciones cubiertas por el reembolso basado en los costes unitarios, los importes a tanto alzado y los tipos fijos, la definición y los importes cubiertos por dichas OCS, así como los métodos de ajuste de los importes.</w:t>
      </w:r>
    </w:p>
    <w:p w:rsidR="001C6219" w:rsidRDefault="001C6219" w:rsidP="001C6219">
      <w:r>
        <w:t>De conformidad con el artículo 87 del RDC, todos los importes establecidos en los programas, incluidos los apéndices sobre opciones de costes simplificados, notificados o declarados a la Comisión deben expresarse en euros. El tipo de cambio utilizado por la función de contabilidad sobre la base del artículo 76 del RDC no puede modificar las decisiones de financiación por las que se adopta o modifica el programa.</w:t>
      </w:r>
    </w:p>
    <w:p w:rsidR="001C6219" w:rsidRDefault="001C6219" w:rsidP="001C6219">
      <w:pPr>
        <w:numPr>
          <w:ilvl w:val="0"/>
          <w:numId w:val="142"/>
        </w:numPr>
      </w:pPr>
      <w:r>
        <w:t>El artículo 91, apartado 4, letra a), y letra b), del RDC define los importes que deben incluirse en las solicitudes de pago cuando la contribución de la Unión se realice de conformidad con el artículo 51, letra a), letras a) y d), del RDC: se trata de los importes expresados en euros según lo establecido en las decisiones a que se refiere el artículo 94, apartado 3, o en el artículo 95 (2) del RDC o en los actos delegados a que se refiere el artículo 94, apartado 4, o el artículo 95 (4) del RDC. Por esta razón, el artículo 76 no se aplica a tales casos.</w:t>
      </w:r>
    </w:p>
    <w:p w:rsidR="001C6219" w:rsidRDefault="001C6219" w:rsidP="001C6219">
      <w:pPr>
        <w:numPr>
          <w:ilvl w:val="0"/>
          <w:numId w:val="142"/>
        </w:numPr>
      </w:pPr>
      <w:r>
        <w:t>El marco legislativo del Reglamento del FSE es diferente del período de programación 2021-2027, por lo que la comparación con el Reglamento 1304/2013 y el acto delegado 2015/2195 no es pertinente. En particular, los importes de las OCS en el acto delegado se establecen en moneda nacional, lo que no es el caso de los importes de las OCS en la decisión de la Comisión en virtud del artículo 94 del RDC. Por lo tanto, estas cantidades en moneda nacional serán convertidas en euros por las autoridades nacionales cuando declaren los gastos a la Comisión de conformidad con el artículo 133, apartado 1, del RDC. Por lo tanto, se respeta plenamente el marco jurídico y no pueden producirse discrepancias entre los importes de los dos niveles debido a la conversión.</w:t>
      </w:r>
    </w:p>
    <w:p w:rsidR="001C6219" w:rsidRDefault="001C6219" w:rsidP="001C6219">
      <w:r>
        <w:t>Conclusión:</w:t>
      </w:r>
    </w:p>
    <w:p w:rsidR="001C6219" w:rsidRDefault="001C6219" w:rsidP="001C6219">
      <w:pPr>
        <w:numPr>
          <w:ilvl w:val="0"/>
          <w:numId w:val="143"/>
        </w:numPr>
      </w:pPr>
      <w:r>
        <w:t>La Decisión de la Comisión por la que se aprueba el programa aprueba los importes de las OCS en euros con arreglo al artículo 94 del RDC. La modificación del importe acordado requiere una modificación de la decisión de financiación. Independientemente del resultado de la conversión a nivel nacional, el importe incluido en una solicitud de pago a la Comisión de conformidad con el artículo 91, apartado 4, letra b), no podrá ser diferente del importe de las OCS aprobado en la Decisión.</w:t>
      </w:r>
    </w:p>
    <w:p w:rsidR="001C6219" w:rsidRDefault="001C6219" w:rsidP="001C6219">
      <w:pPr>
        <w:numPr>
          <w:ilvl w:val="0"/>
          <w:numId w:val="143"/>
        </w:numPr>
      </w:pPr>
      <w:r>
        <w:t xml:space="preserve">Si las autoridades nacionales consideran que este método no es adecuado para ellas, solo pueden aplicar OCS con arreglo a los artículos 53 a 56 del RDC. En este caso, sobre la base de 91 (4) (c), las solicitudes de pago incluirían el importe de </w:t>
      </w:r>
      <w:r>
        <w:lastRenderedPageBreak/>
        <w:t>las OCS calculado sobre la base aplicable. Este importe, fijado en moneda nacional, se convertiría entonces en euros de conformidad con el artículo 76 del RDC.</w:t>
      </w:r>
    </w:p>
    <w:p w:rsidR="001C6219" w:rsidRDefault="001C6219" w:rsidP="001C6219"/>
    <w:p w:rsidR="001C6219" w:rsidRDefault="001C6219" w:rsidP="001C6219"/>
    <w:p w:rsidR="001C6219" w:rsidRDefault="001C6219" w:rsidP="001C6219">
      <w:pPr>
        <w:pStyle w:val="Ttulo1"/>
      </w:pPr>
      <w:bookmarkStart w:id="275" w:name="scroll-bookmark-299"/>
      <w:bookmarkStart w:id="276" w:name="scroll-bookmark-300"/>
      <w:bookmarkEnd w:id="275"/>
      <w:r>
        <w:t>QA00157 — Importe incobrable inferior a 250 EUR en el período de programación 2021-2027</w:t>
      </w:r>
      <w:bookmarkEnd w:id="276"/>
    </w:p>
    <w:p w:rsidR="001C6219" w:rsidRDefault="001C6219" w:rsidP="001C6219">
      <w:r>
        <w:rPr>
          <w:noProof/>
          <w:lang w:val="es-ES"/>
        </w:rPr>
        <w:drawing>
          <wp:inline distT="0" distB="0" distL="0" distR="0" wp14:anchorId="7F95D5AA" wp14:editId="3232CA67">
            <wp:extent cx="152435" cy="152435"/>
            <wp:effectExtent l="0" t="0" r="0" b="0"/>
            <wp:docPr id="100555" name="Imagen 1005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69 del RDC</w:t>
      </w:r>
    </w:p>
    <w:p w:rsidR="001C6219" w:rsidRDefault="001C6219" w:rsidP="001C6219">
      <w:r>
        <w:rPr>
          <w:noProof/>
          <w:lang w:val="es-ES"/>
        </w:rPr>
        <w:drawing>
          <wp:inline distT="0" distB="0" distL="0" distR="0" wp14:anchorId="618B9DC5" wp14:editId="44306BED">
            <wp:extent cx="152435" cy="152435"/>
            <wp:effectExtent l="0" t="0" r="0" b="0"/>
            <wp:docPr id="100557" name="Imagen 1005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el contexto del Reglamento (CE) n.º 1083/2006 del Consejo</w:t>
      </w:r>
      <w:r>
        <w:rPr>
          <w:b/>
        </w:rPr>
        <w:t xml:space="preserve"> </w:t>
      </w:r>
      <w:r>
        <w:t xml:space="preserve">2014-2020, artículo 122, que establece que "... Cuando los importes abonados indebidamente a un beneficiario no puedan recuperarse y ello se deba a una falta o negligencia por parte de un Estado miembro, el Estado miembro será responsable de reembolsar los importes en cuestión al presupuesto de la Unión. </w:t>
      </w:r>
      <w:r>
        <w:rPr>
          <w:u w:val="single"/>
        </w:rPr>
        <w:t>Los Estados miembros podrán decidir no recuperar un importe indebidamente pagado si el importe por recuperar del beneficiario, sin incluir los intereses, no supera los 250 EUR en contribución de los Fondos.</w:t>
      </w:r>
    </w:p>
    <w:p w:rsidR="001C6219" w:rsidRDefault="001C6219" w:rsidP="001C6219">
      <w:pPr>
        <w:numPr>
          <w:ilvl w:val="0"/>
          <w:numId w:val="144"/>
        </w:numPr>
      </w:pPr>
      <w:r>
        <w:t>¿Cuál sería un importe adecuado pagado indebidamente para que un Estado miembro decidiera no recuperar del beneficiario en el período de financiación 2021-2027? ¿Qué principios y disposiciones deberían tenerse en cuenta a la hora de decidir el importe adecuado?  </w:t>
      </w:r>
    </w:p>
    <w:p w:rsidR="001C6219" w:rsidRDefault="001C6219" w:rsidP="001C6219">
      <w:pPr>
        <w:numPr>
          <w:ilvl w:val="0"/>
          <w:numId w:val="145"/>
        </w:numPr>
      </w:pPr>
      <w:r>
        <w:t>¿Conviene mantener la práctica actual del período de financiación 2014-2020 y optar por no recuperar un importe indebidamente pagado si el importe que debe recuperarse del beneficiario, sin incluir los intereses, no supera los 250 EUR de contribución de los Fondos? ¿O también sería aceptable elegir cualquier otro importe que consideramos apropiado no recuperar?</w:t>
      </w:r>
    </w:p>
    <w:p w:rsidR="001C6219" w:rsidRDefault="001C6219" w:rsidP="001C6219">
      <w:pPr>
        <w:pStyle w:val="P68B1DB1-Normal1"/>
      </w:pPr>
      <w:r>
        <w:t>Respuesta.</w:t>
      </w:r>
    </w:p>
    <w:p w:rsidR="001C6219" w:rsidRDefault="001C6219" w:rsidP="001C6219">
      <w:r>
        <w:t xml:space="preserve">Como se explica en </w:t>
      </w:r>
      <w:r w:rsidR="00F70C5D">
        <w:t>la QA</w:t>
      </w:r>
      <w:r>
        <w:t>00054, la recuperación de fondos es responsabilidad de los Estados miembros en todos los casos. La Comisión solo está preocupada por las retiradas de importes, de conformidad con los artículos 98 (3) (b), 98 (6) y 98 (7) del RDC.</w:t>
      </w:r>
    </w:p>
    <w:p w:rsidR="001C6219" w:rsidRDefault="001C6219" w:rsidP="001C6219">
      <w:r>
        <w:t>De conformidad con el artículo 69, apartado 2, del RDC, los Estados miembros son responsables de adoptar todas las medidas necesarias para prevenir, detectar, corregir y notificar irregularidades, incluido el fraude. Mientras el gasto se retire de las cuentas, corresponde a los Estados miembros establecer el enfoque de las recuperaciones.</w:t>
      </w:r>
    </w:p>
    <w:p w:rsidR="001C6219" w:rsidRDefault="001C6219" w:rsidP="001C6219">
      <w:r>
        <w:lastRenderedPageBreak/>
        <w:t>A diferencia del período de programación 2014-2020, el Reglamento sobre disposiciones comunes (RDC) para el período 2021-27 no contiene ninguna disposición relativa a la recuperación de los importes pagados indebidamente.</w:t>
      </w:r>
    </w:p>
    <w:p w:rsidR="001C6219" w:rsidRDefault="001C6219" w:rsidP="001C6219">
      <w:r>
        <w:t>Por otra parte, el artículo 52, apartado 2, de la CTE establece las condiciones específicas para las recuperaciones en el marco de los programas Interreg. Indica que no es necesario recuperar de los socios del proyecto importes inferiores a 250 EUR para evitar complicados procedimientos de recuperación entre países por importes menores.</w:t>
      </w:r>
    </w:p>
    <w:p w:rsidR="001C6219" w:rsidRDefault="001C6219" w:rsidP="001C6219"/>
    <w:p w:rsidR="001C6219" w:rsidRDefault="001C6219" w:rsidP="001C6219"/>
    <w:p w:rsidR="001C6219" w:rsidRDefault="001C6219" w:rsidP="001C6219">
      <w:pPr>
        <w:pStyle w:val="Ttulo1"/>
      </w:pPr>
      <w:bookmarkStart w:id="277" w:name="scroll-bookmark-301"/>
      <w:bookmarkStart w:id="278" w:name="scroll-bookmark-302"/>
      <w:bookmarkEnd w:id="277"/>
      <w:r>
        <w:t>PC00158 — Utilización de los instrumentos financieros en el marco del FEMPA</w:t>
      </w:r>
      <w:bookmarkEnd w:id="278"/>
    </w:p>
    <w:p w:rsidR="001C6219" w:rsidRDefault="001C6219" w:rsidP="001C6219">
      <w:r>
        <w:rPr>
          <w:noProof/>
          <w:lang w:val="es-ES"/>
        </w:rPr>
        <w:drawing>
          <wp:inline distT="0" distB="0" distL="0" distR="0" wp14:anchorId="10A94961" wp14:editId="4970BF64">
            <wp:extent cx="152435" cy="152435"/>
            <wp:effectExtent l="0" t="0" r="0" b="0"/>
            <wp:docPr id="100559" name="Imagen 1005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 Artículos 58 a 62 del RDC</w:t>
      </w:r>
      <w:r>
        <w:t> </w:t>
      </w:r>
    </w:p>
    <w:p w:rsidR="001C6219" w:rsidRDefault="001C6219" w:rsidP="001C6219">
      <w:r>
        <w:rPr>
          <w:noProof/>
          <w:lang w:val="es-ES"/>
        </w:rPr>
        <w:drawing>
          <wp:inline distT="0" distB="0" distL="0" distR="0" wp14:anchorId="056B3F2A" wp14:editId="7E62EDF2">
            <wp:extent cx="152435" cy="152435"/>
            <wp:effectExtent l="0" t="0" r="0" b="0"/>
            <wp:docPr id="100561" name="Imagen 1005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1C6219" w:rsidRDefault="001C6219" w:rsidP="001C6219"/>
    <w:p w:rsidR="001C6219" w:rsidRDefault="001C6219" w:rsidP="001C6219">
      <w:pPr>
        <w:pStyle w:val="P68B1DB1-Normal1"/>
      </w:pPr>
      <w:r>
        <w:t>Preguntas (incluidos los hechos y la información pertinentes):</w:t>
      </w:r>
    </w:p>
    <w:p w:rsidR="001C6219" w:rsidRDefault="001C6219" w:rsidP="001C6219">
      <w:pPr>
        <w:numPr>
          <w:ilvl w:val="0"/>
          <w:numId w:val="146"/>
        </w:numPr>
      </w:pPr>
      <w:r>
        <w:t>¿Es aceptable utilizar instrumentos financieros financiados con el apoyo del FEMPA en forma de micropréstamos y pequeños préstamos para el capital circulante?</w:t>
      </w:r>
    </w:p>
    <w:p w:rsidR="001C6219" w:rsidRDefault="001C6219" w:rsidP="001C6219">
      <w:pPr>
        <w:numPr>
          <w:ilvl w:val="0"/>
          <w:numId w:val="146"/>
        </w:numPr>
      </w:pPr>
      <w:r>
        <w:t>En lugar de proporcionar instrumentos financieros para préstamos de riesgo compartido de inversión a grandes empresas, según lo previsto inicialmente, es posible financiarlos con instrumentos financieros para préstamos de capital circulante?</w:t>
      </w:r>
    </w:p>
    <w:p w:rsidR="001C6219" w:rsidRDefault="001C6219" w:rsidP="001C6219">
      <w:pPr>
        <w:numPr>
          <w:ilvl w:val="0"/>
          <w:numId w:val="146"/>
        </w:numPr>
      </w:pPr>
      <w:r>
        <w:t>¿Es posible utilizar garantías de cartera para préstamos de capital circulante en lugar de garantías individuales (para microempresarios y pequeños y medianos empresarios), especialmente en una crisis económica actual, cuando las inversiones de capital se han ralentizado y existe una mayor necesidad de capital circulante.</w:t>
      </w:r>
    </w:p>
    <w:p w:rsidR="001C6219" w:rsidRDefault="001C6219" w:rsidP="001C6219"/>
    <w:p w:rsidR="001C6219" w:rsidRDefault="001C6219" w:rsidP="001C6219">
      <w:pPr>
        <w:pStyle w:val="P68B1DB1-Normal1"/>
      </w:pPr>
      <w:r>
        <w:t>Respuestas:</w:t>
      </w:r>
    </w:p>
    <w:p w:rsidR="001C6219" w:rsidRDefault="001C6219" w:rsidP="001C6219">
      <w:pPr>
        <w:pStyle w:val="P68B1DB1-Normal2"/>
      </w:pPr>
      <w:r>
        <w:t xml:space="preserve">A los puntos 1 y 2. </w:t>
      </w:r>
    </w:p>
    <w:p w:rsidR="001C6219" w:rsidRDefault="001C6219" w:rsidP="001C6219">
      <w:r>
        <w:t xml:space="preserve">En primer lugar, de conformidad con el artículo 58, apartado 3, del RDC, la ayuda de los Fondos a través de instrumentos financieros debe basarse en </w:t>
      </w:r>
      <w:r>
        <w:rPr>
          <w:i/>
        </w:rPr>
        <w:t>una evaluación</w:t>
      </w:r>
      <w:r>
        <w:t xml:space="preserve"> ex ante, que debe incluir al menos el importe propuesto de contribución del programa, los productos financieros más adecuados para subsanar las lagunas del mercado, los destinatarios finales propuestos y la contribución prevista del instrumento financiero a la consecución de objetivos específicos.</w:t>
      </w:r>
    </w:p>
    <w:p w:rsidR="001C6219" w:rsidRDefault="001C6219" w:rsidP="001C6219">
      <w:r>
        <w:lastRenderedPageBreak/>
        <w:t>Los préstamos para el capital circulante pueden recibir apoyo del FEMPA a través de instrumentos financieros, si contribuyen a la consecución de los objetivos específicos del programa FEMPA.   </w:t>
      </w:r>
    </w:p>
    <w:p w:rsidR="001C6219" w:rsidRDefault="001C6219" w:rsidP="001C6219">
      <w:r>
        <w:t>De conformidad con el anexo X del RDC, las condiciones de la contribución del programa al instrumento financiero deben identificar claramente a los destinatarios finales</w:t>
      </w:r>
      <w:hyperlink w:anchor="scroll-bookmark-303" w:history="1">
        <w:r>
          <w:rPr>
            <w:rStyle w:val="Hipervnculo"/>
          </w:rPr>
          <w:t>[1]</w:t>
        </w:r>
      </w:hyperlink>
      <w:r>
        <w:t xml:space="preserve"> (pymes, grandes empresas) a fin de subsanar las lagunas del mercado detectadas en la evaluación </w:t>
      </w:r>
      <w:r>
        <w:rPr>
          <w:i/>
        </w:rPr>
        <w:t>ex ante</w:t>
      </w:r>
      <w:r>
        <w:t>.</w:t>
      </w:r>
    </w:p>
    <w:p w:rsidR="001C6219" w:rsidRDefault="001C6219" w:rsidP="001C6219">
      <w:r>
        <w:t>Por último, téngase en cuenta que el artículo 61 del RDC permite un trato diferenciado de los inversores que operan con arreglo al principio de economía de mercado mediante un reparto adecuado de riesgos y beneficios, teniendo en cuenta el principio de buena gestión financiera. El nivel de dicho trato diferenciado no excederá de lo necesario para crear incentivos para atraer inversores privados.</w:t>
      </w:r>
    </w:p>
    <w:p w:rsidR="001C6219" w:rsidRDefault="001C6219" w:rsidP="001C6219"/>
    <w:p w:rsidR="001C6219" w:rsidRDefault="001C6219" w:rsidP="001C6219">
      <w:r>
        <w:rPr>
          <w:u w:val="single"/>
        </w:rPr>
        <w:t xml:space="preserve">(3) </w:t>
      </w:r>
      <w:r>
        <w:t xml:space="preserve">Nada en el marco jurídico prohíbe el uso de garantías de cartera para préstamos de capital circulante, si están claramente justificadas por la evaluación </w:t>
      </w:r>
      <w:r>
        <w:rPr>
          <w:i/>
        </w:rPr>
        <w:t>ex ante</w:t>
      </w:r>
      <w:r>
        <w:t>.</w:t>
      </w:r>
    </w:p>
    <w:p w:rsidR="001C6219" w:rsidRDefault="001C6219" w:rsidP="001C6219">
      <w:r>
        <w:t>TIERNA _</w:t>
      </w:r>
    </w:p>
    <w:p w:rsidR="001C6219" w:rsidRDefault="00FC0FB1" w:rsidP="001C6219">
      <w:hyperlink w:anchor="scroll-bookmark-304" w:history="1">
        <w:r w:rsidR="001C6219">
          <w:rPr>
            <w:rStyle w:val="Hipervnculo"/>
          </w:rPr>
          <w:t>[1]</w:t>
        </w:r>
      </w:hyperlink>
      <w:r w:rsidR="001C6219">
        <w:t xml:space="preserve"> En consonancia con las normas de subvencionabilidad de los programas subyacentes.</w:t>
      </w:r>
    </w:p>
    <w:p w:rsidR="001C6219" w:rsidRDefault="001C6219" w:rsidP="001C6219"/>
    <w:p w:rsidR="001C6219" w:rsidRDefault="001C6219" w:rsidP="001C6219"/>
    <w:p w:rsidR="001C6219" w:rsidRDefault="001C6219" w:rsidP="001C6219">
      <w:pPr>
        <w:pStyle w:val="Ttulo1"/>
      </w:pPr>
      <w:bookmarkStart w:id="279" w:name="scroll-bookmark-305"/>
      <w:bookmarkStart w:id="280" w:name="scroll-bookmark-306"/>
      <w:bookmarkEnd w:id="279"/>
      <w:r>
        <w:t>AP00159 — La futura estructura del Comité de Seguimiento del FEMP durante el período de financiación del FEMPA</w:t>
      </w:r>
      <w:bookmarkEnd w:id="280"/>
    </w:p>
    <w:p w:rsidR="001C6219" w:rsidRDefault="001C6219" w:rsidP="001C6219">
      <w:r>
        <w:rPr>
          <w:noProof/>
          <w:lang w:val="es-ES"/>
        </w:rPr>
        <w:drawing>
          <wp:inline distT="0" distB="0" distL="0" distR="0" wp14:anchorId="344F45E4" wp14:editId="603901BC">
            <wp:extent cx="152435" cy="152435"/>
            <wp:effectExtent l="0" t="0" r="0" b="0"/>
            <wp:docPr id="100563" name="Imagen 1005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Artículos 38 y 39 del RDC</w:t>
      </w:r>
    </w:p>
    <w:p w:rsidR="001C6219" w:rsidRDefault="001C6219" w:rsidP="001C6219">
      <w:r>
        <w:t>Artículo 49 del RDC 2014-2020</w:t>
      </w:r>
    </w:p>
    <w:p w:rsidR="001C6219" w:rsidRDefault="001C6219" w:rsidP="001C6219">
      <w:r>
        <w:rPr>
          <w:noProof/>
          <w:lang w:val="es-ES"/>
        </w:rPr>
        <w:drawing>
          <wp:inline distT="0" distB="0" distL="0" distR="0" wp14:anchorId="06047533" wp14:editId="7410C837">
            <wp:extent cx="152435" cy="152435"/>
            <wp:effectExtent l="0" t="0" r="0" b="0"/>
            <wp:docPr id="100565" name="Imagen 1005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cuanto al futuro del Comité de Seguimiento del FEMP, ¿puede el nuevo Comité de Seguimiento del FEMPA tratar también las preguntas del FEMP, o puede la autoridad de seguimiento finlandesa gestionar el MC del FEMP mediante procedimiento escrito hasta 2023?</w:t>
      </w:r>
    </w:p>
    <w:p w:rsidR="001C6219" w:rsidRDefault="001C6219" w:rsidP="001C6219"/>
    <w:p w:rsidR="001C6219" w:rsidRDefault="001C6219" w:rsidP="001C6219">
      <w:pPr>
        <w:pStyle w:val="P68B1DB1-Normal1"/>
      </w:pPr>
      <w:r>
        <w:t>Respuesta.</w:t>
      </w:r>
    </w:p>
    <w:p w:rsidR="001C6219" w:rsidRDefault="001C6219" w:rsidP="001C6219">
      <w:r>
        <w:t xml:space="preserve">Por lo que se refiere al solapamiento entre los dos períodos, los comités plurianuales de 2014-2020 seguirán cumpliendo sus tareas hasta el cierre del programa pertinente </w:t>
      </w:r>
      <w:r>
        <w:lastRenderedPageBreak/>
        <w:t>(incluidos el examen y la aprobación del informe final de ejecución o el último informe anual de ejecución del FEMP).  En caso de continuidad del programa en el período 2021-2027, el nuevo comité de seguimiento (MC) puede asumir las tareas del Comité de Seguimiento 2014-2020, que deberá reflejarse adecuadamente en el reglamento interno, los miembros y los órdenes del día. En el caso de los programas que no continúen en el período 2021-2027, no podrán asumirse las tareas del MC 2014-2020.</w:t>
      </w:r>
    </w:p>
    <w:p w:rsidR="001C6219" w:rsidRDefault="001C6219" w:rsidP="001C6219">
      <w:r>
        <w:t>Cuando el MC cubre ambos períodos, esta distinción debe quedar clara en el reglamento interno del MC. La AG debe garantizar que los socios del período anterior, si son diferentes de los del nuevo período, estén presentes en los puntos del orden del día relacionados con el período 2014-2020. El orden del día debe distinguir claramente los puntos que se refieren a los puntos 2014-2020 y 2021-2027.</w:t>
      </w:r>
    </w:p>
    <w:p w:rsidR="001C6219" w:rsidRDefault="001C6219" w:rsidP="001C6219">
      <w:r>
        <w:t>En particular, si el Comité de Seguimiento 2021-2027 tendrá una composición de miembros diferente de la del anterior, deberá establecerse claramente en el reglamento interno las consecuencias que esto tendrá en el derecho de voto de los miembros: los miembros del Comité de Seguimiento 2014-2020 pueden votar las cuestiones relativas al PO 2014-2020, los miembros del Comité de Seguimiento 2021-2027 pueden votar cuestiones relativas al programa o programas 2021-2027, y los miembros de ambas comisiones parlamentarias pueden votar todas las preguntas.</w:t>
      </w:r>
    </w:p>
    <w:p w:rsidR="001C6219" w:rsidRDefault="001C6219" w:rsidP="001C6219">
      <w:r>
        <w:t xml:space="preserve">El artículo 49, apartado 1, del RDC 1303/2013 establece </w:t>
      </w:r>
      <w:r w:rsidR="00A07290">
        <w:t>que</w:t>
      </w:r>
      <w:r w:rsidR="00A07290">
        <w:rPr>
          <w:i/>
        </w:rPr>
        <w:t xml:space="preserve"> “el</w:t>
      </w:r>
      <w:r>
        <w:rPr>
          <w:i/>
        </w:rPr>
        <w:t xml:space="preserve"> comité de seguimiento se reunirá al menos una vez al año y examinará la ejecución del programa y los progresos realizados en la consecución de</w:t>
      </w:r>
      <w:r>
        <w:t xml:space="preserve"> sus objetivos». Esta disposición exige que se celebre al menos una reunión presencial o en línea cada año. Una reunión de este tipo no puede sustituirse por consultas escritas del Comité de Seguimiento.</w:t>
      </w:r>
    </w:p>
    <w:p w:rsidR="001C6219" w:rsidRDefault="001C6219" w:rsidP="001C6219"/>
    <w:p w:rsidR="001C6219" w:rsidRDefault="001C6219" w:rsidP="001C6219"/>
    <w:p w:rsidR="001C6219" w:rsidRDefault="001C6219" w:rsidP="001C6219">
      <w:pPr>
        <w:pStyle w:val="Ttulo1"/>
      </w:pPr>
      <w:bookmarkStart w:id="281" w:name="scroll-bookmark-307"/>
      <w:bookmarkStart w:id="282" w:name="scroll-bookmark-308"/>
      <w:bookmarkEnd w:id="281"/>
      <w:r>
        <w:t>QA00160 — Responsabilidades de los beneficiarios</w:t>
      </w:r>
      <w:bookmarkEnd w:id="282"/>
    </w:p>
    <w:p w:rsidR="001C6219" w:rsidRDefault="001C6219" w:rsidP="001C6219">
      <w:r>
        <w:rPr>
          <w:noProof/>
          <w:lang w:val="es-ES"/>
        </w:rPr>
        <w:drawing>
          <wp:inline distT="0" distB="0" distL="0" distR="0" wp14:anchorId="42DDEA01" wp14:editId="5667044D">
            <wp:extent cx="152435" cy="152435"/>
            <wp:effectExtent l="0" t="0" r="0" b="0"/>
            <wp:docPr id="100567" name="Imagen 1005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del RDC</w:t>
      </w:r>
    </w:p>
    <w:p w:rsidR="001C6219" w:rsidRDefault="001C6219" w:rsidP="001C6219">
      <w:r>
        <w:rPr>
          <w:noProof/>
          <w:lang w:val="es-ES"/>
        </w:rPr>
        <w:drawing>
          <wp:inline distT="0" distB="0" distL="0" distR="0" wp14:anchorId="491CD2F1" wp14:editId="71D540A3">
            <wp:extent cx="152435" cy="152435"/>
            <wp:effectExtent l="0" t="0" r="0" b="0"/>
            <wp:docPr id="100569" name="Imagen 1005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pStyle w:val="P68B1DB1-Normal2"/>
      </w:pPr>
      <w:r>
        <w:t>Artículo 50, apartado 1, letra a), del RDC</w:t>
      </w:r>
    </w:p>
    <w:p w:rsidR="001C6219" w:rsidRDefault="001C6219" w:rsidP="001C6219">
      <w:r>
        <w:t>En consecuencia, los beneficiarios están obligados a describir el proyecto de financiación (incluidos los objetivos y los resultados) en su sitio web oficial — «si existe tal sitio web» — o en las redes sociales.</w:t>
      </w:r>
    </w:p>
    <w:p w:rsidR="001C6219" w:rsidRDefault="001C6219" w:rsidP="001C6219">
      <w:r>
        <w:t>Dado que hay cambios constantes, especialmente en el ámbito de Internet y de las redes sociales, se plantea la cuestión de qué momento es determinante para esta obligación? ¿Es el momento de la solicitud? Esto significaría:</w:t>
      </w:r>
    </w:p>
    <w:p w:rsidR="001C6219" w:rsidRDefault="001C6219" w:rsidP="001C6219">
      <w:r>
        <w:lastRenderedPageBreak/>
        <w:t>Si no hay sitio web o actividad en las redes sociales en el momento de la presentación de la solicitud, no debe incluirse ninguna obligación correspondiente en el anuncio de aprobación.</w:t>
      </w:r>
    </w:p>
    <w:p w:rsidR="001C6219" w:rsidRDefault="001C6219" w:rsidP="001C6219">
      <w:r>
        <w:t xml:space="preserve">Se trataría de una solución viable y sensata, </w:t>
      </w:r>
      <w:r w:rsidR="002F3719">
        <w:t xml:space="preserve">ya que, </w:t>
      </w:r>
      <w:r>
        <w:t>en el momento de la presentación de la solicitud puede realizarse la correspondiente consulta, la autoridad otorgante tiene entonces conocimiento de los emplazamientos correspondientes y el cumplimiento de esta obligación puede controlarse de manera específica.</w:t>
      </w:r>
    </w:p>
    <w:p w:rsidR="001C6219" w:rsidRDefault="001C6219" w:rsidP="001C6219">
      <w:r>
        <w:rPr>
          <w:u w:val="single"/>
        </w:rPr>
        <w:t>Artículo 50, apartado 1, letra d),</w:t>
      </w:r>
      <w:r>
        <w:t xml:space="preserve"> del RDC</w:t>
      </w:r>
    </w:p>
    <w:p w:rsidR="001C6219" w:rsidRDefault="001C6219" w:rsidP="001C6219">
      <w:r>
        <w:t>¿La obligación de facilitar información con arreglo al artículo 50, apartado 1, letra d), solo se aplica a los proyectos de inversión (proyectos de construcción, inversiones técnicas)? Esto tendría sentido en la medida en que suele estar relacionado con ubicaciones específicas («lugares visibles»). Sin embargo, en el caso de las inversiones técnicas móviles (vehículos, equipos), se plantea la cuestión de si la información correspondiente debe mostrarse o dónde.</w:t>
      </w:r>
    </w:p>
    <w:p w:rsidR="001C6219" w:rsidRDefault="001C6219" w:rsidP="001C6219"/>
    <w:p w:rsidR="001C6219" w:rsidRDefault="001C6219" w:rsidP="001C6219">
      <w:pPr>
        <w:pStyle w:val="P68B1DB1-Normal1"/>
      </w:pPr>
      <w:r>
        <w:t>Respuesta.</w:t>
      </w:r>
    </w:p>
    <w:p w:rsidR="001C6219" w:rsidRDefault="001C6219" w:rsidP="001C6219">
      <w:r>
        <w:t>El</w:t>
      </w:r>
      <w:r>
        <w:rPr>
          <w:b/>
        </w:rPr>
        <w:t xml:space="preserve"> </w:t>
      </w:r>
      <w:r>
        <w:t xml:space="preserve">art. 50 (1) establece: «1. Los beneficiarios y los organismos que ejecuten los instrumentos financieros reconocerán la ayuda de los Fondos». Las normas sobre información y comunicación se aplican a las operaciones que ya han sido seleccionadas y aprobadas para recibir ayuda, </w:t>
      </w:r>
      <w:r w:rsidR="002F3719">
        <w:t xml:space="preserve">ya que, </w:t>
      </w:r>
      <w:r>
        <w:t>su objetivo es proporcionar información sobre las operaciones financiadas por los Fondos y darles visibilidad. Esto también se ve implícito en la redacción del artículo 50 del RDC, que se refiere a los «beneficiarios» y a la «ayuda de los Fondos», lo que significa que, tras la concesión de la ayuda a la operación, debe garantizarse el pleno cumplimiento de las normas de información y comunicación.</w:t>
      </w:r>
    </w:p>
    <w:p w:rsidR="001C6219" w:rsidRDefault="001C6219" w:rsidP="001C6219">
      <w:r>
        <w:t>El artículo 50 se aplica a todas las formas de apoyo. El artículo 50, apartado 1, letra d), se aplica a las operaciones relacionadas con inversiones físicas cuyo coste sea inferior a los umbrales establecidos en la letra c) (100,000 EUR para los proyectos del FEMPA) y a cualquier operación que no implique tales inversiones físicas.</w:t>
      </w:r>
    </w:p>
    <w:p w:rsidR="001C6219" w:rsidRDefault="001C6219" w:rsidP="001C6219">
      <w:r>
        <w:t>En el caso de los equipos móviles, la pantalla pertinente debe ser claramente visible para el público. Puede colocarse allí donde normalmente se almacena dicho equipo, por ejemplo, en el exterior de un almacén, si no es posible colocar una placa sobre el propio objeto. Se considera una buena práctica indicar el apoyo de la Unión en todos los equipos, por ejemplo, utilizando etiquetas adhesivas.</w:t>
      </w:r>
    </w:p>
    <w:p w:rsidR="001C6219" w:rsidRDefault="001C6219" w:rsidP="001C6219"/>
    <w:p w:rsidR="001C6219" w:rsidRDefault="001C6219" w:rsidP="001C6219"/>
    <w:p w:rsidR="001C6219" w:rsidRDefault="001C6219" w:rsidP="001C6219">
      <w:pPr>
        <w:pStyle w:val="Ttulo1"/>
      </w:pPr>
      <w:bookmarkStart w:id="283" w:name="scroll-bookmark-309"/>
      <w:bookmarkStart w:id="284" w:name="scroll-bookmark-310"/>
      <w:bookmarkEnd w:id="283"/>
      <w:r>
        <w:t>QA00161 — Apoyo al DLP</w:t>
      </w:r>
      <w:bookmarkEnd w:id="284"/>
    </w:p>
    <w:p w:rsidR="001C6219" w:rsidRDefault="001C6219" w:rsidP="001C6219">
      <w:r>
        <w:rPr>
          <w:noProof/>
          <w:lang w:val="es-ES"/>
        </w:rPr>
        <w:drawing>
          <wp:inline distT="0" distB="0" distL="0" distR="0" wp14:anchorId="1D1DAC4C" wp14:editId="1667957C">
            <wp:extent cx="152435" cy="152435"/>
            <wp:effectExtent l="0" t="0" r="0" b="0"/>
            <wp:docPr id="100571" name="Imagen 1005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34 y 63 del RDC</w:t>
      </w:r>
    </w:p>
    <w:p w:rsidR="001C6219" w:rsidRDefault="001C6219" w:rsidP="001C6219">
      <w:r>
        <w:rPr>
          <w:noProof/>
          <w:lang w:val="es-ES"/>
        </w:rPr>
        <w:drawing>
          <wp:inline distT="0" distB="0" distL="0" distR="0" wp14:anchorId="1EDE8087" wp14:editId="58F583A6">
            <wp:extent cx="152435" cy="152435"/>
            <wp:effectExtent l="0" t="0" r="0" b="0"/>
            <wp:docPr id="100573" name="Imagen 1005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De conformidad con el artículo 29, apartado 6, del Reglamento (CE) no 2021/1060, la ayuda puede concederse para la preparación y el diseño de estrategias territoriales.</w:t>
      </w:r>
    </w:p>
    <w:p w:rsidR="001C6219" w:rsidRDefault="001C6219" w:rsidP="001C6219">
      <w:r>
        <w:t>El artículo 34, apartado 1, letra a), establece que el Estado miembro velará por que la ayuda de los Fondos al desarrollo local participativo cubra el desarrollo de capacidades y las acciones preparatorias que apoyen el diseño y la futura aplicación de la estrategia.</w:t>
      </w:r>
    </w:p>
    <w:p w:rsidR="001C6219" w:rsidRDefault="001C6219" w:rsidP="001C6219">
      <w:r>
        <w:t>El artículo 34, apartado 2, establece que la ayuda a que se refiere el apartado 1, letra a), será subvencionable con independencia de si la estrategia se selecciona posteriormente para su financiación.</w:t>
      </w:r>
    </w:p>
    <w:p w:rsidR="001C6219" w:rsidRDefault="001C6219" w:rsidP="001C6219">
      <w:r>
        <w:t>El artículo 63, apartado 1, establece que la subvencionabilidad de los gastos se determinará sobre la base de normas nacionales, salvo cuando se establezcan normas específicas en el presente Reglamento o en los Reglamentos específicos de cada Fondo, o sobre la base de estos.</w:t>
      </w:r>
    </w:p>
    <w:p w:rsidR="001C6219" w:rsidRDefault="001C6219" w:rsidP="001C6219">
      <w:pPr>
        <w:numPr>
          <w:ilvl w:val="0"/>
          <w:numId w:val="147"/>
        </w:numPr>
      </w:pPr>
      <w:r>
        <w:t>¿Significa esto que, a diferencia de otras formas de desarrollo territorial integrado enumeradas en el artículo 28, en el caso del DLP, la prestación de la ayuda mencionada en el artículo 34, apartado 1, letra a), es obligatoria?</w:t>
      </w:r>
    </w:p>
    <w:p w:rsidR="001C6219" w:rsidRDefault="001C6219" w:rsidP="001C6219">
      <w:pPr>
        <w:numPr>
          <w:ilvl w:val="0"/>
          <w:numId w:val="147"/>
        </w:numPr>
      </w:pPr>
      <w:r>
        <w:t>¿Establece el artículo 34, apartado 2, la obligación de pagar ayudas para la preparación de estrategias no seleccionadas? ¿Se aplica este requisito también en caso de que el motivo de la no selección sea el incumplimiento del grupo de acción o de la estrategia?</w:t>
      </w:r>
    </w:p>
    <w:p w:rsidR="001C6219" w:rsidRDefault="001C6219" w:rsidP="001C6219">
      <w:pPr>
        <w:numPr>
          <w:ilvl w:val="0"/>
          <w:numId w:val="147"/>
        </w:numPr>
      </w:pPr>
      <w:r>
        <w:t>¿Pueden los Estados miembros definir normas nacionales de subvencionabilidad en relación con el apoyo a la preparación y el diseño de estrategias territoriales?</w:t>
      </w:r>
    </w:p>
    <w:p w:rsidR="001C6219" w:rsidRDefault="001C6219" w:rsidP="001C6219"/>
    <w:p w:rsidR="001C6219" w:rsidRDefault="001C6219" w:rsidP="001C6219">
      <w:pPr>
        <w:pStyle w:val="P68B1DB1-Normal1"/>
      </w:pPr>
      <w:r>
        <w:t>Respuesta.</w:t>
      </w:r>
    </w:p>
    <w:p w:rsidR="001C6219" w:rsidRDefault="001C6219" w:rsidP="001C6219">
      <w:pPr>
        <w:numPr>
          <w:ilvl w:val="0"/>
          <w:numId w:val="148"/>
        </w:numPr>
      </w:pPr>
      <w:r>
        <w:t xml:space="preserve">De conformidad con el artículo 34, apartado 1, del RDC, los Estados miembros velarán por que el apoyo al </w:t>
      </w:r>
      <w:r>
        <w:rPr>
          <w:b/>
        </w:rPr>
        <w:t>DLP cubra</w:t>
      </w:r>
      <w:r>
        <w:t xml:space="preserve"> todas las actividades enumeradas en las letras a) a c) de dicho artículo, incluidas las acciones preparatorias de apoyo al diseño y la futura aplicación de la estrategia.</w:t>
      </w:r>
    </w:p>
    <w:p w:rsidR="001C6219" w:rsidRDefault="001C6219" w:rsidP="001C6219">
      <w:pPr>
        <w:numPr>
          <w:ilvl w:val="0"/>
          <w:numId w:val="148"/>
        </w:numPr>
      </w:pPr>
      <w:r>
        <w:t>La justificación del apoyo preparatorio en virtud del artículo 34, apartado 2, del RDC fue (aparte del desarrollo de capacidades de los agentes locales) mejorar la creación de asociaciones locales y ayudarles en el diseño de las estrategias de desarrollo local incluso antes de que se seleccionaran estas estrategias. Como tal, se espera que los Estados miembros apoyen las acciones preparatorias para todas las estrategias de DLP (como se indica en el RDC) que puedan participar en un proceso de selección diseñado por la autoridad de gestión en el marco de un programa, siempre que estas estrategias establezcan los elementos a que se refiere el artículo 32, apartado 1, del RDC e independientemente de si se seleccionan de conformidad con el artículo 32, apartado 2, del RDC.</w:t>
      </w:r>
    </w:p>
    <w:p w:rsidR="001C6219" w:rsidRDefault="001C6219" w:rsidP="001C6219">
      <w:pPr>
        <w:numPr>
          <w:ilvl w:val="0"/>
          <w:numId w:val="148"/>
        </w:numPr>
      </w:pPr>
      <w:r>
        <w:t xml:space="preserve">De conformidad con el artículo 63, apartado 1, del RDC, la subvencionabilidad del gasto se determina sobre la base de las normas nacionales, excepto cuando </w:t>
      </w:r>
      <w:r>
        <w:lastRenderedPageBreak/>
        <w:t>en el presente Reglamento o en los Reglamentos específicos de cada Fondo se establezcan normas específicas. El artículo 34, apartado 2, establece claramente la norma específica de que el apoyo a las acciones preparatorias que apoyen el diseño y la futura aplicación de las estrategias de DLP es subvencionable, independientemente de si la estrategia se selecciona posteriormente para su financiación.</w:t>
      </w:r>
    </w:p>
    <w:p w:rsidR="001C6219" w:rsidRDefault="001C6219" w:rsidP="001C6219"/>
    <w:p w:rsidR="001C6219" w:rsidRDefault="001C6219" w:rsidP="001C6219"/>
    <w:p w:rsidR="001C6219" w:rsidRDefault="001C6219" w:rsidP="001C6219">
      <w:pPr>
        <w:pStyle w:val="Ttulo1"/>
      </w:pPr>
      <w:bookmarkStart w:id="285" w:name="scroll-bookmark-311"/>
      <w:bookmarkStart w:id="286" w:name="scroll-bookmark-312"/>
      <w:bookmarkEnd w:id="285"/>
      <w:r>
        <w:t>QA00162 — Un instrumento financiero único que recibe contribución de diferentes Fondos</w:t>
      </w:r>
      <w:bookmarkEnd w:id="286"/>
    </w:p>
    <w:p w:rsidR="001C6219" w:rsidRDefault="001C6219" w:rsidP="001C6219">
      <w:r>
        <w:rPr>
          <w:noProof/>
          <w:lang w:val="es-ES"/>
        </w:rPr>
        <w:drawing>
          <wp:inline distT="0" distB="0" distL="0" distR="0" wp14:anchorId="5DC85184" wp14:editId="68EC2977">
            <wp:extent cx="152435" cy="152435"/>
            <wp:effectExtent l="0" t="0" r="0" b="0"/>
            <wp:docPr id="100575" name="Imagen 1005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2 del RDC</w:t>
      </w:r>
    </w:p>
    <w:p w:rsidR="001C6219" w:rsidRDefault="001C6219" w:rsidP="001C6219">
      <w:r>
        <w:t>Artículo 59 del RDC</w:t>
      </w:r>
    </w:p>
    <w:p w:rsidR="001C6219" w:rsidRDefault="001C6219" w:rsidP="001C6219">
      <w:r>
        <w:rPr>
          <w:noProof/>
          <w:lang w:val="es-ES"/>
        </w:rPr>
        <w:drawing>
          <wp:inline distT="0" distB="0" distL="0" distR="0" wp14:anchorId="46FFA561" wp14:editId="58784A56">
            <wp:extent cx="152435" cy="152435"/>
            <wp:effectExtent l="0" t="0" r="0" b="0"/>
            <wp:docPr id="100577" name="Imagen 1005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Una de las regiones de Francia, Occitanie, desea utilizar instrumentos financieros para el FSE + (acciones en materia de economía social y emprendimiento individual — microcrédito). Ya existen 2 fondos, un fondo para instrumentos financieros para el FEDER y otro para el Feader gestionados por el FEI.</w:t>
      </w:r>
    </w:p>
    <w:p w:rsidR="001C6219" w:rsidRDefault="001C6219" w:rsidP="001C6219">
      <w:r>
        <w:t>Dado que el importe del instrumento financiero para el FSE + es limitado (10 millones EUR), las autoridades desearían integrarlo en el contrato actualmente en vigor para gestionar el instrumento financiero financiado por el FEDER (90 millones EUR). Esto significa que solo habrá un mandato o contrato para ambos fondos.</w:t>
      </w:r>
    </w:p>
    <w:p w:rsidR="001C6219" w:rsidRDefault="001C6219" w:rsidP="001C6219">
      <w:r>
        <w:t>Nos gustaría preguntarle si existiría algún obstáculo o restricción jurídica para celebrar un contrato para ambos fondos.</w:t>
      </w:r>
    </w:p>
    <w:p w:rsidR="001C6219" w:rsidRDefault="001C6219" w:rsidP="001C6219"/>
    <w:p w:rsidR="001C6219" w:rsidRDefault="001C6219" w:rsidP="001C6219">
      <w:pPr>
        <w:pStyle w:val="P68B1DB1-Normal1"/>
      </w:pPr>
      <w:r>
        <w:t>Respuesta.</w:t>
      </w:r>
    </w:p>
    <w:p w:rsidR="001C6219" w:rsidRDefault="001C6219" w:rsidP="001C6219">
      <w:r>
        <w:t>Entendemos la pregunta de que Francia desearía contribuir con fondos del FSE + en régimen de gestión compartida a un instrumento financiero para el período de programación 2021-2027. Este instrumento financiero es una continuación de la configuración de FI 2014-2020 en Occitania con recursos del FEDER. Los recursos del FSE + se aportan al instrumento financiero como una línea de apoyo independiente que se ejecutará en el marco de los mismos instrumentos financieros. La intención es contar con un acuerdo de financiación que cubra las condiciones de utilización de las contribuciones del FSE + y del FEDER en el marco del mismo programa multifondo.</w:t>
      </w:r>
    </w:p>
    <w:p w:rsidR="001C6219" w:rsidRDefault="001C6219" w:rsidP="001C6219">
      <w:r>
        <w:lastRenderedPageBreak/>
        <w:t>El artículo 58, apartado 1, del Reglamento (UE) 2021/1060 (en lo sucesivo, «RDC») establece que las autoridades de gestión pueden proporcionar una contribución del programa, de uno o varios programas (por ejemplo, el FEDER y el FSE) al instrumento financiero existente o de nueva creación.</w:t>
      </w:r>
    </w:p>
    <w:p w:rsidR="001C6219" w:rsidRDefault="001C6219" w:rsidP="001C6219">
      <w:r>
        <w:t>La AG podrá confiar la gestión de uno o varios IF al mismo organismo que ejecute un fondo de cartera o un fondo específico, siempre que se respeten las disposiciones del artículo 59 del RDC sobre la selección del organismo que ejecuta el instrumento financiero.</w:t>
      </w:r>
    </w:p>
    <w:p w:rsidR="001C6219" w:rsidRDefault="001C6219" w:rsidP="001C6219">
      <w:r>
        <w:t>La AG debe celebrar un acuerdo de financiación con el organismo que ejecute el instrumento financiero de conformidad con el artículo 59, apartado 5, y el anexo X del RDC. En aras de la simplificación, la AG puede celebrar un acuerdo de financiación con un organismo que ejecute varios instrumentos financieros, pero debe asegurarse de que las condiciones de la contribución del programa para cada instrumento financiero sean claramente identificables. La actualización del acuerdo de financiación para incluir las contribuciones adicionales del programa del FSE + debe definir las condiciones de su uso, incluida su pista de auditoría, de conformidad con la sección II del anexo XIII del RDC.</w:t>
      </w:r>
    </w:p>
    <w:p w:rsidR="001C6219" w:rsidRDefault="001C6219" w:rsidP="001C6219">
      <w:r>
        <w:t>Las obligaciones establecidas en el artículo 59, apartado 9, del RDC deben ser garantizadas por el organismo que ejecute el instrumento financiero.</w:t>
      </w:r>
    </w:p>
    <w:p w:rsidR="001C6219" w:rsidRDefault="001C6219" w:rsidP="001C6219">
      <w:r>
        <w:t>De conformidad con el artículo 92, apartado 2, del RDC, la primera solicitud de pago puede ascender hasta el 30 % del importe total de las contribuciones del programa comprometidas a los instrumentos financieros en virtud del acuerdo de financiación pertinente en la fecha de presentación de la primera solicitud de pago (véase también la QA00083).</w:t>
      </w:r>
    </w:p>
    <w:p w:rsidR="001C6219" w:rsidRDefault="001C6219" w:rsidP="001C6219"/>
    <w:p w:rsidR="001C6219" w:rsidRDefault="001C6219" w:rsidP="001C6219"/>
    <w:p w:rsidR="001C6219" w:rsidRDefault="001C6219" w:rsidP="001C6219">
      <w:pPr>
        <w:pStyle w:val="Ttulo1"/>
      </w:pPr>
      <w:bookmarkStart w:id="287" w:name="scroll-bookmark-313"/>
      <w:bookmarkStart w:id="288" w:name="scroll-bookmark-314"/>
      <w:bookmarkEnd w:id="287"/>
      <w:r>
        <w:t>QA00163 — ¿Los costes de las verificaciones de la gestión pagados con cargo al presupuesto del proyecto por los beneficiarios de los programas de CTE en consonancia con el RDC 2021-2027?</w:t>
      </w:r>
      <w:bookmarkEnd w:id="288"/>
    </w:p>
    <w:p w:rsidR="001C6219" w:rsidRDefault="001C6219" w:rsidP="001C6219">
      <w:r>
        <w:rPr>
          <w:noProof/>
          <w:lang w:val="es-ES"/>
        </w:rPr>
        <w:drawing>
          <wp:inline distT="0" distB="0" distL="0" distR="0" wp14:anchorId="19C8A5C1" wp14:editId="418B8ECA">
            <wp:extent cx="152435" cy="152435"/>
            <wp:effectExtent l="0" t="0" r="0" b="0"/>
            <wp:docPr id="100579" name="Imagen 1005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72 y 74 del RDC</w:t>
      </w:r>
    </w:p>
    <w:p w:rsidR="001C6219" w:rsidRDefault="001C6219" w:rsidP="001C6219">
      <w:r>
        <w:t>Artículo 46, apartado 1, y artículo 42, letra k), de la CTE</w:t>
      </w:r>
    </w:p>
    <w:p w:rsidR="001C6219" w:rsidRDefault="001C6219" w:rsidP="001C6219">
      <w:r>
        <w:rPr>
          <w:noProof/>
          <w:lang w:val="es-ES"/>
        </w:rPr>
        <w:drawing>
          <wp:inline distT="0" distB="0" distL="0" distR="0" wp14:anchorId="21F1C5A2" wp14:editId="5337A10E">
            <wp:extent cx="152435" cy="152435"/>
            <wp:effectExtent l="0" t="0" r="0" b="0"/>
            <wp:docPr id="100581" name="Imagen 1005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t>Antecedentes:</w:t>
      </w:r>
    </w:p>
    <w:p w:rsidR="001C6219" w:rsidRDefault="001C6219" w:rsidP="001C6219">
      <w:r>
        <w:lastRenderedPageBreak/>
        <w:t>En cuanto a las autoridades de gestión del objetivo de la IGJ, la autoridad de gestión de un programa Interreg también llevará a cabo verificaciones de la gestión para verificar que se han entregado los productos y servicios cofinanciados, que la operación cumple la legislación aplicable, el programa y las condiciones para el apoyo de la operación (artículo 74, apartado 1, del RDC). La autoridad de gestión puede llevar a cabo las verificaciones de la gestión con su propio personal o externalizar esta tarea a proveedores de servicios externos [artículo 42, letra k),</w:t>
      </w:r>
      <w:hyperlink w:anchor="scroll-bookmark-315" w:history="1">
        <w:r>
          <w:rPr>
            <w:rStyle w:val="Hipervnculo"/>
          </w:rPr>
          <w:t>CTE [1]</w:t>
        </w:r>
      </w:hyperlink>
      <w:r>
        <w:t>].</w:t>
      </w:r>
    </w:p>
    <w:p w:rsidR="001C6219" w:rsidRDefault="001C6219" w:rsidP="001C6219">
      <w:r>
        <w:t xml:space="preserve">Además, las verificaciones de la gestión deberán basarse en el riesgo y ser proporcionadas a los riesgos detectados </w:t>
      </w:r>
      <w:r>
        <w:rPr>
          <w:i/>
        </w:rPr>
        <w:t xml:space="preserve">ex ante </w:t>
      </w:r>
      <w:r>
        <w:t>y por escrito. Las verificaciones de gestión incluirán comprobaciones administrativas de las reclamaciones de pago presentadas por los beneficiarios y comprobaciones de las operaciones sobre el terreno.</w:t>
      </w:r>
    </w:p>
    <w:p w:rsidR="001C6219" w:rsidRDefault="001C6219" w:rsidP="001C6219">
      <w:r>
        <w:t>En algunos de los programas Interreg 2021-2027, los costes de las verificaciones de la gestión formarán parte del presupuesto total del proyecto y deberán ser sufragados por los socios del proyecto. Existen diferentes modelos que serán realmente la persona que llevará a cabo las verificaciones de la gestión. Un modelo es que los socios del proyecto tendrán que seleccionar controladores de la lista predefinida de expertos a nivel de los Estados miembros. Otro modelo es que las verificaciones de gestión las lleva a cabo el personal de la AG o personas que trabajan bajo la responsabilidad de la AG y los costes respectivos forman parte del presupuesto del proyecto, contabilizado como un determinado porcentaje. Estos costes de verificación de la gestión deben planificarse ya en el formulario de solicitud de ayuda, consignado como gasto subvencionable en la línea presupuestaria «costes de asesoramiento y servicios externos» en los informes de situación del socio. Las autoridades de gestión hacen referencia al artículo 42, letra k), de la CTE como base jurídica de este procedimiento. Una vez aprobado el informe de situación del proyecto, la autoridad de gestión abona el reembolso del FEDER al beneficiario principal (socio principal).</w:t>
      </w:r>
    </w:p>
    <w:p w:rsidR="001C6219" w:rsidRDefault="001C6219" w:rsidP="001C6219"/>
    <w:p w:rsidR="001C6219" w:rsidRDefault="001C6219" w:rsidP="001C6219">
      <w:pPr>
        <w:pStyle w:val="P68B1DB1-Normal1"/>
      </w:pPr>
      <w:r>
        <w:t> </w:t>
      </w:r>
    </w:p>
    <w:p w:rsidR="001C6219" w:rsidRDefault="001C6219" w:rsidP="001C6219">
      <w:pPr>
        <w:pStyle w:val="P68B1DB1-Normal1"/>
      </w:pPr>
      <w:r>
        <w:t>Pregunta (incluidos los hechos y la información pertinentes):</w:t>
      </w:r>
    </w:p>
    <w:p w:rsidR="001C6219" w:rsidRDefault="001C6219" w:rsidP="001C6219">
      <w:r>
        <w:t>¿Es posible que un beneficiario seleccione a los controladores y pague por su trabajo de verificación de la gestión con cargo al presupuesto del proyecto? ¿Se ajusta este procedimiento a los artículos 72 y 74 del RDC y al artículo 46, apartado 1, y al artículo 42, letra k), de la CTE?</w:t>
      </w:r>
    </w:p>
    <w:p w:rsidR="001C6219" w:rsidRDefault="001C6219" w:rsidP="001C6219">
      <w:pPr>
        <w:pStyle w:val="P68B1DB1-Normal1"/>
      </w:pPr>
      <w:r>
        <w:t>Respuesta.</w:t>
      </w:r>
    </w:p>
    <w:p w:rsidR="001C6219" w:rsidRDefault="001C6219" w:rsidP="001C6219">
      <w:r>
        <w:t>De conformidad con los artículos 46 (1) CTE y 74 (1) RDC, corresponde a la autoridad de gestión llevar a cabo verificaciones de la gestión.</w:t>
      </w:r>
    </w:p>
    <w:p w:rsidR="001C6219" w:rsidRDefault="001C6219" w:rsidP="001C6219">
      <w:r>
        <w:t>De conformidad con el artículo 46, apartado 3, y (7) la CTE, los Estados miembros que participen en los programas Interreg podrán decidir que estas verificaciones de la gestión se realicen mediante la identificación por cada Estado miembro de un organismo o persona (el «responsable del tratamiento» nacional) responsable de estas verificaciones en su territorio.</w:t>
      </w:r>
    </w:p>
    <w:p w:rsidR="001C6219" w:rsidRDefault="001C6219" w:rsidP="001C6219">
      <w:r>
        <w:t xml:space="preserve">De conformidad con el artículo 46, apartado 8, de la CTE, cada Estado miembro designará como responsable del tratamiento a una autoridad nacional o regional, a un </w:t>
      </w:r>
      <w:r>
        <w:lastRenderedPageBreak/>
        <w:t>organismo privado o a una persona física. En caso de que el responsable del tratamiento sea un organismo privado o una persona física, deberán cumplirse los requisitos establecidos en el artículo 46, apartado 9, de la CTE.</w:t>
      </w:r>
    </w:p>
    <w:p w:rsidR="001C6219" w:rsidRDefault="001C6219" w:rsidP="001C6219">
      <w:r>
        <w:t xml:space="preserve">El artículo 42, letra k), de la CTE, que se basa en el anterior artículo 6, letra k), del Reglamento (CE) n.º 481/2014 de la Comisión, </w:t>
      </w:r>
      <w:r>
        <w:rPr>
          <w:i/>
        </w:rPr>
        <w:t>establece que «las verificaciones con arreglo al artículo 74, apartado 1, letra a), del Reglamento (UE) 2021/1060 y al artículo 46, apartado</w:t>
      </w:r>
      <w:r>
        <w:t xml:space="preserve"> 1, del presente Reglamento» pueden formar parte de los gastos subvencionables abonados por los beneficiarios.</w:t>
      </w:r>
    </w:p>
    <w:p w:rsidR="001C6219" w:rsidRDefault="001C6219" w:rsidP="001C6219">
      <w:r>
        <w:t xml:space="preserve">El artículo 38, apartado 2, letra c), exige que cualquier gasto subvencionable en virtud del Reglamento de la CTE se refiera a los costes de inicio, inicio y ejecución de una operación o parte de una operación y que el artículo 42, </w:t>
      </w:r>
      <w:r>
        <w:rPr>
          <w:i/>
        </w:rPr>
        <w:t>letra k) (por el contrario, las letras l) y m), sobre los costes de contabilidad y auditoría), no especifica</w:t>
      </w:r>
      <w:r>
        <w:t xml:space="preserve"> que los costes de las verificaciones de la gestión deben ser a nivel de programa.</w:t>
      </w:r>
    </w:p>
    <w:p w:rsidR="001C6219" w:rsidRDefault="001C6219" w:rsidP="001C6219">
      <w:r>
        <w:t>Si el programa lo permite y los beneficiarios recurren a servicios y conocimientos especializados externos para llevar a cabo verificaciones de la gestión, esto debe realizarse en las siguientes condiciones:</w:t>
      </w:r>
    </w:p>
    <w:p w:rsidR="001C6219" w:rsidRDefault="001C6219" w:rsidP="001C6219">
      <w:pPr>
        <w:numPr>
          <w:ilvl w:val="0"/>
          <w:numId w:val="149"/>
        </w:numPr>
      </w:pPr>
      <w:r>
        <w:t>el organismo público o privado o la persona física que lleve a cabo estas verificaciones debe ser seleccionado entre una lista predefinida de expertos establecida a nivel nacional o del programa y que cumpla los requisitos mencionados en el artículo 46, apartado 9, de la CTE.</w:t>
      </w:r>
    </w:p>
    <w:p w:rsidR="001C6219" w:rsidRDefault="001C6219" w:rsidP="001C6219">
      <w:pPr>
        <w:numPr>
          <w:ilvl w:val="0"/>
          <w:numId w:val="149"/>
        </w:numPr>
      </w:pPr>
      <w:r>
        <w:t>no elimina la responsabilidad de la autoridad de gestión de llevar a cabo verificaciones de la gestión o de asegurarse de que el gasto de los beneficiarios que participan en una operación ha sido verificado por un controlador identificado de conformidad con el artículo 46, apartado 5, de la CTE.</w:t>
      </w:r>
    </w:p>
    <w:p w:rsidR="001C6219" w:rsidRDefault="001C6219" w:rsidP="001C6219">
      <w:r>
        <w:t>En conclusión y en principio, las verificaciones de la gestión deben ser realizadas y pagadas por la autoridad de gestión o bajo su responsabilidad, es decir, a partir de la asistencia técnica del programa, como es el caso en la mayoría de los programas de CTE.</w:t>
      </w:r>
    </w:p>
    <w:p w:rsidR="001C6219" w:rsidRDefault="001C6219" w:rsidP="001C6219">
      <w:r>
        <w:t>No obstante, y de conformidad con el artículo 42, letra k), de la CTE, las verificaciones de la gestión de una operación podrían ser realizadas por un organismo público o privado o por una persona física en las condiciones mencionadas anteriormente y sus costes correrían a cargo de los beneficiarios a nivel de operación.</w:t>
      </w:r>
    </w:p>
    <w:p w:rsidR="001C6219" w:rsidRDefault="001C6219" w:rsidP="001C6219"/>
    <w:p w:rsidR="001C6219" w:rsidRDefault="00FC0FB1" w:rsidP="001C6219">
      <w:hyperlink w:anchor="scroll-bookmark-316" w:history="1">
        <w:r w:rsidR="001C6219">
          <w:rPr>
            <w:rStyle w:val="Hipervnculo"/>
          </w:rPr>
          <w:t>[1]</w:t>
        </w:r>
      </w:hyperlink>
      <w:r w:rsidR="001C6219">
        <w:t xml:space="preserve"> K) verificaciones con arreglo al artículo 74, apartado 1, letra a), del Reglamento (UE) 2021/1060 y al artículo 46, apartado 1, del presente Reglamento.</w:t>
      </w:r>
    </w:p>
    <w:p w:rsidR="001C6219" w:rsidRDefault="001C6219" w:rsidP="001C6219"/>
    <w:p w:rsidR="001C6219" w:rsidRDefault="001C6219" w:rsidP="001C6219"/>
    <w:p w:rsidR="001C6219" w:rsidRDefault="001C6219" w:rsidP="001C6219">
      <w:pPr>
        <w:pStyle w:val="Ttulo1"/>
      </w:pPr>
      <w:bookmarkStart w:id="289" w:name="scroll-bookmark-317"/>
      <w:bookmarkStart w:id="290" w:name="scroll-bookmark-318"/>
      <w:bookmarkEnd w:id="289"/>
      <w:r>
        <w:lastRenderedPageBreak/>
        <w:t>QA00164 — Combinación de instrumentos financieros y bonificaciones de intereses y cálculo de los costes y comisiones de gestión</w:t>
      </w:r>
      <w:bookmarkEnd w:id="290"/>
    </w:p>
    <w:p w:rsidR="001C6219" w:rsidRDefault="001C6219" w:rsidP="001C6219">
      <w:r>
        <w:rPr>
          <w:noProof/>
          <w:lang w:val="es-ES"/>
        </w:rPr>
        <w:drawing>
          <wp:inline distT="0" distB="0" distL="0" distR="0" wp14:anchorId="182A81B0" wp14:editId="31BDEA1F">
            <wp:extent cx="152435" cy="152435"/>
            <wp:effectExtent l="0" t="0" r="0" b="0"/>
            <wp:docPr id="100583" name="Imagen 1005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58, apartado 5, del Reglamento sobre disposiciones comunes. </w:t>
      </w:r>
    </w:p>
    <w:p w:rsidR="001C6219" w:rsidRDefault="001C6219" w:rsidP="001C6219">
      <w:r>
        <w:rPr>
          <w:noProof/>
          <w:lang w:val="es-ES"/>
        </w:rPr>
        <w:drawing>
          <wp:inline distT="0" distB="0" distL="0" distR="0" wp14:anchorId="5DCB6F0B" wp14:editId="606FD348">
            <wp:extent cx="152435" cy="152435"/>
            <wp:effectExtent l="0" t="0" r="0" b="0"/>
            <wp:docPr id="100585" name="Imagen 1005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Las autoridades polacas desean aclarar los dos puntos siguientes en relación con los instrumentos financieros establecidos para proporcionar ayuda financiera combinada y ayuda en forma de subvención, es decir, la bonificación de intereses específicamente, en una operación de conformidad con el artículo 58, apartado 5, del RDC:</w:t>
      </w:r>
    </w:p>
    <w:p w:rsidR="001C6219" w:rsidRDefault="001C6219" w:rsidP="001C6219">
      <w:pPr>
        <w:numPr>
          <w:ilvl w:val="0"/>
          <w:numId w:val="150"/>
        </w:numPr>
      </w:pPr>
      <w:r>
        <w:t>El significado del coste de inversión y si la bonificación de intereses forma parte del coste de inversión, así como el tratamiento a efectos del IVA de la bonificación de intereses; y</w:t>
      </w:r>
    </w:p>
    <w:p w:rsidR="001C6219" w:rsidRDefault="001C6219" w:rsidP="001C6219">
      <w:pPr>
        <w:numPr>
          <w:ilvl w:val="0"/>
          <w:numId w:val="150"/>
        </w:numPr>
      </w:pPr>
      <w:r>
        <w:t>El cálculo de los costes y comisiones de gestión si el apoyo combinado a la bonificación de intereses lo proporciona otro organismo que ejecuta el instrumento financiero, es decir, el fondo de cartera, distinto del organismo que ejecuta el fondo de productos.</w:t>
      </w:r>
    </w:p>
    <w:p w:rsidR="001C6219" w:rsidRDefault="001C6219" w:rsidP="001C6219">
      <w:pPr>
        <w:pStyle w:val="P68B1DB1-Normal1"/>
      </w:pPr>
      <w:r>
        <w:t>Respuesta.</w:t>
      </w:r>
    </w:p>
    <w:p w:rsidR="001C6219" w:rsidRDefault="001C6219" w:rsidP="001C6219">
      <w:r>
        <w:t>1) entendemos que la primera cuestión se refiere a la admisibilidad del IVA cuando las bonificaciones de intereses están vinculadas a un préstamo cofinanciado con cargo a los fondos. La pregunta pregunta, a este respecto, si las bonificaciones de intereses podrían constituir «costes de inversión» en el sentido del artículo 64, apartado 1, letra c), inciso iii), del RDC.</w:t>
      </w:r>
    </w:p>
    <w:p w:rsidR="001C6219" w:rsidRDefault="001C6219" w:rsidP="001C6219">
      <w:r>
        <w:t>Del artículo 64, apartado 1, letra c), inciso iii), del RDC se desprende que, cuando una inversión recibe el apoyo de un instrumento financiero combinado con una subvención, el IVA puede optar a la parte del «coste de inversión» que «corresponde» a la ayuda en forma de subvención cuando la parte de la subvención sea inferior a 5 millones EUR o por cualquier importe cuando el IVA no sea recuperable con arreglo a la legislación nacional en materia de IVA.</w:t>
      </w:r>
    </w:p>
    <w:p w:rsidR="001C6219" w:rsidRDefault="001C6219" w:rsidP="001C6219">
      <w:r>
        <w:t>Un préstamo puede sufragar el coste total de la inversión o parte de ella. Si el préstamo de los recursos del programa soporta parte del coste de la inversión, el resto de la inversión puede estar respaldado por otros recursos, ya sean de programa o no (por ejemplo, un préstamo comercial o una subvención).</w:t>
      </w:r>
    </w:p>
    <w:p w:rsidR="001C6219" w:rsidRDefault="001C6219" w:rsidP="001C6219">
      <w:r>
        <w:t xml:space="preserve">Las subvenciones concedidas a los destinatarios finales con el fin de financiar inversiones podrían estar directamente vinculadas al coste de la inversión por parte de dichos destinatarios finales. Sin embargo, las bonificaciones de intereses tienen por objeto facilitar el acceso a la financiación reduciendo el tipo de interés aplicable, de modo que </w:t>
      </w:r>
      <w:r>
        <w:lastRenderedPageBreak/>
        <w:t>no pueden vincularse a costes de inversión específicos, es decir, que ninguna parte de la inversión «corresponde» a la ayuda en forma de bonificaciones de intereses. La bonificación de intereses se refiere al tipo de interés que constituye el coste financiero del préstamo, por lo que la bonificación de tipos de interés no es un coste de inversión o parte del mismo en el sentido del artículo 64, apartado 1, letra c), inciso iii), del RDC.</w:t>
      </w:r>
    </w:p>
    <w:p w:rsidR="001C6219" w:rsidRDefault="001C6219" w:rsidP="001C6219">
      <w:r>
        <w:t>2) de conformidad con el artículo 68, apartado 1, letra d), del RDC, el pago de los costes de gestión y el reembolso de las tasas de gestión en que hayan incurrido los organismos que ejecutan los instrumentos financieros constituyen gastos subvencionables. Dichos instrumentos financieros incluyen instrumentos financieros con un componente de subvención en virtud del artículo 58, apartado 5, del RDC. Por lo tanto, en el período de programación 2021-27, cuando las subvenciones y los instrumentos financieros se combinen en una única operación de un instrumento financiero, también serán subvencionables los costes y comisiones de gestión incurridos en relación con el componente de subvención de dicha operación.</w:t>
      </w:r>
    </w:p>
    <w:p w:rsidR="001C6219" w:rsidRDefault="001C6219" w:rsidP="001C6219">
      <w:r>
        <w:t>El artículo 58, apartado 5, del RDC permite al organismo que ejecuta un fondo de cartera o a un fondo específico gestionar el elemento de subvención en caso de combinación con un instrumento financiero en una operación.  </w:t>
      </w:r>
    </w:p>
    <w:p w:rsidR="001C6219" w:rsidRDefault="001C6219" w:rsidP="001C6219">
      <w:r>
        <w:t>Por ejemplo, es posible tener una configuración en la que el organismo que ejecuta el fondo de préstamo (es decir, un fondo específico) concede préstamos a los destinatarios finales, y el organismo que ejecuta el fondo de cartera gestiona la bonificación de intereses a los destinatarios finales o en su beneficio.</w:t>
      </w:r>
    </w:p>
    <w:p w:rsidR="001C6219" w:rsidRDefault="001C6219" w:rsidP="001C6219">
      <w:r>
        <w:t>Esto proporciona cierta flexibilidad organizativa, pero no repercute en el nivel total de los costes y comisiones de gestión que pueden declararse a la Comisión como gastos subvencionables calculados sobre la base de los préstamos desembolsados a los beneficiarios finales para el componente de préstamo y sobre la base de la bonificación de intereses desembolsada a los beneficiarios finales o en su beneficio para el componente de subvención.</w:t>
      </w:r>
    </w:p>
    <w:p w:rsidR="001C6219" w:rsidRDefault="001C6219" w:rsidP="001C6219"/>
    <w:p w:rsidR="001C6219" w:rsidRDefault="001C6219" w:rsidP="001C6219"/>
    <w:p w:rsidR="001C6219" w:rsidRDefault="001C6219" w:rsidP="001C6219">
      <w:pPr>
        <w:pStyle w:val="Ttulo1"/>
      </w:pPr>
      <w:bookmarkStart w:id="291" w:name="scroll-bookmark-319"/>
      <w:bookmarkStart w:id="292" w:name="scroll-bookmark-320"/>
      <w:bookmarkEnd w:id="291"/>
      <w:r>
        <w:t>QA00165 — Límite de compra de tierras</w:t>
      </w:r>
      <w:bookmarkEnd w:id="292"/>
    </w:p>
    <w:p w:rsidR="001C6219" w:rsidRDefault="001C6219" w:rsidP="001C6219">
      <w:r>
        <w:rPr>
          <w:noProof/>
          <w:lang w:val="es-ES"/>
        </w:rPr>
        <w:drawing>
          <wp:inline distT="0" distB="0" distL="0" distR="0" wp14:anchorId="3D096CA3" wp14:editId="2D99903E">
            <wp:extent cx="152435" cy="152435"/>
            <wp:effectExtent l="0" t="0" r="0" b="0"/>
            <wp:docPr id="100587" name="Imagen 1005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64, apartado 1, letra b), del RDC</w:t>
      </w:r>
    </w:p>
    <w:p w:rsidR="001C6219" w:rsidRDefault="001C6219" w:rsidP="001C6219">
      <w:r>
        <w:rPr>
          <w:noProof/>
          <w:lang w:val="es-ES"/>
        </w:rPr>
        <w:drawing>
          <wp:inline distT="0" distB="0" distL="0" distR="0" wp14:anchorId="773F6AFE" wp14:editId="56F8959F">
            <wp:extent cx="152435" cy="152435"/>
            <wp:effectExtent l="0" t="0" r="0" b="0"/>
            <wp:docPr id="100589" name="Imagen 1005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Nuestra pregunta se refiere al artículo 64, apartado 1, letra b), del RDC, a saber, la aplicación de un límite del 15 % para la admisibilidad de la compra de terrenos en caso de «terrenos abandonados y de usos industriales que comprendan edificios». ¿Está limitada la aplicación del 15 % de tal manera que los dos emplazamientos (parajes abandonados y lugares anteriormente de uso industrial) deben incluir edificios, o es </w:t>
      </w:r>
      <w:r>
        <w:lastRenderedPageBreak/>
        <w:t>posible el uso de este límite superior del 15 % con independencia de que el emplazamiento abandonado o anteriormente de uso industrial esté construido o no?</w:t>
      </w:r>
    </w:p>
    <w:p w:rsidR="001C6219" w:rsidRDefault="001C6219" w:rsidP="001C6219"/>
    <w:p w:rsidR="001C6219" w:rsidRDefault="001C6219" w:rsidP="001C6219">
      <w:pPr>
        <w:pStyle w:val="P68B1DB1-Normal1"/>
      </w:pPr>
      <w:r>
        <w:t>Respuesta.</w:t>
      </w:r>
    </w:p>
    <w:p w:rsidR="001C6219" w:rsidRDefault="001C6219" w:rsidP="001C6219">
      <w:r>
        <w:t>De conformidad con el artículo 64, apartado 1, letra b), del RDC, en el caso de los terrenos abandonados y los anteriormente en uso industrial que comprendan edificios, el límite se incrementará al 15 %.</w:t>
      </w:r>
    </w:p>
    <w:p w:rsidR="001C6219" w:rsidRDefault="001C6219" w:rsidP="001C6219">
      <w:r>
        <w:t>El límite del gasto total subvencionable utilizado para la adquisición de terrenos se eleva al 15 % para favorecer la compra de «antiguas zonas industriales» (zonas abandonadas y para las antiguas zonas industriales) frente a las «zonas verdes». El edificio no se considera una condición para la aplicación del límite del 15 %. No obstante, en caso de que el terreno esté edificado, el límite del 15 % cubre el valor acumulado tanto del terreno como del edificio.</w:t>
      </w:r>
    </w:p>
    <w:p w:rsidR="001C6219" w:rsidRDefault="001C6219" w:rsidP="001C6219"/>
    <w:p w:rsidR="001C6219" w:rsidRDefault="001C6219" w:rsidP="001C6219"/>
    <w:p w:rsidR="001C6219" w:rsidRDefault="001C6219" w:rsidP="001C6219">
      <w:pPr>
        <w:pStyle w:val="Ttulo1"/>
      </w:pPr>
      <w:bookmarkStart w:id="293" w:name="scroll-bookmark-321"/>
      <w:bookmarkStart w:id="294" w:name="scroll-bookmark-322"/>
      <w:bookmarkEnd w:id="293"/>
      <w:r>
        <w:t>QA00166 — Admisibilidad y tratamiento de los costes generados por los tipos de interés negativos en el marco de Interreg 2021-2027</w:t>
      </w:r>
      <w:bookmarkEnd w:id="294"/>
    </w:p>
    <w:p w:rsidR="001C6219" w:rsidRDefault="001C6219" w:rsidP="001C6219">
      <w:r>
        <w:rPr>
          <w:noProof/>
          <w:lang w:val="es-ES"/>
        </w:rPr>
        <w:drawing>
          <wp:inline distT="0" distB="0" distL="0" distR="0" wp14:anchorId="1990DEA3" wp14:editId="65B9DFF0">
            <wp:extent cx="152435" cy="152435"/>
            <wp:effectExtent l="0" t="0" r="0" b="0"/>
            <wp:docPr id="100591" name="Imagen 1005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63, apartado 1, y (2) y 90 (6) del RDC</w:t>
      </w:r>
    </w:p>
    <w:p w:rsidR="001C6219" w:rsidRDefault="001C6219" w:rsidP="001C6219">
      <w:r>
        <w:t>Artículo 37, apartado 2, y (3) de la CTE</w:t>
      </w:r>
    </w:p>
    <w:p w:rsidR="001C6219" w:rsidRDefault="001C6219" w:rsidP="001C6219">
      <w:r>
        <w:rPr>
          <w:noProof/>
          <w:lang w:val="es-ES"/>
        </w:rPr>
        <w:drawing>
          <wp:inline distT="0" distB="0" distL="0" distR="0" wp14:anchorId="26D0FA64" wp14:editId="3A22A000">
            <wp:extent cx="152435" cy="152435"/>
            <wp:effectExtent l="0" t="0" r="0" b="0"/>
            <wp:docPr id="100593" name="Imagen 1005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2020, pocos programas Interreg plantearon la cuestión de la subvencionabilidad de los costes generados por los intereses negativos cobrados por los bancos desde el 1 de enero de 2020 por los fondos de la UE mantenidos por cuenta de programas en régimen de gestión compartida. A finales de 2020 se aclaró (en una carta firmada por Marc Lemaître, tras las respuestas a las preguntas de interpretación) que dichos gastos serían subvencionables en el marco del eje prioritario de asistencia técnica, aplicando el porcentaje de cofinanciación correspondiente. Sin embargo, se pidió a las autoridades de gestión del programa que determinaran en primer lugar que los intereses negativos cobrados por los bancos son gastos bancarios vinculados a la administración habitual de las cuentas y, por lo tanto, subvencionables.</w:t>
      </w:r>
    </w:p>
    <w:p w:rsidR="001C6219" w:rsidRDefault="001C6219" w:rsidP="001C6219"/>
    <w:p w:rsidR="001C6219" w:rsidRDefault="001C6219" w:rsidP="001C6219">
      <w:r>
        <w:lastRenderedPageBreak/>
        <w:t>Para el período 2021-2027, hemos vuelto a recibir preguntas de los programas sobre los costes derivados de los tipos de interés negativos. Refiriéndose al artículo 90, punto 6, del RDC (sobre los intereses obtenidos), consideran que los intereses negativos deben recibir el mismo trato y cubrirse plenamente con cargo al FEDER.</w:t>
      </w:r>
    </w:p>
    <w:p w:rsidR="001C6219" w:rsidRDefault="001C6219" w:rsidP="001C6219"/>
    <w:p w:rsidR="001C6219" w:rsidRDefault="001C6219" w:rsidP="001C6219">
      <w:r>
        <w:t>Solicitamos confirmación de lo siguiente:</w:t>
      </w:r>
    </w:p>
    <w:p w:rsidR="001C6219" w:rsidRDefault="001C6219" w:rsidP="001C6219">
      <w:r>
        <w:t>— ¿son subvencionables tales gastos como ya se ha confirmado para el período 2014-2020?</w:t>
      </w:r>
    </w:p>
    <w:p w:rsidR="001C6219" w:rsidRDefault="001C6219" w:rsidP="001C6219">
      <w:r>
        <w:t>— ¿están cubiertas estas cargas por la asistencia técnica (aunque sean a tanto alzado) y están cofinanciadas al porcentaje de cofinanciación de la asistencia técnica, por lo que no son del 100 % con cargo al FEDER?</w:t>
      </w:r>
    </w:p>
    <w:p w:rsidR="001C6219" w:rsidRDefault="001C6219" w:rsidP="001C6219"/>
    <w:p w:rsidR="001C6219" w:rsidRDefault="001C6219" w:rsidP="001C6219">
      <w:pPr>
        <w:pStyle w:val="P68B1DB1-Normal1"/>
      </w:pPr>
      <w:r>
        <w:t>Respuesta.  </w:t>
      </w:r>
    </w:p>
    <w:p w:rsidR="001C6219" w:rsidRDefault="001C6219" w:rsidP="001C6219">
      <w:r>
        <w:t>Los costes de intereses negativos cobrados por algunos bancos a los fondos de la UE mantenidos por cuenta de programas en régimen de gestión compartida son subvencionables cuando están vinculados a la administración habitual de las cuentas.</w:t>
      </w:r>
    </w:p>
    <w:p w:rsidR="001C6219" w:rsidRDefault="001C6219" w:rsidP="001C6219">
      <w:r>
        <w:t>Por lo que se refiere al tratamiento de dichos costes subvencionables, deben estar cubiertos por la asistencia técnica (artículo 27, apartado 2, y (3) Interreg).</w:t>
      </w:r>
    </w:p>
    <w:p w:rsidR="001C6219" w:rsidRDefault="001C6219" w:rsidP="001C6219">
      <w:r>
        <w:t>Dada la naturaleza del tanto alzado, no se comprobarán los costes subyacentes de los importes reembolsados sobre la base del tipo fijo a escala de la UE.</w:t>
      </w:r>
    </w:p>
    <w:p w:rsidR="001C6219" w:rsidRDefault="001C6219" w:rsidP="001C6219">
      <w:r>
        <w:t>Además, estos costes deben compensarse en primer lugar con los intereses «positivos» potencialmente devengados (sin declarar los intereses negativos ya cubiertos por los intereses positivos devengados).</w:t>
      </w:r>
    </w:p>
    <w:p w:rsidR="001C6219" w:rsidRDefault="001C6219" w:rsidP="001C6219">
      <w:r>
        <w:t>Al mismo tiempo, la autoridad de gestión debe adoptar todas las medidas posibles para evitar los gastos por intereses negativos, en consonancia con el principio de buena gestión financiera. Esto debería hacerse, por ejemplo, mediante pagos más frecuentes y rápidos a los beneficiarios y solicitudes de pago a la Comisión; negociando un acuerdo más favorable con el banco; trasladándose a un banco con condiciones más favorables.</w:t>
      </w:r>
    </w:p>
    <w:p w:rsidR="001C6219" w:rsidRDefault="001C6219" w:rsidP="001C6219"/>
    <w:p w:rsidR="001C6219" w:rsidRDefault="001C6219" w:rsidP="001C6219"/>
    <w:p w:rsidR="001C6219" w:rsidRDefault="001C6219" w:rsidP="001C6219">
      <w:pPr>
        <w:pStyle w:val="Ttulo1"/>
      </w:pPr>
      <w:bookmarkStart w:id="295" w:name="scroll-bookmark-323"/>
      <w:bookmarkStart w:id="296" w:name="scroll-bookmark-324"/>
      <w:bookmarkEnd w:id="295"/>
      <w:r>
        <w:t>QA00167 — Recopilación de datos</w:t>
      </w:r>
      <w:bookmarkEnd w:id="296"/>
    </w:p>
    <w:p w:rsidR="001C6219" w:rsidRDefault="001C6219" w:rsidP="001C6219">
      <w:r>
        <w:rPr>
          <w:noProof/>
          <w:lang w:val="es-ES"/>
        </w:rPr>
        <w:drawing>
          <wp:inline distT="0" distB="0" distL="0" distR="0" wp14:anchorId="5D60F963" wp14:editId="6C4C3F8D">
            <wp:extent cx="152435" cy="152435"/>
            <wp:effectExtent l="0" t="0" r="0" b="0"/>
            <wp:docPr id="100595" name="Imagen 1005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72, apartado 1, letra e), del RDC y anexo XVII del Reglamento (UE) 2021/1060 (RDC)</w:t>
      </w:r>
    </w:p>
    <w:p w:rsidR="001C6219" w:rsidRDefault="001C6219" w:rsidP="001C6219">
      <w:r>
        <w:rPr>
          <w:noProof/>
          <w:lang w:val="es-ES"/>
        </w:rPr>
        <w:drawing>
          <wp:inline distT="0" distB="0" distL="0" distR="0" wp14:anchorId="442EF657" wp14:editId="58AD33A8">
            <wp:extent cx="152435" cy="152435"/>
            <wp:effectExtent l="0" t="0" r="0" b="0"/>
            <wp:docPr id="100597" name="Imagen 1005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lastRenderedPageBreak/>
        <w:t>¿Se entiende que los datos enumerados en el campo 23 del anexo XVII del Reglamento (UE) 2021/1060 (en lo sucesivo, «el Reglamento») no requieren enlaces directos ni la recogida de datos en el sistema de información establecido de conformidad con el artículo 72, apartado 1, letra e), del Reglamento, si los datos se recogen en los registros nacionales?</w:t>
      </w:r>
    </w:p>
    <w:p w:rsidR="001C6219" w:rsidRDefault="001C6219" w:rsidP="001C6219">
      <w:r>
        <w:t>La misma cuestión se plantea también en relación con la recopilación de datos a que se refiere el artículo 22, apartado 2, letra d), del Reglamento (UE) 2021/241 del Parlamento Europeo y del Consejo, de 12 de febrero de 2021, por el que se establece el Mecanismo de Recuperación y Resiliencia. </w:t>
      </w:r>
    </w:p>
    <w:p w:rsidR="001C6219" w:rsidRDefault="001C6219" w:rsidP="001C6219">
      <w:r>
        <w:t>Cabe señalar que los datos necesarios recogidos en otros registros nacionales siempre estarán a disposición de las autoridades para desempeñar sus funciones y garantizar la trazabilidad.</w:t>
      </w:r>
    </w:p>
    <w:p w:rsidR="001C6219" w:rsidRDefault="001C6219" w:rsidP="001C6219"/>
    <w:p w:rsidR="001C6219" w:rsidRDefault="001C6219" w:rsidP="001C6219">
      <w:pPr>
        <w:pStyle w:val="P68B1DB1-Normal1"/>
      </w:pPr>
      <w:r>
        <w:t>Respuesta.</w:t>
      </w:r>
    </w:p>
    <w:p w:rsidR="001C6219" w:rsidRDefault="001C6219" w:rsidP="001C6219">
      <w:r>
        <w:t>El anexo XVII del RDC establece los datos que deben registrarse de conformidad con el artículo 72, apartado 1, letra e), del RDC sin prescribir una estructura específica para el sistema electrónico.</w:t>
      </w:r>
    </w:p>
    <w:p w:rsidR="001C6219" w:rsidRDefault="001C6219" w:rsidP="001C6219">
      <w:r>
        <w:t>En relación con lo anterior, cuando un registro nacional ya facilite todos los datos enumerados en el campo 23 del anexo XVII, no es necesario proporcionar un enlace o duplicar dichos datos en el sistema electrónico establecido a efectos del artículo 72, apartado 1, letra e), siempre que la autoridad de gestión tenga acceso directo y completo a dicho registro nacional.</w:t>
      </w:r>
    </w:p>
    <w:p w:rsidR="001C6219" w:rsidRDefault="001C6219" w:rsidP="001C6219">
      <w:r>
        <w:t>En lo que respecta a la compilación de los datos a que se refiere el artículo 22, apartado 2, letra d), del Reglamento del MRR, los Estados miembros deben recopilar y garantizar el acceso a determinadas categorías normalizadas de datos, tal como se definen en la disposición. Los Estados miembros deben recopilar y almacenar estos datos y ponerlos a disposición a efectos de auditoría y control. Estos datos deben ponerse a disposición de la Comisión y de los organismos de investigación previa solicitud. Sin embargo, en virtud del artículo 22, apartado 2, letra d), del Reglamento del MRR, no existe ninguna obligación de que estos datos se compartan periódicamente con la Comisión. La Comisión facilitó a los Estados miembros un sistema de información y seguimiento integrado e interoperable, que incluye una herramienta única de extracción de datos y puntuación de riesgos que puede utilizarse para almacenar, acceder y analizar los datos pertinentes con arreglo al artículo 22, apartado 2, letra d). Se anima encarecidamente a los Estados miembros a que utilicen esta herramienta, hagan que sus sistemas de datos nacionales sean compatibles con esta herramienta y le faciliten acceso a los datos subyacentes para ayudar a los controles nacionales y de la UE.</w:t>
      </w:r>
    </w:p>
    <w:p w:rsidR="001C6219" w:rsidRDefault="001C6219" w:rsidP="001C6219"/>
    <w:p w:rsidR="001C6219" w:rsidRDefault="001C6219" w:rsidP="001C6219"/>
    <w:p w:rsidR="001C6219" w:rsidRDefault="001C6219" w:rsidP="001C6219">
      <w:pPr>
        <w:pStyle w:val="Ttulo1"/>
      </w:pPr>
      <w:bookmarkStart w:id="297" w:name="scroll-bookmark-325"/>
      <w:bookmarkStart w:id="298" w:name="scroll-bookmark-326"/>
      <w:bookmarkEnd w:id="297"/>
      <w:r>
        <w:lastRenderedPageBreak/>
        <w:t>QA00168 — Relocalización en el contexto del RGEC</w:t>
      </w:r>
      <w:bookmarkEnd w:id="298"/>
    </w:p>
    <w:p w:rsidR="001C6219" w:rsidRDefault="001C6219" w:rsidP="001C6219">
      <w:r>
        <w:rPr>
          <w:noProof/>
          <w:lang w:val="es-ES"/>
        </w:rPr>
        <w:drawing>
          <wp:inline distT="0" distB="0" distL="0" distR="0" wp14:anchorId="07A39BE3" wp14:editId="2A9FFD80">
            <wp:extent cx="152435" cy="152435"/>
            <wp:effectExtent l="0" t="0" r="0" b="0"/>
            <wp:docPr id="100599" name="Imagen 1005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66 (1) del RDC</w:t>
      </w:r>
    </w:p>
    <w:p w:rsidR="001C6219" w:rsidRDefault="001C6219" w:rsidP="001C6219">
      <w:r>
        <w:rPr>
          <w:noProof/>
          <w:lang w:val="es-ES"/>
        </w:rPr>
        <w:drawing>
          <wp:inline distT="0" distB="0" distL="0" distR="0" wp14:anchorId="56CCED84" wp14:editId="0EC0CEE0">
            <wp:extent cx="152435" cy="152435"/>
            <wp:effectExtent l="0" t="0" r="0" b="0"/>
            <wp:docPr id="100601" name="Imagen 1006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Le pedimos que aclare las disposiciones del artículo 66, apartado 1, del RDC. Partiendo del artículo 2, apartado 27, que define «reubicación» como el traslado de la misma actividad o de una actividad similar, o parte de la misma, en el sentido del artículo 2, punto 61 bis, del Reglamento (UE) n.º 651/2014 (RGEC), suponemos que la reubicación así definida es aplicable a todos los proyectos, es decir, también a los no cubiertos por el RGEC. ¿Es correcta la interpretación?</w:t>
      </w:r>
    </w:p>
    <w:p w:rsidR="001C6219" w:rsidRDefault="001C6219" w:rsidP="001C6219">
      <w:r>
        <w:t>La otra cuestión se refiere al artículo 66, apartado 2, ¿se aplica a todos los casos de ayuda estatal, independientemente de su tipo, o solo se aplica a las ayudas regionales a la inversión concedidas de conformidad con el artículo 14 del RGEC?</w:t>
      </w:r>
    </w:p>
    <w:p w:rsidR="001C6219" w:rsidRDefault="001C6219" w:rsidP="001C6219"/>
    <w:p w:rsidR="001C6219" w:rsidRDefault="001C6219" w:rsidP="001C6219">
      <w:pPr>
        <w:pStyle w:val="P68B1DB1-Normal1"/>
      </w:pPr>
      <w:r>
        <w:t>Respuesta.</w:t>
      </w:r>
    </w:p>
    <w:p w:rsidR="001C6219" w:rsidRDefault="001C6219" w:rsidP="001C6219">
      <w:r>
        <w:t>La disposición del artículo 66, apartado 1, del RDC constituye una norma aplicable a todos los tipos de ayuda de los Fondos. Por lo tanto, la no subvencionabilidad de los gastos de apoyo a la reubicación no se limita a las operaciones cubiertas por el Reglamento (UE) n.º 651/2014 de la Comisión (RGEC). La referencia al RGEC en el artículo 2, apartado 27, del RDC se utiliza únicamente a efectos de la definición de «reubicación». Corresponde al Estado miembro establecer procedimientos y controles suficientes para evitar el apoyo a la reubicación. En este sentido, de conformidad con el artículo 73, apartado 2, del RDC, al seleccionar las operaciones, la autoridad de gestión debe garantizar que las operaciones no incluyan actividades que formen parte de una operación sujeta a reubicación.</w:t>
      </w:r>
    </w:p>
    <w:p w:rsidR="001C6219" w:rsidRDefault="001C6219" w:rsidP="001C6219">
      <w:r>
        <w:t>Por otra parte, el artículo 66, apartado 2, del RDC se limita a las obligaciones derivadas de las ayudas regionales. Si bien, con arreglo al RGEC y a las Directrices sobre las ayudas estatales de finalidad regional para el período 2022-2027 (en lo sucesivo, «DAR»), el beneficiario debe confirmar que no ha llevado a cabo un traslado al establecimiento en el que la inversión inicial para la que se solicita la ayuda tendrá lugar en los dos años anteriores a la solicitud de ayuda y se compromete a no hacerlo hasta un período de dos años a partir de la finalización de la inversión inicial para la que se solicita la ayuda, el artículo 73, apartado 2, letra h), del RDC impone a la autoridad de gestión la obligación de llevar a cabo controles satisfactorios que, de hecho, la política de cohesión no apoye la reubicación.</w:t>
      </w:r>
    </w:p>
    <w:p w:rsidR="001C6219" w:rsidRDefault="001C6219" w:rsidP="001C6219"/>
    <w:p w:rsidR="001C6219" w:rsidRDefault="001C6219" w:rsidP="001C6219"/>
    <w:p w:rsidR="001C6219" w:rsidRDefault="001C6219" w:rsidP="001C6219">
      <w:pPr>
        <w:pStyle w:val="Ttulo1"/>
      </w:pPr>
      <w:bookmarkStart w:id="299" w:name="scroll-bookmark-327"/>
      <w:bookmarkStart w:id="300" w:name="scroll-bookmark-328"/>
      <w:bookmarkEnd w:id="299"/>
      <w:r>
        <w:lastRenderedPageBreak/>
        <w:t>QA00169 — Uso de la electricidad de red en la producción de hidrógeno en el marco del FEDER y el FTJ</w:t>
      </w:r>
      <w:bookmarkEnd w:id="300"/>
    </w:p>
    <w:p w:rsidR="001C6219" w:rsidRDefault="001C6219" w:rsidP="001C6219">
      <w:r>
        <w:rPr>
          <w:noProof/>
          <w:lang w:val="es-ES"/>
        </w:rPr>
        <w:drawing>
          <wp:inline distT="0" distB="0" distL="0" distR="0" wp14:anchorId="15CD2CC3" wp14:editId="7B3AEFF4">
            <wp:extent cx="152435" cy="152435"/>
            <wp:effectExtent l="0" t="0" r="0" b="0"/>
            <wp:docPr id="100603" name="Imagen 1006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p>
    <w:p w:rsidR="001C6219" w:rsidRDefault="001C6219" w:rsidP="001C6219">
      <w:r>
        <w:t>Artículo 7 del Reglamento FEDER</w:t>
      </w:r>
    </w:p>
    <w:p w:rsidR="001C6219" w:rsidRDefault="001C6219" w:rsidP="001C6219">
      <w:r>
        <w:t>Artículo 9 del Reglamento del FTJ</w:t>
      </w:r>
    </w:p>
    <w:p w:rsidR="001C6219" w:rsidRDefault="001C6219" w:rsidP="001C6219">
      <w:r>
        <w:rPr>
          <w:noProof/>
          <w:lang w:val="es-ES"/>
        </w:rPr>
        <w:drawing>
          <wp:inline distT="0" distB="0" distL="0" distR="0" wp14:anchorId="1F146FE9" wp14:editId="6E15F251">
            <wp:extent cx="152435" cy="152435"/>
            <wp:effectExtent l="0" t="0" r="0" b="0"/>
            <wp:docPr id="100605" name="Imagen 1006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 estrategia nacional sueca en materia de hidrógeno incluye inversiones en hidrógeno no fósil, o hidrógeno basado en electricidad, cuando el hidrógeno se produce con electricidad sin combustibles fósiles procedente de la red. La combinación energética sin combustibles fósiles contiene tanto energía nuclear como renovable.</w:t>
      </w:r>
    </w:p>
    <w:p w:rsidR="001C6219" w:rsidRDefault="001C6219" w:rsidP="001C6219"/>
    <w:p w:rsidR="001C6219" w:rsidRDefault="001C6219" w:rsidP="001C6219">
      <w:pPr>
        <w:numPr>
          <w:ilvl w:val="0"/>
          <w:numId w:val="151"/>
        </w:numPr>
      </w:pPr>
      <w:r>
        <w:t>¿Son subvencionables estas inversiones en el marco del FEDER y del FTJ? Y el</w:t>
      </w:r>
    </w:p>
    <w:p w:rsidR="001C6219" w:rsidRDefault="001C6219" w:rsidP="001C6219">
      <w:pPr>
        <w:numPr>
          <w:ilvl w:val="0"/>
          <w:numId w:val="151"/>
        </w:numPr>
      </w:pPr>
      <w:r>
        <w:t>¿Existe una base jurídica que justifique que solo el hidrógeno renovable puede optar a la ayuda?</w:t>
      </w:r>
    </w:p>
    <w:p w:rsidR="001C6219" w:rsidRDefault="001C6219" w:rsidP="001C6219"/>
    <w:p w:rsidR="001C6219" w:rsidRDefault="001C6219" w:rsidP="001C6219">
      <w:pPr>
        <w:pStyle w:val="P68B1DB1-Normal1"/>
      </w:pPr>
      <w:r>
        <w:t>Antecedentes:</w:t>
      </w:r>
    </w:p>
    <w:p w:rsidR="001C6219" w:rsidRDefault="001C6219" w:rsidP="001C6219">
      <w:r>
        <w:t>En el marco del FEDER, Suecia está planificando estas inversiones en el marco del objetivo específico 2 ii) Promover las energías renovables, de conformidad con la Directiva (UE) 2018/2001, incluidos los criterios de sostenibilidad establecidos en ella.</w:t>
      </w:r>
    </w:p>
    <w:p w:rsidR="001C6219" w:rsidRDefault="001C6219" w:rsidP="001C6219"/>
    <w:p w:rsidR="001C6219" w:rsidRDefault="001C6219" w:rsidP="001C6219">
      <w:r>
        <w:t xml:space="preserve">A raíz de las observaciones formales de la CE sobre el programa, Suecia especificó que se trata de hidrógeno sin combustibles fósiles y aclaró cómo se producirán las fuentes de energía renovables (electricidad de la red, es decir, una combinación de fuentes de energía que incluye la energía hidroeléctrica, la energía </w:t>
      </w:r>
      <w:r>
        <w:rPr>
          <w:i/>
        </w:rPr>
        <w:t>nuclear</w:t>
      </w:r>
      <w:r>
        <w:t>, la eólica, el calor y el sol).</w:t>
      </w:r>
    </w:p>
    <w:p w:rsidR="001C6219" w:rsidRDefault="001C6219" w:rsidP="001C6219">
      <w:pPr>
        <w:pStyle w:val="P68B1DB1-Normal1"/>
      </w:pPr>
      <w:r>
        <w:br/>
        <w:t>Respuesta.</w:t>
      </w:r>
    </w:p>
    <w:p w:rsidR="001C6219" w:rsidRDefault="001C6219" w:rsidP="001C6219">
      <w:r>
        <w:t>Se entiende que el alcance de las inversiones previstas incluye la producción de hidrógeno mediante electrólisis del agua y con la electricidad procedente de una combinación de fuentes de energía renovables y no renovables. A falta de más detalles, la Comisión no puede adoptar una posición sobre proyectos específicos.</w:t>
      </w:r>
    </w:p>
    <w:p w:rsidR="001C6219" w:rsidRDefault="001C6219" w:rsidP="001C6219"/>
    <w:p w:rsidR="001C6219" w:rsidRDefault="001C6219" w:rsidP="001C6219">
      <w:r>
        <w:t xml:space="preserve">La base jurídica de los reglamentos de la política de cohesión 2021-2027 [incluidos el artículo 7 (1) (a) del FEDER y el artículo 9 (a) del FTJ] no excluye el uso de electricidad producida a partir de fuentes nucleares. En cambio, la exclusión de los combustibles </w:t>
      </w:r>
      <w:r>
        <w:lastRenderedPageBreak/>
        <w:t>fósiles limita la producción de hidrógeno basado en fuentes de combustibles fósiles de la ayuda del FEDER y la excluye del FTJ, de conformidad con el artículo 9, letra d), del FTJ y el artículo 7 (1) (h) del FEDER/FC. En este contexto, la producción de hidrógeno producido a partir de electricidad que contenga «calor» se excluye si el calor procede de fuentes de combustibles fósiles.</w:t>
      </w:r>
    </w:p>
    <w:p w:rsidR="001C6219" w:rsidRDefault="001C6219" w:rsidP="001C6219"/>
    <w:p w:rsidR="001C6219" w:rsidRDefault="001C6219" w:rsidP="001C6219">
      <w:r>
        <w:t>Desde una perspectiva política, debe fomentarse el apoyo de los fondos de la UE a la producción de hidrógeno renovable. El hidrógeno renovable se define como «hidrógeno producido mediante la electrólisis del agua (en un electrolizador alimentado con electricidad) y con la electricidad procedente de fuentes renovables»</w:t>
      </w:r>
      <w:hyperlink w:anchor="scroll-bookmark-329" w:history="1">
        <w:r>
          <w:rPr>
            <w:rStyle w:val="Hipervnculo"/>
          </w:rPr>
          <w:t>[1]</w:t>
        </w:r>
      </w:hyperlink>
      <w:r>
        <w:t>, mientras que las fuentes de energía renovables se definen en la Directiva (UE) 2018/2001 (Directiva sobre fuentes de energía renovables) y no incluyen la energía nuclear ni el calor</w:t>
      </w:r>
      <w:hyperlink w:anchor="scroll-bookmark-330" w:history="1">
        <w:r>
          <w:rPr>
            <w:rStyle w:val="Hipervnculo"/>
          </w:rPr>
          <w:t>[2]</w:t>
        </w:r>
      </w:hyperlink>
      <w:r>
        <w:t>. Por lo tanto, la producción de hidrógeno renovable está plenamente en consonancia con el artículo 3 (1) (b) (ii) del FEDER y con el artículo 8 (2) (e) del FTJ, que tratan de «</w:t>
      </w:r>
      <w:r>
        <w:rPr>
          <w:i/>
        </w:rPr>
        <w:t>promover las energías renovables, de conformidad con la Directiva (UE) 2018/2001, incluidos los criterios de sostenibilidad establecidos en ella</w:t>
      </w:r>
      <w:r>
        <w:t>».</w:t>
      </w:r>
    </w:p>
    <w:p w:rsidR="001C6219" w:rsidRDefault="001C6219" w:rsidP="001C6219"/>
    <w:p w:rsidR="001C6219" w:rsidRDefault="001C6219" w:rsidP="001C6219">
      <w:r>
        <w:t>Por el contrario, la producción de hidrógeno basado en electricidad a partir de electricidad que incluye fuentes de energía no renovables no está en consonancia con estos objetivos específicos y, por tanto, no debe recibir ayuda del FEDER ni del FTJ.</w:t>
      </w:r>
    </w:p>
    <w:p w:rsidR="001C6219" w:rsidRDefault="001C6219" w:rsidP="001C6219"/>
    <w:p w:rsidR="001C6219" w:rsidRDefault="001C6219" w:rsidP="001C6219">
      <w:r>
        <w:t>En caso de que se demuestre que las inversiones previstas contribuyen a otro objetivo específico, la Comisión está dispuesta a evaluar propuestas concretas.</w:t>
      </w:r>
    </w:p>
    <w:p w:rsidR="001C6219" w:rsidRDefault="001C6219" w:rsidP="001C6219">
      <w:r>
        <w:t>TIERNA _</w:t>
      </w:r>
    </w:p>
    <w:p w:rsidR="001C6219" w:rsidRDefault="001C6219" w:rsidP="001C6219"/>
    <w:p w:rsidR="001C6219" w:rsidRDefault="00FC0FB1" w:rsidP="001C6219">
      <w:hyperlink w:anchor="scroll-bookmark-331" w:history="1">
        <w:r w:rsidR="001C6219">
          <w:rPr>
            <w:rStyle w:val="Hipervnculo"/>
          </w:rPr>
          <w:t>[1]</w:t>
        </w:r>
      </w:hyperlink>
      <w:r w:rsidR="001C6219">
        <w:t xml:space="preserve"> COM (2020) 301 final.</w:t>
      </w:r>
    </w:p>
    <w:p w:rsidR="001C6219" w:rsidRDefault="00FC0FB1" w:rsidP="001C6219">
      <w:hyperlink w:anchor="scroll-bookmark-332" w:history="1">
        <w:r w:rsidR="001C6219">
          <w:rPr>
            <w:rStyle w:val="Hipervnculo"/>
          </w:rPr>
          <w:t>[2]</w:t>
        </w:r>
      </w:hyperlink>
      <w:r w:rsidR="001C6219">
        <w:t xml:space="preserve"> En este contexto, el proyecto de Reglamento Delegado de la Comisión por el que se completa la Directiva (UE) 2018/2001 del Parlamento Europeo y del Consejo estableciendo una metodología de la Unión que establezca normas detalladas para la producción de carburantes líquidos y gaseosos renovables de origen no biológico establece lo siguiente: «</w:t>
      </w:r>
      <w:r w:rsidR="001C6219">
        <w:rPr>
          <w:i/>
        </w:rPr>
        <w:t xml:space="preserve">Si la instalación que produce electricidad renovable y la instalación que produce hidrógeno no solo están conectadas directamente, sino que también están conectadas a la red, deben aportarse pruebas de que la electricidad utilizada para producir hidrógeno se suministra a través de la conexión directa. La instalación que suministra electricidad para la producción de hidrógeno mediante una conexión directa siempre debe suministrar electricidad renovable. Si suministra electricidad no renovable, </w:t>
      </w:r>
      <w:r w:rsidR="00214B1C">
        <w:rPr>
          <w:i/>
        </w:rPr>
        <w:t xml:space="preserve">por ejemplo, </w:t>
      </w:r>
      <w:r w:rsidR="001C6219">
        <w:rPr>
          <w:i/>
        </w:rPr>
        <w:t>obtenida de la red, el hidrógeno resultante no se considerará renovable</w:t>
      </w:r>
      <w:r w:rsidR="001C6219">
        <w:t>».</w:t>
      </w:r>
    </w:p>
    <w:p w:rsidR="001C6219" w:rsidRDefault="001C6219" w:rsidP="001C6219"/>
    <w:p w:rsidR="001C6219" w:rsidRDefault="001C6219" w:rsidP="001C6219"/>
    <w:p w:rsidR="001C6219" w:rsidRDefault="001C6219" w:rsidP="001C6219">
      <w:pPr>
        <w:pStyle w:val="Ttulo1"/>
      </w:pPr>
      <w:bookmarkStart w:id="301" w:name="scroll-bookmark-333"/>
      <w:bookmarkStart w:id="302" w:name="scroll-bookmark-334"/>
      <w:bookmarkEnd w:id="301"/>
      <w:r>
        <w:lastRenderedPageBreak/>
        <w:t>QA00170 — Participación voluntaria en el FSE + en combinación con OCS</w:t>
      </w:r>
      <w:bookmarkEnd w:id="302"/>
    </w:p>
    <w:p w:rsidR="001C6219" w:rsidRDefault="001C6219" w:rsidP="001C6219">
      <w:r>
        <w:rPr>
          <w:noProof/>
          <w:lang w:val="es-ES"/>
        </w:rPr>
        <w:drawing>
          <wp:inline distT="0" distB="0" distL="0" distR="0" wp14:anchorId="5AFE01DD" wp14:editId="5D9A5F9D">
            <wp:extent cx="152435" cy="152435"/>
            <wp:effectExtent l="0" t="0" r="0" b="0"/>
            <wp:docPr id="100607" name="Imagen 1006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1C6219" w:rsidRDefault="001C6219" w:rsidP="001C6219">
      <w:r>
        <w:t>Artículo 56 del RDC</w:t>
      </w:r>
    </w:p>
    <w:p w:rsidR="001C6219" w:rsidRDefault="001C6219" w:rsidP="001C6219">
      <w:r>
        <w:t>Artículo 67, apartado 1, del Reglamento sobre disposiciones comunes.</w:t>
      </w:r>
    </w:p>
    <w:p w:rsidR="001C6219" w:rsidRDefault="001C6219" w:rsidP="001C6219">
      <w:r>
        <w:rPr>
          <w:noProof/>
          <w:lang w:val="es-ES"/>
        </w:rPr>
        <w:drawing>
          <wp:inline distT="0" distB="0" distL="0" distR="0" wp14:anchorId="0652EC32" wp14:editId="363BEBB1">
            <wp:extent cx="152435" cy="152435"/>
            <wp:effectExtent l="0" t="0" r="0" b="0"/>
            <wp:docPr id="100609" name="Imagen 1006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el próximo período de financiación, Baja Sajonia desea incluir contribuciones en especie en el sentido del artículo 67, apartado 1, del RDC en forma de trabajo gratuito para apoyar la participación voluntaria en el FSE + y el FEDER. En todas las directrices, las OCS se utilizarán en el FSE +, lo que también será más frecuente en el FEDER que en el pasado. En el FSE +, se espera normalmente el siguiente modelo de OCS:</w:t>
      </w:r>
    </w:p>
    <w:p w:rsidR="001C6219" w:rsidRDefault="001C6219" w:rsidP="001C6219"/>
    <w:p w:rsidR="001C6219" w:rsidRDefault="001C6219" w:rsidP="001C6219">
      <w:pPr>
        <w:numPr>
          <w:ilvl w:val="0"/>
          <w:numId w:val="152"/>
        </w:numPr>
      </w:pPr>
      <w:r>
        <w:t>OCS para gastos de personal</w:t>
      </w:r>
    </w:p>
    <w:p w:rsidR="001C6219" w:rsidRDefault="001C6219" w:rsidP="001C6219">
      <w:pPr>
        <w:numPr>
          <w:ilvl w:val="0"/>
          <w:numId w:val="152"/>
        </w:numPr>
      </w:pPr>
      <w:r>
        <w:t>Costes residuales a tanto alzado para los costes de personal incluidos en el ámbito de aplicación del artículo 56 del RDC</w:t>
      </w:r>
    </w:p>
    <w:p w:rsidR="001C6219" w:rsidRDefault="001C6219" w:rsidP="001C6219">
      <w:pPr>
        <w:numPr>
          <w:ilvl w:val="0"/>
          <w:numId w:val="152"/>
        </w:numPr>
      </w:pPr>
      <w:r>
        <w:t>Sueldos e indemnizaciones de los participantes, en su caso</w:t>
      </w:r>
    </w:p>
    <w:p w:rsidR="001C6219" w:rsidRDefault="001C6219" w:rsidP="001C6219"/>
    <w:p w:rsidR="001C6219" w:rsidRDefault="001C6219" w:rsidP="001C6219">
      <w:r>
        <w:t xml:space="preserve">En esta situación, la inclusión de los servicios de trabajo no remunerado en el apoyo del FSE + solo es posible si el trabajo no remunerado puede incluirse en el cálculo de los gastos de personal y, por tanto, también en la base de cálculo del coste residual. En el otro caso, el voluntariado no podría tenerse en cuenta en la financiación del FSE +, </w:t>
      </w:r>
      <w:r w:rsidR="002F3719">
        <w:t xml:space="preserve">ya que, </w:t>
      </w:r>
      <w:r>
        <w:t xml:space="preserve">estaría cubierto por el tipo fijo para los costes residuales. La medida en que este problema también se plantea en el FEDER aún no es previsible, </w:t>
      </w:r>
      <w:r w:rsidR="002F3719">
        <w:t xml:space="preserve">ya que, </w:t>
      </w:r>
      <w:r>
        <w:t>todavía no está claro si habrá una situación con un posible porcentaje a tanto alzado para los costes residuales. En cuanto a la interpretación del artículo 67, apartado 1, en relación con el artículo 56 del RDC, no estamos seguros de que el trabajo realizado gratuitamente pueda incluirse en la base imponible de los costes residuales a tanto alzado?</w:t>
      </w:r>
    </w:p>
    <w:p w:rsidR="001C6219" w:rsidRDefault="001C6219" w:rsidP="001C6219">
      <w:pPr>
        <w:pStyle w:val="P68B1DB1-Normal1"/>
      </w:pPr>
      <w:r>
        <w:t>Respuesta.</w:t>
      </w:r>
    </w:p>
    <w:p w:rsidR="001C6219" w:rsidRDefault="001C6219" w:rsidP="001C6219">
      <w:r>
        <w:t>Dado que la definición de costes directos de personal, que es responsabilidad de la autoridad de gestión, no está vinculada a la forma de gasto (en especie o no), los costes de personal en especie pueden utilizarse efectivamente en el importe de base para el cálculo del tipo fijo del 40 %.</w:t>
      </w:r>
    </w:p>
    <w:p w:rsidR="001C6219" w:rsidRDefault="001C6219" w:rsidP="001C6219">
      <w:r>
        <w:t xml:space="preserve">Esta posibilidad está sujeta a la condición de que se respeten todos los requisitos nacionales relativos a la subvencionabilidad del gasto, así como los requisitos del RDC en lo que respecta a la pista de auditoría, y siempre que el valor/los importes de los costes de personal en especie se </w:t>
      </w:r>
      <w:r>
        <w:rPr>
          <w:i/>
        </w:rPr>
        <w:t xml:space="preserve">determinen, tal como se especifica en el artículo 67, </w:t>
      </w:r>
      <w:r>
        <w:rPr>
          <w:i/>
        </w:rPr>
        <w:lastRenderedPageBreak/>
        <w:t>apartado 1, letra e), del RDC, «teniendo en cuenta el tiempo transcurrido verificado y la tasa de remuneración por un trabajo equivalente</w:t>
      </w:r>
      <w:r>
        <w:t>».</w:t>
      </w:r>
    </w:p>
    <w:p w:rsidR="001C6219" w:rsidRDefault="001C6219" w:rsidP="001C6219"/>
    <w:p w:rsidR="001C6219" w:rsidRDefault="001C6219" w:rsidP="001C6219"/>
    <w:p w:rsidR="001C6219" w:rsidRDefault="001C6219" w:rsidP="001C6219">
      <w:pPr>
        <w:pStyle w:val="Ttulo1"/>
      </w:pPr>
      <w:bookmarkStart w:id="303" w:name="scroll-bookmark-335"/>
      <w:bookmarkStart w:id="304" w:name="scroll-bookmark-336"/>
      <w:bookmarkEnd w:id="303"/>
      <w:r>
        <w:t>QA00171 — Anexo XXIII (solicitud de pago) Apéndice 2 — Asistencia técnica a tanto alzado</w:t>
      </w:r>
      <w:bookmarkEnd w:id="304"/>
    </w:p>
    <w:p w:rsidR="001C6219" w:rsidRDefault="001C6219" w:rsidP="001C6219">
      <w:r>
        <w:rPr>
          <w:noProof/>
          <w:lang w:val="es-ES"/>
        </w:rPr>
        <w:drawing>
          <wp:inline distT="0" distB="0" distL="0" distR="0" wp14:anchorId="33CDC19D" wp14:editId="7789757B">
            <wp:extent cx="152435" cy="152435"/>
            <wp:effectExtent l="0" t="0" r="0" b="0"/>
            <wp:docPr id="100611" name="Imagen 1006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15 del RDC</w:t>
      </w:r>
    </w:p>
    <w:p w:rsidR="001C6219" w:rsidRDefault="001C6219" w:rsidP="001C6219">
      <w:r>
        <w:t>Anexos XXIII y XXIV del RDC</w:t>
      </w:r>
    </w:p>
    <w:p w:rsidR="001C6219" w:rsidRDefault="001C6219" w:rsidP="001C6219">
      <w:r>
        <w:rPr>
          <w:noProof/>
          <w:lang w:val="es-ES"/>
        </w:rPr>
        <w:drawing>
          <wp:inline distT="0" distB="0" distL="0" distR="0" wp14:anchorId="6F6CDA87" wp14:editId="3E086E25">
            <wp:extent cx="152435" cy="152435"/>
            <wp:effectExtent l="0" t="0" r="0" b="0"/>
            <wp:docPr id="100613" name="Imagen 1006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Nos gustaría hacer un seguimiento de la pregunta «QA00117 — Aclaración relativa a los anexos XXIII (solicitud de pago) y XXIV (cuentas) del RDC en el período de programación 2021-2027». A partir de las respuestas, no estamos seguros de si el importe de la asistencia técnica de conformidad con el artículo 91, apartado 3, letra b) (tanto alzado) debe consignarse o no en el apéndice 2 (condiciones favorables) del anexo XXIII (solicitud de pago). Teniendo en cuenta el artículo 15, apartado 5, y (6) del RDC, que prevé la opción de incluir los gastos relacionados con operaciones relacionadas con el incumplimiento del objetivo específico o de la condición favorecedora, el importe respectivo de la asistencia técnica de conformidad con el artículo 91, apartado 3, letra b), debe añadirse a los gastos relacionados con operaciones relacionadas con el incumplimiento del objetivo específico/condición favorable en las columnas B y C del apéndice 2. ¿Es correcta nuestra interpretación, en el sentido de que el cálculo de la norma N + 3 tendrá en cuenta no solo los importes de las solicitudes de prefinanciación y de pago, sino también los importes consignados en las columnas B y C del apéndice 2 del anexo XXIII, junto con el importe respectivo de la asistencia técnica de conformidad con el artículo 91, apartado 3, letra b)?</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La asistencia técnica en virtud del artículo 36, apartado 5, del RDC se reembolsa aplicando los porcentajes establecidos en el apartado 5, incisos i) a vii), de dicho artículo a los gastos subvencionables incluidos en cada solicitud de pago con arreglo al artículo 91, apartado 3. El importe de la asistencia técnica con arreglo al artículo 36, apartado 5, de la columna D del cuadro «Gastos desglosados por prioridades» del anexo XXIII debe calcularse automáticamente en SFC2021 sobre la base de los datos facilitados en la solicitud de pago.</w:t>
      </w:r>
    </w:p>
    <w:p w:rsidR="001C6219" w:rsidRDefault="001C6219" w:rsidP="001C6219">
      <w:r>
        <w:t xml:space="preserve">Dado que no existen actividades de asistencia técnica en virtud del artículo 36 (5), sino únicamente un reembolso basado en el gasto declarado de conformidad con el artículo 91 (3), el apéndice 2 del anexo XXIII no contiene una columna correspondiente </w:t>
      </w:r>
      <w:r>
        <w:lastRenderedPageBreak/>
        <w:t>a la columna D del cuadro «Gastos desglosados por prioridades» del anexo XXIII. El importe de la asistencia técnica a tanto alzado [asistencia técnica de conformidad con el artículo 91, apartado 3, letra b)] no debe consignarse en el apéndice 2.</w:t>
      </w:r>
    </w:p>
    <w:p w:rsidR="001C6219" w:rsidRDefault="001C6219" w:rsidP="001C6219">
      <w:r>
        <w:t>El cumplimiento de la norma N + 3 se evaluará de conformidad con lo dispuesto en los artículos 105 y 15 (5) del RDC, teniendo en cuenta los importes declarados en el apéndice 2 de la solicitud de pago, así como el importe correspondiente de asistencia técnica de conformidad con el artículo 91, apartado 3, letra b), cuando proceda.</w:t>
      </w:r>
    </w:p>
    <w:p w:rsidR="001C6219" w:rsidRDefault="001C6219" w:rsidP="001C6219"/>
    <w:p w:rsidR="001C6219" w:rsidRDefault="001C6219" w:rsidP="001C6219"/>
    <w:p w:rsidR="001C6219" w:rsidRDefault="001C6219" w:rsidP="001C6219">
      <w:pPr>
        <w:pStyle w:val="Ttulo1"/>
      </w:pPr>
      <w:bookmarkStart w:id="305" w:name="scroll-bookmark-337"/>
      <w:bookmarkStart w:id="306" w:name="scroll-bookmark-338"/>
      <w:bookmarkEnd w:id="305"/>
      <w:r>
        <w:t>QA00172 — Requisitos de visibilidad cuando el beneficiario es una persona física</w:t>
      </w:r>
      <w:bookmarkEnd w:id="306"/>
    </w:p>
    <w:p w:rsidR="001C6219" w:rsidRDefault="001C6219" w:rsidP="001C6219">
      <w:r>
        <w:rPr>
          <w:noProof/>
          <w:lang w:val="es-ES"/>
        </w:rPr>
        <w:drawing>
          <wp:inline distT="0" distB="0" distL="0" distR="0" wp14:anchorId="64765A14" wp14:editId="2B6AACE6">
            <wp:extent cx="152435" cy="152435"/>
            <wp:effectExtent l="0" t="0" r="0" b="0"/>
            <wp:docPr id="100615" name="Imagen 1006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apartado 1, letra d), del RDC</w:t>
      </w:r>
    </w:p>
    <w:p w:rsidR="001C6219" w:rsidRDefault="001C6219" w:rsidP="001C6219">
      <w:r>
        <w:rPr>
          <w:noProof/>
          <w:lang w:val="es-ES"/>
        </w:rPr>
        <w:drawing>
          <wp:inline distT="0" distB="0" distL="0" distR="0" wp14:anchorId="3677C228" wp14:editId="2B6040C4">
            <wp:extent cx="152435" cy="152435"/>
            <wp:effectExtent l="0" t="0" r="0" b="0"/>
            <wp:docPr id="100617" name="Imagen 1006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¿Qué tipo de requisitos de visibilidad se aplican cuando el beneficiario es una persona física y el artículo de visibilidad se encuentra en un hogar privado, concretamente en este caso el apoyo de la UE para la sustitución de una caldera?</w:t>
      </w:r>
    </w:p>
    <w:p w:rsidR="001C6219" w:rsidRDefault="001C6219" w:rsidP="001C6219">
      <w:r>
        <w:t xml:space="preserve">De conformidad con los requisitos del artículo 50, apartado 1, letra d), del RDC, es admisible ofrecer publicidad por medios electrónicos. Dado que los beneficiarios individuales tienen un entorno electrónico muy diferente o incluso no utilizan ningún canal electrónico (es decir, no utilizan ningún canal en línea), es lógico que el organismo intermedio pueda ofrecer publicidad en un solo lugar, publicando información en el sitio web, </w:t>
      </w:r>
      <w:r w:rsidR="00214B1C">
        <w:t xml:space="preserve">por ejemplo, </w:t>
      </w:r>
      <w:r>
        <w:t>con una fotofijación adecuadamente diseñada sobre la ejecución del proyecto.</w:t>
      </w:r>
    </w:p>
    <w:p w:rsidR="001C6219" w:rsidRDefault="001C6219" w:rsidP="001C6219"/>
    <w:p w:rsidR="001C6219" w:rsidRDefault="001C6219" w:rsidP="001C6219">
      <w:r>
        <w:t>Creemos que no es racional hacer placa en propiedades privadas ni exigir al beneficiario la creación de una red social específica únicamente para la publicidad del proyecto, siempre que pueda facilitarse de manera unida en el entorno electrónico y, en cualquier caso, también se recoja información sobre los proyectos realizados en el sitio web de los fondos de la UE.</w:t>
      </w:r>
    </w:p>
    <w:p w:rsidR="001C6219" w:rsidRDefault="001C6219" w:rsidP="001C6219"/>
    <w:p w:rsidR="001C6219" w:rsidRDefault="001C6219" w:rsidP="001C6219">
      <w:r>
        <w:t>A la luz de lo anterior, se ruega completar la aclaración de la aplicación del criterio mediante: Si está previsto que el proyecto se lleve a cabo en propiedad pública y el solicitante del proyecto es una persona física, el organismo intermedio debe darle publicidad, siempre que se especifique en las normas de ejecución.</w:t>
      </w:r>
    </w:p>
    <w:p w:rsidR="001C6219" w:rsidRDefault="001C6219" w:rsidP="001C6219"/>
    <w:p w:rsidR="001C6219" w:rsidRDefault="001C6219" w:rsidP="001C6219">
      <w:pPr>
        <w:pStyle w:val="P68B1DB1-Normal1"/>
      </w:pPr>
      <w:r>
        <w:lastRenderedPageBreak/>
        <w:t>Respuesta.</w:t>
      </w:r>
    </w:p>
    <w:p w:rsidR="001C6219" w:rsidRDefault="001C6219" w:rsidP="001C6219">
      <w:r>
        <w:t xml:space="preserve">El artículo 50 del RDC exige a los beneficiarios que reconozcan la ayuda de los Fondos a las operaciones. En el caso de las operaciones apoyadas por el FEDER que no cumplan las condiciones especificadas en el artículo 50, apartado 1, letra c), inciso i), del RDC, los beneficiarios que sean personas físicas deben </w:t>
      </w:r>
      <w:r>
        <w:rPr>
          <w:b/>
        </w:rPr>
        <w:t>garantizar, en la medida de</w:t>
      </w:r>
      <w:r>
        <w:t xml:space="preserve"> lo posible, que se disponga de la información adecuada, destacando la ayuda de los Fondos, en un lugar visible para el público o a través de una pantalla electrónica [artículo 50, apartado 1, letra d), del RDC].</w:t>
      </w:r>
    </w:p>
    <w:p w:rsidR="001C6219" w:rsidRDefault="001C6219" w:rsidP="001C6219"/>
    <w:p w:rsidR="001C6219" w:rsidRDefault="001C6219" w:rsidP="001C6219">
      <w:r>
        <w:t>En este caso concreto de sustitución de calderas en viviendas privadas, cuando los beneficiarios sean personas físicas, mostrar información sobre la ayuda de los Fondos en hogares privados (por ejemplo, en las calderas) no cumpliría la condición de una ubicación visible para el público. Además, no debe exigirse a los beneficiarios que faciliten dicha información en sus sitios web oficiales, cuando estos no existan. Para reconocer la ayuda de los Fondos, es aconsejable que la autoridad de gestión o el organismo intermedio pertinente garantice la promoción y la visibilidad mediante la publicación de información adecuada sobre la ejecución del proyecto en su sitio web u otros canales de comunicación como, por ejemplo, las redes sociales.</w:t>
      </w:r>
    </w:p>
    <w:p w:rsidR="001C6219" w:rsidRDefault="001C6219" w:rsidP="001C6219"/>
    <w:p w:rsidR="001C6219" w:rsidRDefault="001C6219" w:rsidP="001C6219"/>
    <w:p w:rsidR="001C6219" w:rsidRDefault="001C6219" w:rsidP="001C6219">
      <w:pPr>
        <w:pStyle w:val="Ttulo1"/>
      </w:pPr>
      <w:bookmarkStart w:id="307" w:name="scroll-bookmark-339"/>
      <w:bookmarkStart w:id="308" w:name="scroll-bookmark-340"/>
      <w:bookmarkEnd w:id="307"/>
      <w:r>
        <w:t>QA00174 — Requisitos de notificación del anexo VII, cuadro 1, en relación con las FNLC</w:t>
      </w:r>
      <w:bookmarkEnd w:id="308"/>
    </w:p>
    <w:p w:rsidR="001C6219" w:rsidRDefault="001C6219" w:rsidP="001C6219">
      <w:r>
        <w:rPr>
          <w:noProof/>
          <w:lang w:val="es-ES"/>
        </w:rPr>
        <w:drawing>
          <wp:inline distT="0" distB="0" distL="0" distR="0" wp14:anchorId="26A15694" wp14:editId="16832829">
            <wp:extent cx="152435" cy="152435"/>
            <wp:effectExtent l="0" t="0" r="0" b="0"/>
            <wp:docPr id="100619" name="Imagen 1006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42 (2) (a) RDC, anexo VII del RDC </w:t>
      </w:r>
    </w:p>
    <w:p w:rsidR="001C6219" w:rsidRDefault="001C6219" w:rsidP="001C6219">
      <w:r>
        <w:rPr>
          <w:noProof/>
          <w:lang w:val="es-ES"/>
        </w:rPr>
        <w:drawing>
          <wp:inline distT="0" distB="0" distL="0" distR="0" wp14:anchorId="40A86FCE" wp14:editId="18D6138C">
            <wp:extent cx="152435" cy="152435"/>
            <wp:effectExtent l="0" t="0" r="0" b="0"/>
            <wp:docPr id="100621" name="Imagen 1006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EN</w:t>
      </w:r>
    </w:p>
    <w:p w:rsidR="001C6219" w:rsidRDefault="001C6219" w:rsidP="001C6219"/>
    <w:p w:rsidR="001C6219" w:rsidRDefault="001C6219" w:rsidP="001C6219">
      <w:pPr>
        <w:pStyle w:val="P68B1DB1-Normal1"/>
      </w:pPr>
      <w:r>
        <w:br/>
        <w:t>Pregunta 1 (incluidos los hechos e información pertinentes):</w:t>
      </w:r>
    </w:p>
    <w:p w:rsidR="001C6219" w:rsidRDefault="00377B57" w:rsidP="001C6219">
      <w:pPr>
        <w:pStyle w:val="P68B1DB1-Normal1"/>
      </w:pPr>
      <w:r>
        <w:t>Pregunta</w:t>
      </w:r>
    </w:p>
    <w:p w:rsidR="001C6219" w:rsidRDefault="001C6219" w:rsidP="001C6219">
      <w:r>
        <w:t xml:space="preserve">El artículo 42 (2) (a) del RDC sobre la transmisión de datos a la CE exige que se transmitan datos sobre «el número de operaciones seleccionadas, </w:t>
      </w:r>
      <w:r>
        <w:rPr>
          <w:u w:val="single"/>
        </w:rPr>
        <w:t>sus costes subvencionables totales</w:t>
      </w:r>
      <w:r>
        <w:t xml:space="preserve">, la contribución de los fondos y el </w:t>
      </w:r>
      <w:r>
        <w:rPr>
          <w:u w:val="single"/>
        </w:rPr>
        <w:t>gasto subvencionable total declarado por los beneficiarios a la autoridad</w:t>
      </w:r>
      <w:r>
        <w:t xml:space="preserve"> de gestión, desglosados por tipo de intervención; (subrayado por AT).</w:t>
      </w:r>
    </w:p>
    <w:p w:rsidR="001C6219" w:rsidRDefault="001C6219" w:rsidP="001C6219">
      <w:r>
        <w:t>Las disposiciones del RDC no proporcionan ninguna indicación sobre cómo debe tratarse la FNLTC, aunque es evidente que la mayoría de los requisitos de información no pueden facilitarse de la manera prevista (al menos para los puntos de notificación subrayados anteriormente). ¿Cómo informar en el anexo VII en caso de FNLC?</w:t>
      </w:r>
    </w:p>
    <w:p w:rsidR="001C6219" w:rsidRDefault="001C6219" w:rsidP="001C6219"/>
    <w:p w:rsidR="001C6219" w:rsidRDefault="001C6219" w:rsidP="001C6219">
      <w:pPr>
        <w:pStyle w:val="P68B1DB1-Normal1"/>
      </w:pPr>
      <w:r>
        <w:lastRenderedPageBreak/>
        <w:t>Respuesta.</w:t>
      </w:r>
    </w:p>
    <w:p w:rsidR="001C6219" w:rsidRDefault="001C6219" w:rsidP="001C6219">
      <w:r>
        <w:t>De conformidad con el artículo 95, apartado 1, del RDC, la Comisión podrá reembolsar la contribución de la Unión a la totalidad o parte de una prioridad de los programas sobre la base de financiación no vinculada a los costes de conformidad con el artículo 51 del RDC, ya sea sobre la base de los importes aprobados por la decisión a que se refiere el artículo 95, apartado 2, del RDC o establecidos en el acto delegado a que se refiere el artículo 95, apartado 4, del RDC.</w:t>
      </w:r>
    </w:p>
    <w:p w:rsidR="001C6219" w:rsidRDefault="001C6219" w:rsidP="001C6219">
      <w:r>
        <w:t>En caso de que la financiación de los costes no vinculados se defina en un programa, los Estados miembros deben presentar una propuesta a la Comisión de conformidad con los apéndices 2 de los modelos de programa que figuran en los anexos V y VI del RDC, como parte de un programa o de una solicitud de modificación del programa. La información que debe facilitarse en dicha propuesta se establece exhaustivamente en el artículo 95, apartado 1, del RDC. En dicho artículo no se exige que se facilite información sobre los importes correspondientes a los costes de las operaciones seleccionadas.</w:t>
      </w:r>
    </w:p>
    <w:p w:rsidR="001C6219" w:rsidRDefault="001C6219" w:rsidP="001C6219">
      <w:r>
        <w:t>De conformidad con el artículo 91, apartado 4, letra a), del RDC, no obstante lo dispuesto en el artículo 91, apartado 3, letra a), del RDC, cuando la contribución de la Unión se realice de conformidad con el artículo 51, letra a), los importes incluidos en una solicitud de pago son los importes justificados por los avances en el cumplimiento de las condiciones o la consecución de resultados, de conformidad con la decisión a que se refiere el artículo 95, apartado 2, del RDC o el acto delegado a que se refiere el artículo 95, apartado 4, del RDC.</w:t>
      </w:r>
    </w:p>
    <w:p w:rsidR="001C6219" w:rsidRDefault="001C6219" w:rsidP="001C6219">
      <w:r>
        <w:t>De conformidad con el artículo 42, apartado 2, letra a), del RDC, el Estado miembro o la autoridad de gestión deben transmitir electrónicamente a la Comisión datos acumulativos de cada programa sobre el número de operaciones seleccionadas, su coste subvencionable total, la contribución de los Fondos y el gasto subvencionable total declarado por los beneficiarios a la autoridad de gestión, todos ellos desglosados por tipo de intervención.</w:t>
      </w:r>
    </w:p>
    <w:p w:rsidR="001C6219" w:rsidRDefault="001C6219" w:rsidP="001C6219">
      <w:r>
        <w:t>En función de lo anterior:</w:t>
      </w:r>
    </w:p>
    <w:p w:rsidR="001C6219" w:rsidRDefault="001C6219" w:rsidP="001C6219">
      <w:pPr>
        <w:numPr>
          <w:ilvl w:val="0"/>
          <w:numId w:val="153"/>
        </w:numPr>
      </w:pPr>
      <w:r>
        <w:t>Los datos que deben incluirse en las columnas 8,9 y 10 del anexo VII deben incluir información relativa a las operaciones cubiertas por el régimen FNLC sobre la base de la información facilitada en el documento en el que se establecen las condiciones de la ayuda entregada a los beneficiarios.</w:t>
      </w:r>
    </w:p>
    <w:p w:rsidR="001C6219" w:rsidRDefault="001C6219" w:rsidP="001C6219">
      <w:pPr>
        <w:numPr>
          <w:ilvl w:val="0"/>
          <w:numId w:val="153"/>
        </w:numPr>
      </w:pPr>
      <w:r>
        <w:t>Los datos que deben incluirse en las columnas 11 y 12 del anexo VII del RDC deben referirse al gasto declarado en las solicitudes de pago a la AG por el beneficiario sobre la base del modo de reembolso establecido en el documento en el que se establecen las condiciones de la ayuda. Esto significa que, si el reembolso a los beneficiarios se basa en los costes realmente contraídos y pagados, los datos facilitados deben incluir los costes soportados y pagados por el beneficiario. Si el reembolso al beneficiario se basa en OCS o FNLC, los datos facilitados deben ser el importe calculado sobre la base aplicable.</w:t>
      </w:r>
    </w:p>
    <w:p w:rsidR="001C6219" w:rsidRDefault="001C6219" w:rsidP="001C6219">
      <w:pPr>
        <w:numPr>
          <w:ilvl w:val="0"/>
          <w:numId w:val="153"/>
        </w:numPr>
      </w:pPr>
      <w:r>
        <w:t>La notificación de estos datos debe hacerse a nivel de prioridad, por lo que a nivel agregado, aunque la prioridad apoye también operaciones no cubiertas por un régimen de financiación no vinculada a la financiación.</w:t>
      </w:r>
    </w:p>
    <w:p w:rsidR="001C6219" w:rsidRDefault="001C6219" w:rsidP="001C6219">
      <w:pPr>
        <w:numPr>
          <w:ilvl w:val="0"/>
          <w:numId w:val="153"/>
        </w:numPr>
      </w:pPr>
      <w:r>
        <w:lastRenderedPageBreak/>
        <w:t>Cabe señalar que la información incluida en el anexo VII del RDC tiene por objeto proporcionar información sobre el progreso financiero y físico de las operaciones necesarias para el seguimiento, la evaluación, la gestión financiera, las verificaciones y las auditorías, así como los elementos que se conservan para garantizar la pista de auditoría adecuada a que se refieren el artículo 69, apartado 6, y el anexo XIII del RDC. Las verificaciones de la gestión y las auditorías del régimen FNLC están sujetas a la limitación establecida en el artículo 95, apartado 3, del RDC.</w:t>
      </w:r>
    </w:p>
    <w:p w:rsidR="001C6219" w:rsidRDefault="001C6219" w:rsidP="001C6219"/>
    <w:p w:rsidR="001C6219" w:rsidRDefault="001C6219" w:rsidP="001C6219"/>
    <w:p w:rsidR="001C6219" w:rsidRDefault="001C6219" w:rsidP="001C6219">
      <w:pPr>
        <w:pStyle w:val="Ttulo1"/>
      </w:pPr>
      <w:bookmarkStart w:id="309" w:name="scroll-bookmark-341"/>
      <w:bookmarkStart w:id="310" w:name="scroll-bookmark-342"/>
      <w:bookmarkEnd w:id="309"/>
      <w:r>
        <w:t>QA00175 — Autoridades del programa/Función de contabilidad de los Estados miembros</w:t>
      </w:r>
      <w:bookmarkEnd w:id="310"/>
    </w:p>
    <w:p w:rsidR="001C6219" w:rsidRDefault="001C6219" w:rsidP="001C6219">
      <w:r>
        <w:rPr>
          <w:noProof/>
          <w:lang w:val="es-ES"/>
        </w:rPr>
        <w:drawing>
          <wp:inline distT="0" distB="0" distL="0" distR="0" wp14:anchorId="67B88FF0" wp14:editId="2E76DF3A">
            <wp:extent cx="152435" cy="152435"/>
            <wp:effectExtent l="0" t="0" r="0" b="0"/>
            <wp:docPr id="100623" name="Imagen 1006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w:t>
      </w:r>
      <w:r>
        <w:rPr>
          <w:b/>
        </w:rPr>
        <w:t xml:space="preserve"> </w:t>
      </w:r>
      <w:r>
        <w:t>Artículo 71 del Reglamento</w:t>
      </w:r>
      <w:r>
        <w:rPr>
          <w:b/>
        </w:rPr>
        <w:t xml:space="preserve"> </w:t>
      </w:r>
      <w:r>
        <w:t>sobre disposiciones comunes de 2021-2027</w:t>
      </w:r>
    </w:p>
    <w:p w:rsidR="001C6219" w:rsidRDefault="001C6219" w:rsidP="001C6219">
      <w:r>
        <w:rPr>
          <w:noProof/>
          <w:lang w:val="es-ES"/>
        </w:rPr>
        <w:drawing>
          <wp:inline distT="0" distB="0" distL="0" distR="0" wp14:anchorId="215E8346" wp14:editId="41DEC7AE">
            <wp:extent cx="152435" cy="152435"/>
            <wp:effectExtent l="0" t="0" r="0" b="0"/>
            <wp:docPr id="100625" name="Imagen 1006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1C6219" w:rsidRDefault="001C6219" w:rsidP="001C6219"/>
    <w:p w:rsidR="001C6219" w:rsidRDefault="001C6219" w:rsidP="001C6219">
      <w:pPr>
        <w:pStyle w:val="P68B1DB1-Normal1"/>
      </w:pPr>
      <w:r>
        <w:br/>
      </w:r>
      <w:r w:rsidR="00377B57">
        <w:t>Pregunta</w:t>
      </w:r>
    </w:p>
    <w:p w:rsidR="001C6219" w:rsidRDefault="001C6219" w:rsidP="001C6219">
      <w:r>
        <w:t>La pregunta se refiere a la estructura de gestión del nuevo programa.</w:t>
      </w:r>
    </w:p>
    <w:p w:rsidR="001C6219" w:rsidRDefault="001C6219" w:rsidP="001C6219">
      <w:r>
        <w:t> De conformidad con el artículo 71, apartado 1, del RDC, el Estado miembro podrá confiar la función de contabilidad (artículo 76) a un organismo distinto de la autoridad de gestión; en tales casos, este organismo se identificará como autoridad del programa (RDC, artículo 72.1).</w:t>
      </w:r>
    </w:p>
    <w:p w:rsidR="001C6219" w:rsidRDefault="001C6219" w:rsidP="001C6219">
      <w:r>
        <w:t>El artículo 71, apartado 3, del RDC también establece que la autoridad de gestión podrá designar organismos intermedios para llevar a cabo determinadas tareas bajo su responsabilidad. Los acuerdos entre la autoridad de gestión y los OI se registrarán por escrito.</w:t>
      </w:r>
    </w:p>
    <w:p w:rsidR="001C6219" w:rsidRDefault="001C6219" w:rsidP="001C6219">
      <w:r>
        <w:t>De conformidad con lo anterior, la función de contabilidad la encomienda el Estado miembro, y no se trata de una delegación de la autoridad de gestión.</w:t>
      </w:r>
    </w:p>
    <w:p w:rsidR="001C6219" w:rsidRDefault="001C6219" w:rsidP="001C6219">
      <w:r>
        <w:t>De acuerdo con lo anterior</w:t>
      </w:r>
      <w:r>
        <w:rPr>
          <w:u w:val="single"/>
        </w:rPr>
        <w:t>,</w:t>
      </w:r>
      <w:r>
        <w:t xml:space="preserve"> se plantea la cuestión de si el organismo encargado de la función de contabilidad puede designar organismos intermedios, </w:t>
      </w:r>
      <w:r w:rsidR="002F3719">
        <w:t xml:space="preserve">ya que, </w:t>
      </w:r>
      <w:r>
        <w:t>su misión se recibe directamente del Estado miembro y no es delegada por la AG.</w:t>
      </w:r>
    </w:p>
    <w:p w:rsidR="001C6219" w:rsidRDefault="001C6219" w:rsidP="001C6219"/>
    <w:p w:rsidR="001C6219" w:rsidRDefault="001C6219" w:rsidP="001C6219">
      <w:pPr>
        <w:pStyle w:val="P68B1DB1-Normal1"/>
      </w:pPr>
      <w:r>
        <w:t>Respuesta.</w:t>
      </w:r>
    </w:p>
    <w:p w:rsidR="001C6219" w:rsidRDefault="001C6219" w:rsidP="001C6219">
      <w:r>
        <w:t>Artículo 2 (8) «organismo intermedio»: un organismo público o privado que actúa bajo la responsabilidad de una autoridad de gestión o que desempeña funciones o tareas en nombre de dicha autoridad.</w:t>
      </w:r>
    </w:p>
    <w:p w:rsidR="001C6219" w:rsidRDefault="001C6219" w:rsidP="001C6219">
      <w:r>
        <w:lastRenderedPageBreak/>
        <w:t>El RDC no regula las disposiciones internas de la autoridad del programa responsable de la función de contabilidad. Es responsabilidad del Estado miembro organizar su funcionamiento.</w:t>
      </w:r>
    </w:p>
    <w:p w:rsidR="001C6219" w:rsidRDefault="001C6219" w:rsidP="001C6219">
      <w:r>
        <w:t>Solo la autoridad de gestión puede identificar organismos intermedios para llevar a cabo tareas bajo su responsabilidad. </w:t>
      </w:r>
    </w:p>
    <w:p w:rsidR="001C6219" w:rsidRDefault="001C6219" w:rsidP="001C6219"/>
    <w:p w:rsidR="001C6219" w:rsidRDefault="001C6219" w:rsidP="001C6219">
      <w:pPr>
        <w:pStyle w:val="P68B1DB1-Normal1"/>
      </w:pPr>
      <w:r>
        <w:t>NOTA:</w:t>
      </w:r>
    </w:p>
    <w:p w:rsidR="001C6219" w:rsidRDefault="001C6219" w:rsidP="001C6219">
      <w:pPr>
        <w:pStyle w:val="P68B1DB1-Normal3"/>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1C6219" w:rsidRDefault="001C6219" w:rsidP="001C6219">
      <w:pPr>
        <w:pStyle w:val="P68B1DB1-Normal3"/>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1C6219" w:rsidRDefault="001C6219" w:rsidP="001C6219">
      <w:pPr>
        <w:pStyle w:val="P68B1DB1-Normal3"/>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1C6219" w:rsidRDefault="001C6219" w:rsidP="001C6219"/>
    <w:p w:rsidR="001C6219" w:rsidRDefault="001C6219" w:rsidP="001C6219"/>
    <w:p w:rsidR="001C6219" w:rsidRDefault="001C6219" w:rsidP="001C6219">
      <w:pPr>
        <w:pStyle w:val="Ttulo1"/>
      </w:pPr>
      <w:bookmarkStart w:id="311" w:name="scroll-bookmark-343"/>
      <w:bookmarkStart w:id="312" w:name="scroll-bookmark-344"/>
      <w:bookmarkEnd w:id="311"/>
      <w:r>
        <w:t>QA00176 — Admisibilidad del IVA y costes totales del proyecto</w:t>
      </w:r>
      <w:bookmarkEnd w:id="312"/>
    </w:p>
    <w:p w:rsidR="001C6219" w:rsidRDefault="001C6219" w:rsidP="001C6219">
      <w:r>
        <w:rPr>
          <w:noProof/>
          <w:lang w:val="es-ES"/>
        </w:rPr>
        <w:drawing>
          <wp:inline distT="0" distB="0" distL="0" distR="0" wp14:anchorId="1A9F4158" wp14:editId="6A9A8C5B">
            <wp:extent cx="152435" cy="152435"/>
            <wp:effectExtent l="0" t="0" r="0" b="0"/>
            <wp:docPr id="100627" name="Imagen 1006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64 (1) (c) del RDC</w:t>
      </w:r>
    </w:p>
    <w:p w:rsidR="001C6219" w:rsidRDefault="001C6219" w:rsidP="001C6219">
      <w:r>
        <w:rPr>
          <w:noProof/>
          <w:lang w:val="es-ES"/>
        </w:rPr>
        <w:drawing>
          <wp:inline distT="0" distB="0" distL="0" distR="0" wp14:anchorId="46077286" wp14:editId="26C15500">
            <wp:extent cx="152435" cy="152435"/>
            <wp:effectExtent l="0" t="0" r="0" b="0"/>
            <wp:docPr id="100629" name="Imagen 1006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Nos gustaría hacer un seguimiento de la pregunta de nuestros colegas polacos «QA00002 — Eligibilidad del IVA con arreglo a las normas de la política de cohesión en el período de programación 2021-2027» y de la respuesta de la CE publicada en la pregunta Q A sobre el Reglamento General y los Reglamentos específicos de cada Fondo y consultar con usted el enfoque establecido en las normas de subvencionabilidad en la República Checa.</w:t>
      </w:r>
    </w:p>
    <w:p w:rsidR="001C6219" w:rsidRDefault="001C6219" w:rsidP="001C6219">
      <w:r>
        <w:t>Teniendo en cuenta la redacción del artículo 64 del RDC, pero también el esfuerzo por evitar la doble financiación y garantizar una buena gestión financiera, hemos abordado la evaluación de la subvencionabilidad del IVA como sigue:</w:t>
      </w:r>
    </w:p>
    <w:p w:rsidR="001C6219" w:rsidRDefault="001C6219" w:rsidP="001C6219">
      <w:pPr>
        <w:numPr>
          <w:ilvl w:val="0"/>
          <w:numId w:val="154"/>
        </w:numPr>
      </w:pPr>
      <w:r>
        <w:lastRenderedPageBreak/>
        <w:t>Para todos los proyectos en los que el beneficiario tiene derecho a deducir el IVA con arreglo a las normas nacionales, el IVA es un gasto no subvencionable, independientemente del importe del gasto total del proyecto. Este enfoque ha demostrado su éxito en períodos de programación anteriores y permite apoyar más proyectos.</w:t>
      </w:r>
    </w:p>
    <w:p w:rsidR="001C6219" w:rsidRDefault="001C6219" w:rsidP="001C6219">
      <w:pPr>
        <w:numPr>
          <w:ilvl w:val="0"/>
          <w:numId w:val="154"/>
        </w:numPr>
      </w:pPr>
      <w:r>
        <w:t>El Tribunal tiene en cuenta el límite umbral del gasto total del proyecto (5 millones EUR) al evaluar la subvencionabilidad del IVA únicamente en los casos en que la producción del proyecto es gestionada por un sujeto distinto del beneficiario (persona que no tiene la condición de sujeto pasivo) y del operador, que tiene la condición de sujeto pasivo, que cobra el IVA sobre los ingresos procedentes del uso directo del proyecto, es decir, en estos casos se aplica el principio de recuperabilidad.</w:t>
      </w:r>
    </w:p>
    <w:p w:rsidR="001C6219" w:rsidRDefault="001C6219" w:rsidP="001C6219">
      <w:r>
        <w:t>Por lo tanto, en el contexto de este enfoque propuesto, el límite máximo de gasto total del proyecto solo sería pertinente para un número menor de proyectos. Por este motivo, y también en vista de las posibles complicaciones causadas por las fluctuaciones de los tipos de cambio, nos gustaría preguntarle si es posible evaluar el límite del umbral una sola vez en el momento de la emisión del acuerdo de subvención en estos casos aislados.  Y, por lo tanto, utilizar el tipo de cambio para la conversión de los gastos totales del proyecto vigentes en ese momento.</w:t>
      </w:r>
    </w:p>
    <w:p w:rsidR="001C6219" w:rsidRDefault="001C6219" w:rsidP="001C6219">
      <w:r>
        <w:t>Por lo que se refiere al tipo de cambio ya mencionado, nos gustaría llamar la atención sobre la siguiente situación. Si se produce una apreciación de la moneda checa durante la ejecución del proyecto que pueda hacer que el beneficiario supere el umbral de 5 millones EUR para el gasto total, el IVA se convertiría en un gasto no subvencionable para el beneficiario sin ninguna razón pertinente causada por el beneficiario. En este caso, carecemos de garantías jurídicas para el beneficiario, por lo que también consideramos problemático supervisar el importe total en EUR durante la ejecución del proyecto.</w:t>
      </w:r>
    </w:p>
    <w:p w:rsidR="001C6219" w:rsidRDefault="001C6219" w:rsidP="001C6219">
      <w:r>
        <w:t xml:space="preserve">En este contexto, nos gustaría mencionar una cuestión más, a saber, la definición clara del gasto total del proyecto. En la respuesta a la pregunta «QA00136 — Preguntas sobre la lista de operaciones y transmisión de datos» se afirma que el «coste total de la operación» a que se refiere el artículo 49, apartado 3, letra h), del RDC debe entenderse como el importe de los costes subvencionables totales de la operación según lo acordado en el documento de condicionalidad de la ayuda (enumerado en el anexo XVII del RDC). Dependiendo de la operación, podrá incluir financiación privada. ¿Puede aplicarse este enfoque a otros artículos del RDC en los que se evalúa el límite del gasto total del proyecto (por ejemplo, el IVA o la OCS ya mencionados)? Según la práctica actual en la República Checa, en el acuerdo de subvención solo se especifican los costes subvencionables totales, si fuera posible seguir la interpretación dada en la respuesta a la pregunta QA00136, es decir, utilizar únicamente los costes subvencionables totales a la hora de evaluar el límite umbral de los costes totales. Este enfoque simplificaría el procedimiento para cumplir las obligaciones en virtud del RDC. </w:t>
      </w:r>
    </w:p>
    <w:p w:rsidR="001C6219" w:rsidRDefault="001C6219" w:rsidP="001C6219"/>
    <w:p w:rsidR="001C6219" w:rsidRDefault="001C6219" w:rsidP="001C6219">
      <w:pPr>
        <w:pStyle w:val="P68B1DB1-Normal1"/>
      </w:pPr>
      <w:r>
        <w:t>Respuesta.</w:t>
      </w:r>
    </w:p>
    <w:p w:rsidR="001C6219" w:rsidRDefault="001C6219" w:rsidP="001C6219">
      <w:r>
        <w:lastRenderedPageBreak/>
        <w:t>El artículo 64, apartado 1, letra c), del Reglamento (UE) 2021/1060 («RDC») establece una serie de excepciones a la norma general según la cual el IVA no es subvencionable a una contribución de los fondos de la UE en régimen de gestión compartida. Una de estas excepciones se aplica a las operaciones cuyo coste total es inferior a 5 000 000 EUR y no está condicionada a la posibilidad de recuperar el IVA con arreglo a la legislación sobre el IVA. En otras palabras, con arreglo a las normas de 2021-2027, para las operaciones con un coste total inferior a 5 000 000 EUR (IVA incluido), el IVA siempre es subvencionable con arreglo al artículo 64, apartado 1, letra c), del RDC.</w:t>
      </w:r>
    </w:p>
    <w:p w:rsidR="001C6219" w:rsidRDefault="001C6219" w:rsidP="001C6219">
      <w:r>
        <w:t>«QA00136 — Preguntas sobre la lista de operaciones y transmisión de datos» proporciona exclusivamente interpretación al «coste total de una operación» a que se refiere el artículo 49, apartado 3, letra h), del RDC en el contexto de las responsabilidades de seguimiento de las autoridades de gestión. La interpretación tuvo en cuenta los requisitos relacionados con la recogida de datos establecidos en el anexo XVII del RDC.</w:t>
      </w:r>
    </w:p>
    <w:p w:rsidR="001C6219" w:rsidRDefault="001C6219" w:rsidP="001C6219"/>
    <w:p w:rsidR="001C6219" w:rsidRDefault="001C6219" w:rsidP="001C6219">
      <w:r>
        <w:t>En el contexto de los umbrales que afectan a los derechos u obligaciones de los beneficiarios (como en el artículo 50, 53, 64 y 118 del RDC), los colegisladores pretendían garantizar el mismo tratamiento de todas las operaciones por debajo o por encima del umbral, independientemente de que la ayuda sea pública o privada. Por lo tanto, en el contexto del artículo 64, apartado 1, letra c), del RDC, el «coste total de la operación» cubre todos los costes necesarios para su ejecución. Podría incluir, en su caso, gastos no subvencionables en el marco del programa, incluidos los costes cubiertos por recursos privados (según la respuesta a PL).</w:t>
      </w:r>
    </w:p>
    <w:p w:rsidR="001C6219" w:rsidRDefault="001C6219" w:rsidP="001C6219"/>
    <w:p w:rsidR="001C6219" w:rsidRDefault="001C6219" w:rsidP="001C6219">
      <w:r>
        <w:t>Por lo que se refiere al umbral de 5 000 000 EUR, debe evaluarse sobre la base del coste total de la operación según lo establecido en el momento de la firma del documento en el que se establecen las condiciones de la ayuda o en el momento de su última modificación (que refleje todos los posibles excesos de costes soportados y pagados durante la ejecución de la operación). La conversión a euros debe efectuarse utilizando el tipo de cambio contable mensual de la Comisión en el mes durante el cual se haya firmado o modificado por última vez el documento en el que se establecen las condiciones de la ayuda.</w:t>
      </w:r>
    </w:p>
    <w:p w:rsidR="001C6219" w:rsidRDefault="001C6219" w:rsidP="001C6219"/>
    <w:p w:rsidR="001C6219" w:rsidRDefault="001C6219" w:rsidP="001C6219"/>
    <w:p w:rsidR="001C6219" w:rsidRDefault="001C6219" w:rsidP="001C6219">
      <w:pPr>
        <w:pStyle w:val="Ttulo1"/>
      </w:pPr>
      <w:bookmarkStart w:id="313" w:name="scroll-bookmark-345"/>
      <w:bookmarkStart w:id="314" w:name="scroll-bookmark-346"/>
      <w:bookmarkEnd w:id="313"/>
      <w:r>
        <w:t>QA00177 — Admisibilidad de una inversión del FTJ en una nueva instalación del RCDE («fábrica de vidrio de campo verde sostenible»)</w:t>
      </w:r>
      <w:bookmarkEnd w:id="314"/>
    </w:p>
    <w:p w:rsidR="001C6219" w:rsidRDefault="001C6219" w:rsidP="001C6219">
      <w:r>
        <w:rPr>
          <w:noProof/>
          <w:lang w:val="es-ES"/>
        </w:rPr>
        <w:drawing>
          <wp:inline distT="0" distB="0" distL="0" distR="0" wp14:anchorId="61E69E11" wp14:editId="674ACD70">
            <wp:extent cx="152435" cy="152435"/>
            <wp:effectExtent l="0" t="0" r="0" b="0"/>
            <wp:docPr id="100631" name="Imagen 1006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11, apartado 2, letra i), del Reglamento del FTJ</w:t>
      </w:r>
    </w:p>
    <w:p w:rsidR="001C6219" w:rsidRDefault="001C6219" w:rsidP="001C6219">
      <w:r>
        <w:rPr>
          <w:noProof/>
          <w:lang w:val="es-ES"/>
        </w:rPr>
        <w:drawing>
          <wp:inline distT="0" distB="0" distL="0" distR="0" wp14:anchorId="3BB824AB" wp14:editId="22638BF0">
            <wp:extent cx="152435" cy="152435"/>
            <wp:effectExtent l="0" t="0" r="0" b="0"/>
            <wp:docPr id="100633" name="Imagen 1006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SI</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El proyecto de plan territorial de transición justa para el territorio esloveno de Zasavje incluye una inversión para construir una nueva fábrica de vidrio. Según la información facilitada por las autoridades eslovenas, la fábrica, una vez construida, sería una nueva instalación del RCDE que entra en el ámbito de aplicación de la Directiva 2003/87/CE.</w:t>
      </w:r>
    </w:p>
    <w:p w:rsidR="001C6219" w:rsidRDefault="001C6219" w:rsidP="001C6219">
      <w:r>
        <w:t>¿Debe considerarse que una inversión que da lugar a una nueva instalación del RCDE es una «inversión para reducir las emisiones de GEI procedentes de las actividades del RCDE» descrita en el artículo 11 (2) (i) del Reglamento del FTJ?</w:t>
      </w:r>
    </w:p>
    <w:p w:rsidR="001C6219" w:rsidRDefault="001C6219" w:rsidP="001C6219"/>
    <w:p w:rsidR="001C6219" w:rsidRDefault="001C6219" w:rsidP="001C6219">
      <w:pPr>
        <w:pStyle w:val="P68B1DB1-Normal1"/>
      </w:pPr>
      <w:r>
        <w:t>Respuesta.</w:t>
      </w:r>
    </w:p>
    <w:p w:rsidR="001C6219" w:rsidRDefault="001C6219" w:rsidP="001C6219">
      <w:r>
        <w:t>El Reglamento del FTJ ofrece la posibilidad de apoyar inversiones para reducir las emisiones de gases de efecto invernadero (GEI) procedentes de las actividades enumeradas en el anexo I de la Directiva 2008/87/CE. El considerando 16 del Reglamento aclara que la posibilidad de tales inversiones debe permitirse, en determinadas condiciones, «en instalaciones industriales existentes».</w:t>
      </w:r>
    </w:p>
    <w:p w:rsidR="001C6219" w:rsidRDefault="001C6219" w:rsidP="001C6219">
      <w:r>
        <w:t>El documento de trabajo de los servicios de la Comisión sobre los planes territoriales de transición justa [SWD (2021) 275 final] aclara que el FTJ puede conceder dicho apoyo para abordar los retos de transición debidamente justificados en un territorio determinado. En este contexto, se recuerda que el apoyo a tales inversiones está excluido del ámbito de aplicación de la ayuda del FEDER y del FC, con el fin de evitar la duplicación de la financiación disponible, que ya existe como parte de la Directiva 2008/87/CE.</w:t>
      </w:r>
    </w:p>
    <w:p w:rsidR="001C6219" w:rsidRDefault="001C6219" w:rsidP="001C6219">
      <w:r>
        <w:t>Sobre la base de las disposiciones del Reglamento, las inversiones que den lugar a una nueva instalación del RCDE no deben considerarse inversiones para reducir las emisiones de GEI procedentes de las actividades del RCDE, tal como se describe en el artículo 11 (2) (i) del Reglamento del FTJ.</w:t>
      </w:r>
    </w:p>
    <w:p w:rsidR="001C6219" w:rsidRDefault="001C6219" w:rsidP="001C6219"/>
    <w:p w:rsidR="001C6219" w:rsidRDefault="001C6219" w:rsidP="001C6219"/>
    <w:p w:rsidR="001C6219" w:rsidRDefault="001C6219" w:rsidP="001C6219">
      <w:pPr>
        <w:pStyle w:val="Ttulo1"/>
      </w:pPr>
      <w:bookmarkStart w:id="315" w:name="scroll-bookmark-347"/>
      <w:bookmarkStart w:id="316" w:name="scroll-bookmark-348"/>
      <w:bookmarkEnd w:id="315"/>
      <w:r>
        <w:t>QA00178 — Publicación de los nombres de los miembros de los comités de seguimiento</w:t>
      </w:r>
      <w:bookmarkEnd w:id="316"/>
    </w:p>
    <w:p w:rsidR="001C6219" w:rsidRDefault="001C6219" w:rsidP="001C6219">
      <w:r>
        <w:rPr>
          <w:noProof/>
          <w:lang w:val="es-ES"/>
        </w:rPr>
        <w:drawing>
          <wp:inline distT="0" distB="0" distL="0" distR="0" wp14:anchorId="5FFC4B87" wp14:editId="6CEA75F9">
            <wp:extent cx="152435" cy="152435"/>
            <wp:effectExtent l="0" t="0" r="0" b="0"/>
            <wp:docPr id="100635" name="Imagen 1006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 39 (1) RDC y artículo 5, apartado 1, letra c), del RGPD </w:t>
      </w:r>
    </w:p>
    <w:p w:rsidR="001C6219" w:rsidRDefault="001C6219" w:rsidP="001C6219">
      <w:r>
        <w:rPr>
          <w:noProof/>
          <w:lang w:val="es-ES"/>
        </w:rPr>
        <w:drawing>
          <wp:inline distT="0" distB="0" distL="0" distR="0" wp14:anchorId="79BCBBED" wp14:editId="588277A5">
            <wp:extent cx="152435" cy="152435"/>
            <wp:effectExtent l="0" t="0" r="0" b="0"/>
            <wp:docPr id="100637" name="Imagen 1006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lastRenderedPageBreak/>
        <w:t>El artículo 39, apartado 1, párrafo 5, del RDC exige que la lista de miembros de los comités de seguimiento se publique en el sitio web a que se refiere el artículo 49, apartado 1.</w:t>
      </w:r>
    </w:p>
    <w:p w:rsidR="001C6219" w:rsidRDefault="001C6219" w:rsidP="001C6219">
      <w:r>
        <w:t>Algunas autoridades de gestión alemanas consideran que no deben publicarse los nombres de las personas físicas.</w:t>
      </w:r>
    </w:p>
    <w:p w:rsidR="001C6219" w:rsidRDefault="001C6219" w:rsidP="001C6219">
      <w:r>
        <w:t>En primer lugar, en estos casos el reglamento interno de los comités de gestión solo enumera a las autoridades y organismos como miembros, por lo que, a partir de la redacción de la disposición del artículo 39, apartado 1, del RDC, debería bastar con publicar los nombres de estas autoridades u organismos (miembros), pero no sus representantes respectivos. Al mismo tiempo, las autoridades de gestión también alegan que bastaría con mantener una lista de representantes con el fin de poder proporcionar a los representantes de los órganos miembros en caso necesario.</w:t>
      </w:r>
    </w:p>
    <w:p w:rsidR="001C6219" w:rsidRDefault="001C6219" w:rsidP="001C6219">
      <w:r>
        <w:t>En segundo lugar, como otra línea argumental, las autoridades de gestión alegan que la publicación de los datos de los organismos o autoridades miembros crea la concordancia práctica entre el RGPD y el RDC. El RGPD exige el uso económico de los datos personales [artículo 5, apartado 1, letra c), del RGPD]. Por lo tanto, la solicitud de transparencia del RDC, respetando al mismo tiempo la protección de datos, se satisface mediante la publicación de los nombres de las autoridades u organismos que son oficialmente miembros de los comités de gestión, manteniendo al mismo tiempo un registro de los representantes de las reuniones respectivas en las autoridades de gestión.</w:t>
      </w:r>
    </w:p>
    <w:p w:rsidR="001C6219" w:rsidRDefault="001C6219" w:rsidP="001C6219">
      <w:r>
        <w:t xml:space="preserve">Muchos miembros designados del MC han pedido la protección de datos, </w:t>
      </w:r>
      <w:r w:rsidR="002F3719">
        <w:t xml:space="preserve">ya que, </w:t>
      </w:r>
      <w:r>
        <w:t>en el pasado se han producido muchos casos de uso indebido de datos, en los que los datos personales publicados en internet por las autoridades públicas han sido utilizados indebidamente en repetidas ocasiones por el denominado «Reichsbürger» (httpson</w:t>
      </w:r>
      <w:hyperlink r:id="rId483" w:history="1">
        <w:r>
          <w:rPr>
            <w:rStyle w:val="Hipervnculo"/>
          </w:rPr>
          <w:t>//en.wikipedia.org/wiki/Reichsb%C3%BCrger_movement</w:t>
        </w:r>
      </w:hyperlink>
      <w:r>
        <w:t>).  </w:t>
      </w:r>
    </w:p>
    <w:p w:rsidR="001C6219" w:rsidRDefault="001C6219" w:rsidP="001C6219">
      <w:r>
        <w:t>Con el fin de excluirlo para los miembros de los comités de gestión, según las autoridades de gestión en cuestión, solo debe mantenerse la publicación de las autoridades u organismos miembros.</w:t>
      </w:r>
    </w:p>
    <w:p w:rsidR="001C6219" w:rsidRDefault="001C6219" w:rsidP="001C6219"/>
    <w:p w:rsidR="001C6219" w:rsidRDefault="001C6219" w:rsidP="001C6219">
      <w:pPr>
        <w:pStyle w:val="P68B1DB1-Normal4"/>
      </w:pPr>
      <w:r>
        <w:t>Respuesta.</w:t>
      </w:r>
    </w:p>
    <w:p w:rsidR="001C6219" w:rsidRDefault="001C6219" w:rsidP="001C6219">
      <w:r>
        <w:t>El artículo 39 del RDC establece normas relativas a la composición del comité de seguimiento. Establece que «cada Estado miembro determinará la composición del comité de seguimiento y garantizará una representación equilibrada de las autoridades y organismos intermedios pertinentes de los Estados miembros y de los representantes de los socios a que se refiere el artículo 8, apartado 1, mediante un proceso transparente.</w:t>
      </w:r>
    </w:p>
    <w:p w:rsidR="001C6219" w:rsidRDefault="001C6219" w:rsidP="001C6219">
      <w:r>
        <w:t xml:space="preserve">Por lo tanto, estos representantes son los miembros del Comité de Seguimiento una vez creado este órgano. Por lo tanto, la obligación de publicar la lista de miembros del Comité de Seguimiento exige la publicación de los nombres de los representantes, es decir, de las personas que representan a las autoridades, los organismos intermedios y los socios. El requisito de publicar la lista de los miembros del comité de seguimiento en el sitio web del «programa» se establece en el artículo 39, apartado 1, del RDC y sirve al objetivo último de garantizar la transparencia y evitar conflictos de intereses. Siempre </w:t>
      </w:r>
      <w:r>
        <w:lastRenderedPageBreak/>
        <w:t>que un miembro cambie (por ejemplo, una persona diferente que represente a la misma organización), la lista debe actualizarse y publicarse (de nuevo).</w:t>
      </w:r>
    </w:p>
    <w:p w:rsidR="001C6219" w:rsidRDefault="001C6219" w:rsidP="001C6219">
      <w:r>
        <w:t>En cuanto al cumplimiento del RGPD, todo tratamiento de datos personales debe ser lícito, justo y transparente. Para que el tratamiento sea lícito, los datos personales deben tratarse sobre una base legítima, establecida por ley, ya sea en el presente Reglamento o en otra legislación de la Unión o de los Estados miembros a que se refiere el presente Reglamento. Del artículo 6, apartado 1, letra c), del RGPD (UE) 2016/679 se desprende, en particular, que «el tratamiento es lícito si es necesario para el cumplimiento de una obligación legal a la que esté sujeto el responsable del tratamiento»; en este caso concreto, el artículo 39, apartado 1, del RDC.</w:t>
      </w:r>
    </w:p>
    <w:p w:rsidR="001C6219" w:rsidRDefault="001C6219" w:rsidP="001C6219">
      <w:r>
        <w:t>Con el fin de respetar el RGPD, y en particular los principios de tratamiento justo y transparente, durante el proceso de nombramiento, la autoridad de gestión debe facilitar a los posibles candidatos a la adhesión la información a que se refieren los artículos 13 y 14 del RGPD e informarles de antemano de que sus nombres se harán públicos de conformidad con el artículo 39, apartado 1, del RDC, de modo que sean plenamente conscientes de esta obligación jurídica al aceptar la adhesión.</w:t>
      </w:r>
    </w:p>
    <w:p w:rsidR="001C6219" w:rsidRDefault="001C6219" w:rsidP="001C6219">
      <w:r>
        <w:t>El posible uso indebido de datos personales no es una razón válida para incumplir la obligación legal a la que está sujeto el Estado miembro. El RGPD ha establecido mecanismos que deben utilizarse en caso de uso indebido de datos personales (artículos 77 a 84 del RGPD).</w:t>
      </w:r>
    </w:p>
    <w:p w:rsidR="001C6219" w:rsidRDefault="001C6219" w:rsidP="001C6219"/>
    <w:p w:rsidR="001C6219" w:rsidRDefault="001C6219" w:rsidP="001C6219"/>
    <w:p w:rsidR="001C6219" w:rsidRDefault="001C6219" w:rsidP="001C6219">
      <w:pPr>
        <w:pStyle w:val="Ttulo1"/>
      </w:pPr>
      <w:bookmarkStart w:id="317" w:name="scroll-bookmark-349"/>
      <w:bookmarkStart w:id="318" w:name="scroll-bookmark-350"/>
      <w:bookmarkEnd w:id="317"/>
      <w:r>
        <w:t>QA00179 — Anexo XVII del Reglamento RDC (campos 20, 102, 103 y 130)</w:t>
      </w:r>
      <w:bookmarkEnd w:id="318"/>
    </w:p>
    <w:p w:rsidR="001C6219" w:rsidRDefault="001C6219" w:rsidP="001C6219">
      <w:r>
        <w:rPr>
          <w:noProof/>
          <w:lang w:val="es-ES"/>
        </w:rPr>
        <w:drawing>
          <wp:inline distT="0" distB="0" distL="0" distR="0" wp14:anchorId="2034DB39" wp14:editId="26CACADD">
            <wp:extent cx="152435" cy="152435"/>
            <wp:effectExtent l="0" t="0" r="0" b="0"/>
            <wp:docPr id="100639" name="Imagen 1006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Anexo XVII</w:t>
      </w:r>
    </w:p>
    <w:p w:rsidR="001C6219" w:rsidRDefault="001C6219" w:rsidP="001C6219">
      <w:r>
        <w:rPr>
          <w:noProof/>
          <w:lang w:val="es-ES"/>
        </w:rPr>
        <w:drawing>
          <wp:inline distT="0" distB="0" distL="0" distR="0" wp14:anchorId="4CD539C1" wp14:editId="2B15872B">
            <wp:extent cx="152435" cy="152435"/>
            <wp:effectExtent l="0" t="0" r="0" b="0"/>
            <wp:docPr id="100641" name="Imagen 1006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a) En relación con el recuadro 20: «Indíquese si el apoyo público al proyecto constituye ayuda estatal».</w:t>
      </w:r>
    </w:p>
    <w:p w:rsidR="001C6219" w:rsidRDefault="001C6219" w:rsidP="001C6219">
      <w:pPr>
        <w:pStyle w:val="P68B1DB1-Normal3"/>
      </w:pPr>
      <w:r>
        <w:t>¿Es correcto indicar «no» si se trata de una subvención en virtud del Reglamento FEMPA que entra en el ámbito de aplicación del artículo 42 del TFUE?</w:t>
      </w:r>
    </w:p>
    <w:p w:rsidR="001C6219" w:rsidRDefault="001C6219" w:rsidP="001C6219">
      <w:pPr>
        <w:pStyle w:val="P68B1DB1-Normal3"/>
      </w:pPr>
      <w:r>
        <w:t xml:space="preserve">¿Se indicaría «sí» únicamente si la subvención se concedió sobre la base de un reglamento de minimis o de exención, </w:t>
      </w:r>
      <w:r w:rsidR="002F3719">
        <w:t xml:space="preserve">ya que, </w:t>
      </w:r>
      <w:r>
        <w:t>se trata entonces de una ayuda estatal en el sentido del artículo 10 del Reglamento FEMPA?</w:t>
      </w:r>
    </w:p>
    <w:p w:rsidR="001C6219" w:rsidRDefault="001C6219" w:rsidP="001C6219"/>
    <w:p w:rsidR="001C6219" w:rsidRDefault="001C6219" w:rsidP="001C6219">
      <w:r>
        <w:lastRenderedPageBreak/>
        <w:t>b) En relación con el recuadro 102: «Fecha y motivo de cada deducción efectuada con arreglo al artículo 98, apartado 6, e indicar la naturaleza de la deducción.»</w:t>
      </w:r>
    </w:p>
    <w:p w:rsidR="001C6219" w:rsidRDefault="001C6219" w:rsidP="001C6219">
      <w:pPr>
        <w:pStyle w:val="P68B1DB1-Normal3"/>
      </w:pPr>
      <w:r>
        <w:t>¿Qué se entiende por «tipo/naturaleza de la deducción»? ¿Cuáles son los tipos?</w:t>
      </w:r>
    </w:p>
    <w:p w:rsidR="001C6219" w:rsidRDefault="001C6219" w:rsidP="001C6219"/>
    <w:p w:rsidR="001C6219" w:rsidRDefault="001C6219" w:rsidP="001C6219">
      <w:r>
        <w:t>C) En relación con el recuadro 103: «Importes del gasto total subvencionable afectado por cada deducción (importe corregido como resultado de una auditoría)» y recuadro 130: «Gasto total de la operación deducido de las cuentas con arreglo al artículo 98, apartado 6, letra a), letras b) y c), durante el ejercicio financiero cubierto por las cuentas (importes corregidos como resultado de auditorías).»</w:t>
      </w:r>
    </w:p>
    <w:p w:rsidR="001C6219" w:rsidRDefault="001C6219" w:rsidP="001C6219">
      <w:pPr>
        <w:pStyle w:val="P68B1DB1-Normal3"/>
      </w:pPr>
      <w:r>
        <w:t>¿Cuál es la diferencia entre las casillas 103 y 130? ¿Puede explicarse esto con un ejemplo?</w:t>
      </w:r>
    </w:p>
    <w:p w:rsidR="001C6219" w:rsidRDefault="001C6219" w:rsidP="001C6219"/>
    <w:p w:rsidR="001C6219" w:rsidRDefault="001C6219" w:rsidP="001C6219">
      <w:pPr>
        <w:pStyle w:val="P68B1DB1-Normal1"/>
      </w:pPr>
      <w:r>
        <w:t>Respuesta.</w:t>
      </w:r>
    </w:p>
    <w:p w:rsidR="001C6219" w:rsidRDefault="001C6219" w:rsidP="001C6219">
      <w:pPr>
        <w:numPr>
          <w:ilvl w:val="0"/>
          <w:numId w:val="155"/>
        </w:numPr>
      </w:pPr>
      <w:r>
        <w:t>En relación con el recuadro 20</w:t>
      </w:r>
    </w:p>
    <w:p w:rsidR="001C6219" w:rsidRDefault="001C6219" w:rsidP="001C6219">
      <w:r>
        <w:t>En la casilla 20 se introducirá</w:t>
      </w:r>
    </w:p>
    <w:p w:rsidR="001C6219" w:rsidRDefault="001C6219" w:rsidP="001C6219">
      <w:r>
        <w:t>«No» para las ayudas concedidas en el marco del FEMPA y para cualquier ayuda pública que no cumpla las condiciones del artículo 107, apartado 1, del TFUE.</w:t>
      </w:r>
    </w:p>
    <w:p w:rsidR="001C6219" w:rsidRDefault="001C6219" w:rsidP="001C6219">
      <w:r>
        <w:t>«Sí» para la ayuda concedida de conformidad con el FIBER (Reglamento de exención pesquera) y la decisión aprobada sobre la base de las Directrices de pesca.</w:t>
      </w:r>
    </w:p>
    <w:p w:rsidR="001C6219" w:rsidRDefault="001C6219" w:rsidP="001C6219">
      <w:r>
        <w:t xml:space="preserve">Las ayudas de minimis no deben notificarse, </w:t>
      </w:r>
      <w:r w:rsidR="002F3719">
        <w:t xml:space="preserve">ya que, </w:t>
      </w:r>
      <w:r>
        <w:t>no constituyen ayuda estatal en el sentido del artículo 107, apartado 1, del TFUE, ni se consideran ayudas estatales en el sentido del RDC 2021-2027.</w:t>
      </w:r>
    </w:p>
    <w:p w:rsidR="001C6219" w:rsidRDefault="001C6219" w:rsidP="001C6219">
      <w:pPr>
        <w:numPr>
          <w:ilvl w:val="0"/>
          <w:numId w:val="156"/>
        </w:numPr>
      </w:pPr>
      <w:r>
        <w:t>En relación con el recuadro 102</w:t>
      </w:r>
    </w:p>
    <w:p w:rsidR="001C6219" w:rsidRDefault="001C6219" w:rsidP="001C6219">
      <w:r>
        <w:t>Los principales tipos de deducción mencionados en el recuadro 102 se enumeran en el artículo 98, apartado 6, del RDC (presentación de las cuentas), que distingue las deducciones de las cuentas entre «correcciones financieras» (= irregularidades corregidas);  «gasto objeto de evaluación en curso» (= gasto que podría reintroducirse en una solicitud de pago en ejercicios contables posteriores una vez que se haya confirmado su legalidad y regularidad); y «importes necesarios para reducir el porcentaje de error residual al 2 %» (como correcciones financieras extrapoladas o a tanto alzado). También debe indicarse cualquier otro tipo de deducciones.</w:t>
      </w:r>
    </w:p>
    <w:p w:rsidR="001C6219" w:rsidRDefault="001C6219" w:rsidP="001C6219">
      <w:pPr>
        <w:numPr>
          <w:ilvl w:val="0"/>
          <w:numId w:val="157"/>
        </w:numPr>
      </w:pPr>
      <w:r>
        <w:t>En relación con los recuadros 103 y 130</w:t>
      </w:r>
    </w:p>
    <w:p w:rsidR="001C6219" w:rsidRDefault="001C6219" w:rsidP="001C6219">
      <w:r>
        <w:t xml:space="preserve">La casilla 103 se refiere a </w:t>
      </w:r>
      <w:r>
        <w:rPr>
          <w:u w:val="single"/>
        </w:rPr>
        <w:t>cada deducción</w:t>
      </w:r>
      <w:r>
        <w:t xml:space="preserve"> de las operaciones en cuestión (más qué parte de ese importe se dedujo como resultado de una auditoría).</w:t>
      </w:r>
    </w:p>
    <w:p w:rsidR="001C6219" w:rsidRDefault="001C6219" w:rsidP="001C6219">
      <w:r>
        <w:t xml:space="preserve">La casilla 130 se refiere al </w:t>
      </w:r>
      <w:r>
        <w:rPr>
          <w:u w:val="single"/>
        </w:rPr>
        <w:t>importe total de las deducciones por operación</w:t>
      </w:r>
      <w:r>
        <w:t>.</w:t>
      </w:r>
    </w:p>
    <w:p w:rsidR="001C6219" w:rsidRDefault="001C6219" w:rsidP="001C6219">
      <w:r>
        <w:t xml:space="preserve">Los importes de las casillas 103 y 130 serían los mismos si solo hubiera una deducción por operación. Sin embargo, la misma operación podría ser objeto de varias deducciones, por ejemplo, si la autoridad de gestión detecta un error en una operación previamente certificada a la Comisión que debe deducirse de las cuentas, y la autoridad de auditoría detecta otro error para la misma operación. En este ejemplo, ambas </w:t>
      </w:r>
      <w:r>
        <w:lastRenderedPageBreak/>
        <w:t>deducciones tendrían que codificarse por separado (la primera como corrección no resultante de auditorías y la segunda como corrección resultante de una auditoría).</w:t>
      </w:r>
    </w:p>
    <w:p w:rsidR="001C6219" w:rsidRDefault="001C6219" w:rsidP="001C6219"/>
    <w:p w:rsidR="001C6219" w:rsidRDefault="001C6219" w:rsidP="001C6219"/>
    <w:p w:rsidR="001C6219" w:rsidRDefault="001C6219" w:rsidP="001C6219"/>
    <w:p w:rsidR="001C6219" w:rsidRDefault="001C6219" w:rsidP="001C6219">
      <w:pPr>
        <w:pStyle w:val="Ttulo1"/>
      </w:pPr>
      <w:bookmarkStart w:id="319" w:name="scroll-bookmark-351"/>
      <w:bookmarkStart w:id="320" w:name="scroll-bookmark-352"/>
      <w:bookmarkEnd w:id="319"/>
      <w:r>
        <w:t>QA00180 — Durabilidad y transferencia fuera de la región NUTS2</w:t>
      </w:r>
      <w:bookmarkEnd w:id="320"/>
    </w:p>
    <w:p w:rsidR="001C6219" w:rsidRDefault="001C6219" w:rsidP="001C6219">
      <w:r>
        <w:rPr>
          <w:noProof/>
          <w:lang w:val="es-ES"/>
        </w:rPr>
        <w:drawing>
          <wp:inline distT="0" distB="0" distL="0" distR="0" wp14:anchorId="73EF3F3B" wp14:editId="3C59A6A1">
            <wp:extent cx="152435" cy="152435"/>
            <wp:effectExtent l="0" t="0" r="0" b="0"/>
            <wp:docPr id="100643" name="Imagen 1006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65, apartado 1, letra a), del RDC</w:t>
      </w:r>
    </w:p>
    <w:p w:rsidR="001C6219" w:rsidRDefault="001C6219" w:rsidP="001C6219">
      <w:r>
        <w:rPr>
          <w:noProof/>
          <w:lang w:val="es-ES"/>
        </w:rPr>
        <w:drawing>
          <wp:inline distT="0" distB="0" distL="0" distR="0" wp14:anchorId="565A536A" wp14:editId="623EFD0C">
            <wp:extent cx="152435" cy="152435"/>
            <wp:effectExtent l="0" t="0" r="0" b="0"/>
            <wp:docPr id="100645" name="Imagen 1006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DK</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De conformidad con el artículo 65, apartado 1, letra a), del RDC, el Estado miembro reembolsará la contribución de los Fondos a una operación que comprenda inversiones en infraestructuras o inversiones productivas si, en el plazo de 5 años a partir del pago final al beneficiario o en el plazo establecido en las normas sobre ayudas estatales, en su caso, dicha operación está sujeta al cese o la transferencia de una actividad productiva fuera de la región de nivel NUTS 2 en la que haya recibido ayuda.</w:t>
      </w:r>
    </w:p>
    <w:p w:rsidR="001C6219" w:rsidRDefault="001C6219" w:rsidP="001C6219">
      <w:r>
        <w:t>Dinamarca está trabajando actualmente en un régimen para la pesca costera, que incluirá inversiones en buques costeros a pequeña escala.</w:t>
      </w:r>
    </w:p>
    <w:p w:rsidR="001C6219" w:rsidRDefault="001C6219" w:rsidP="001C6219">
      <w:r>
        <w:t>¿Podrían facilitarnos orientaciones sobre cómo funcionará el término «actividad productiva» en el artículo 65 en este sentido? ¿Está vinculado el requisito al lugar de matriculación del buque, al lugar de registro de la empresa o persona jurídica propietaria del buque o a las actividades pesqueras del buque?</w:t>
      </w:r>
    </w:p>
    <w:p w:rsidR="001C6219" w:rsidRDefault="001C6219" w:rsidP="001C6219"/>
    <w:p w:rsidR="001C6219" w:rsidRDefault="001C6219" w:rsidP="001C6219">
      <w:pPr>
        <w:pStyle w:val="P68B1DB1-Normal1"/>
      </w:pPr>
      <w:r>
        <w:t>Respuesta.</w:t>
      </w:r>
    </w:p>
    <w:p w:rsidR="001C6219" w:rsidRDefault="001C6219" w:rsidP="001C6219">
      <w:r>
        <w:t>El artículo 65, apartado 1, letra a), del RDC se refiere a una región, a nivel de NUTS 2, «en la que una operación recibió apoyo». En principio, la evaluación de la transferencia fuera de la región NUTS 2 debe, por tanto, depender de la ubicación de una operación seleccionada por la AG para contribuir a la consecución de los objetivos del programa.</w:t>
      </w:r>
    </w:p>
    <w:p w:rsidR="001C6219" w:rsidRDefault="001C6219" w:rsidP="001C6219">
      <w:r>
        <w:t xml:space="preserve">Cuando, debido a las especificidades de una operación, el establecimiento de su ubicación no sea sencillo, la autoridad de gestión y bajo su responsabilidad podrán aplicar otros parámetros justificados para fijar la ubicación de la operación, </w:t>
      </w:r>
      <w:r w:rsidR="00214B1C">
        <w:t xml:space="preserve">por ejemplo, </w:t>
      </w:r>
      <w:r>
        <w:t>teniendo en cuenta la finalidad de las disposiciones sobre durabilidad. De conformidad con el considerando 47 del RDC, las disposiciones en materia de durabilidad deben «garantizar que las inversiones en infraestructuras o inversiones productivas sean duraderas e impedir que los Fondos se utilicen en beneficio indebido», así como «garantizar la eficacia, la equidad y el impacto sostenible de los Fondos».</w:t>
      </w:r>
    </w:p>
    <w:p w:rsidR="001C6219" w:rsidRDefault="001C6219" w:rsidP="001C6219">
      <w:r>
        <w:lastRenderedPageBreak/>
        <w:t>En el caso del régimen de pesca costera, la condición estaría vinculada a las actividades pesqueras del buque.</w:t>
      </w:r>
    </w:p>
    <w:p w:rsidR="001C6219" w:rsidRDefault="001C6219" w:rsidP="001C6219"/>
    <w:p w:rsidR="001C6219" w:rsidRDefault="001C6219" w:rsidP="001C6219"/>
    <w:p w:rsidR="001C6219" w:rsidRDefault="001C6219" w:rsidP="001C6219">
      <w:pPr>
        <w:pStyle w:val="Ttulo1"/>
      </w:pPr>
      <w:bookmarkStart w:id="321" w:name="scroll-bookmark-353"/>
      <w:bookmarkStart w:id="322" w:name="scroll-bookmark-354"/>
      <w:bookmarkEnd w:id="321"/>
      <w:r>
        <w:t>QA00181 — Cohesión electrónica: formas de comunicación entre los beneficiarios y las autoridades de los programas</w:t>
      </w:r>
      <w:bookmarkEnd w:id="322"/>
    </w:p>
    <w:p w:rsidR="001C6219" w:rsidRDefault="001C6219" w:rsidP="001C6219">
      <w:r>
        <w:rPr>
          <w:noProof/>
          <w:lang w:val="es-ES"/>
        </w:rPr>
        <w:drawing>
          <wp:inline distT="0" distB="0" distL="0" distR="0" wp14:anchorId="257E92A6" wp14:editId="03CCA341">
            <wp:extent cx="152435" cy="152435"/>
            <wp:effectExtent l="0" t="0" r="0" b="0"/>
            <wp:docPr id="100647" name="Imagen 1006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69, apartado 8, del RDC</w:t>
      </w:r>
    </w:p>
    <w:p w:rsidR="001C6219" w:rsidRDefault="001C6219" w:rsidP="001C6219">
      <w:r>
        <w:t>Artículo 72, apartado 1, letra e), del RDC</w:t>
      </w:r>
    </w:p>
    <w:p w:rsidR="001C6219" w:rsidRDefault="001C6219" w:rsidP="001C6219">
      <w:r>
        <w:t>Anexo XIV del RDC </w:t>
      </w:r>
    </w:p>
    <w:p w:rsidR="001C6219" w:rsidRDefault="001C6219" w:rsidP="001C6219">
      <w:r>
        <w:rPr>
          <w:noProof/>
          <w:lang w:val="es-ES"/>
        </w:rPr>
        <w:drawing>
          <wp:inline distT="0" distB="0" distL="0" distR="0" wp14:anchorId="5C9FA9E3" wp14:editId="744548EC">
            <wp:extent cx="152435" cy="152435"/>
            <wp:effectExtent l="0" t="0" r="0" b="0"/>
            <wp:docPr id="100649" name="Imagen 1006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Pr>
        <w:pStyle w:val="P68B1DB1-Normal1"/>
      </w:pPr>
      <w:r>
        <w:br/>
        <w:t>Pregunta 1 (incluidos los hechos e información pertinentes):</w:t>
      </w:r>
    </w:p>
    <w:p w:rsidR="001C6219" w:rsidRDefault="001C6219" w:rsidP="001C6219">
      <w:r>
        <w:rPr>
          <w:b/>
        </w:rPr>
        <w:t>En suma:</w:t>
      </w:r>
      <w:r>
        <w:t xml:space="preserve"> Las autoridades de los Estados miembros preguntan si pueden mantener intercambios de correo electrónico con los beneficiarios sobre aspectos no formales (correspondencia técnica o aclaratoria, etc.), garantizando al mismo tiempo la trazabilidad registrando y almacenando adecuadamente la correspondencia </w:t>
      </w:r>
      <w:r>
        <w:rPr>
          <w:b/>
        </w:rPr>
        <w:t>O</w:t>
      </w:r>
      <w:r>
        <w:t xml:space="preserve"> están obligadas a este tipo de comunicación a crear un sistema de mensajería separado (o un sistema de correo electrónico independiente) dentro del sistema de cohesión electrónica?</w:t>
      </w:r>
      <w:r>
        <w:rPr>
          <w:i/>
        </w:rPr>
        <w:t xml:space="preserve"> </w:t>
      </w:r>
    </w:p>
    <w:p w:rsidR="001C6219" w:rsidRDefault="001C6219" w:rsidP="001C6219">
      <w:pPr>
        <w:pStyle w:val="P68B1DB1-Normal1"/>
      </w:pPr>
      <w:r>
        <w:t>La cuestión original:</w:t>
      </w:r>
    </w:p>
    <w:p w:rsidR="001C6219" w:rsidRDefault="001C6219" w:rsidP="001C6219">
      <w:r>
        <w:t>¿Significa el artículo 69 (8) que se excluye el tráfico de correo electrónico «normal», por ejemplo, a través de Outlook, entre el encargado del tratamiento y el beneficiario?</w:t>
      </w:r>
    </w:p>
    <w:p w:rsidR="001C6219" w:rsidRDefault="001C6219" w:rsidP="001C6219">
      <w:pPr>
        <w:numPr>
          <w:ilvl w:val="0"/>
          <w:numId w:val="158"/>
        </w:numPr>
      </w:pPr>
      <w:r>
        <w:t>¿Significa el artículo 69, apartado 8, que solo es «admisible» el tráfico de correo electrónico a través de plataformas de comunicación especialmente integradas en el sistema de intercambio de datos?</w:t>
      </w:r>
    </w:p>
    <w:p w:rsidR="001C6219" w:rsidRDefault="001C6219" w:rsidP="001C6219">
      <w:pPr>
        <w:pStyle w:val="P68B1DB1-Normal1"/>
      </w:pPr>
      <w:r>
        <w:t>Respuesta.</w:t>
      </w:r>
    </w:p>
    <w:p w:rsidR="001C6219" w:rsidRDefault="001C6219" w:rsidP="001C6219">
      <w:r>
        <w:t>El RDC no distingue entre medios formales e informales de la comunicación. De conformidad con el artículo 69, apartado 8, párrafo primero, del RDC, los Estados miembros deben garantizar que todos los intercambios de información entre los beneficiarios y las autoridades del programa se lleven a cabo a través de los sistemas de intercambio electrónico de datos. Puede considerarse que los intercambios de correo electrónico, que garantizan la seguridad, la integridad y la confidencialidad, cumplen el requisito del sistema de intercambio electrónico de datos, siempre que se garantice una pista de auditoría adecuada en sus sistemas de cohesión electrónica (es decir, mediante un sistema de archivo adecuado), en consonancia con los requisitos del anexo XIV del RDC.   </w:t>
      </w:r>
    </w:p>
    <w:p w:rsidR="001C6219" w:rsidRDefault="001C6219" w:rsidP="001C6219"/>
    <w:p w:rsidR="001C6219" w:rsidRDefault="001C6219" w:rsidP="001C6219"/>
    <w:p w:rsidR="001C6219" w:rsidRDefault="001C6219" w:rsidP="001C6219">
      <w:pPr>
        <w:pStyle w:val="Ttulo1"/>
      </w:pPr>
      <w:bookmarkStart w:id="323" w:name="scroll-bookmark-355"/>
      <w:bookmarkStart w:id="324" w:name="scroll-bookmark-356"/>
      <w:bookmarkEnd w:id="323"/>
      <w:r>
        <w:t>QA00182 — Recursos que deben indicarse en la descripción del sistema de gestión y control</w:t>
      </w:r>
      <w:bookmarkEnd w:id="324"/>
    </w:p>
    <w:p w:rsidR="001C6219" w:rsidRDefault="001C6219" w:rsidP="001C6219">
      <w:r>
        <w:rPr>
          <w:noProof/>
          <w:lang w:val="es-ES"/>
        </w:rPr>
        <w:drawing>
          <wp:inline distT="0" distB="0" distL="0" distR="0" wp14:anchorId="210B6F50" wp14:editId="4EBA00FD">
            <wp:extent cx="152435" cy="152435"/>
            <wp:effectExtent l="0" t="0" r="0" b="0"/>
            <wp:docPr id="100651" name="Imagen 1006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Artículos 69, 72 y 76 del RDC</w:t>
      </w:r>
    </w:p>
    <w:p w:rsidR="001C6219" w:rsidRDefault="001C6219" w:rsidP="001C6219">
      <w:r>
        <w:t>Anexo XVI del RDC </w:t>
      </w:r>
    </w:p>
    <w:p w:rsidR="001C6219" w:rsidRDefault="001C6219" w:rsidP="001C6219">
      <w:r>
        <w:rPr>
          <w:noProof/>
          <w:lang w:val="es-ES"/>
        </w:rPr>
        <w:drawing>
          <wp:inline distT="0" distB="0" distL="0" distR="0" wp14:anchorId="50C4DB33" wp14:editId="2B1A25F2">
            <wp:extent cx="152435" cy="152435"/>
            <wp:effectExtent l="0" t="0" r="0" b="0"/>
            <wp:docPr id="100653" name="Imagen 1006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El anexo XVI del RDC establece la plantilla de la descripción del sistema de gestión y control de conformidad con el artículo 69, apartado 11, del RDC. En su punto 2.1.7, pide que se indiquen los recursos previstos que se asignarán en relación con las diferentes funciones de la autoridad de gestión (incluida información sobre cualquier externalización prevista y su alcance, cuando proceda). Del mismo modo, en el punto 3.1.4 debe indicarse qué recursos se prevén asignar en relación con las diferentes tareas contables.</w:t>
      </w:r>
    </w:p>
    <w:p w:rsidR="001C6219" w:rsidRDefault="001C6219" w:rsidP="001C6219">
      <w:r>
        <w:t>¿Se refiere «recursos previstos» a la asistencia técnica? En caso negativo, ¿le rogamos que indique qué tipo de recursos se destinan?</w:t>
      </w:r>
    </w:p>
    <w:p w:rsidR="001C6219" w:rsidRDefault="001C6219" w:rsidP="001C6219"/>
    <w:p w:rsidR="001C6219" w:rsidRDefault="001C6219" w:rsidP="001C6219">
      <w:pPr>
        <w:pStyle w:val="P68B1DB1-Normal1"/>
      </w:pPr>
      <w:r>
        <w:t>Respuesta.</w:t>
      </w:r>
    </w:p>
    <w:p w:rsidR="001C6219" w:rsidRDefault="001C6219" w:rsidP="001C6219">
      <w:r>
        <w:t>En el punto 2.1.7 del anexo XVI, la autoridad de gestión debe describir cómo podrá llevar a cabo las funciones de gestión descritas en el artículo 72 del RDC. Los recursos mencionados consisten en garantizar la capacidad de la AG para sus funciones, por lo que implican cualquier tipo de recursos (por ejemplo, humanos, financieros, etc.), incluida cualquier externalización prevista de tareas.</w:t>
      </w:r>
    </w:p>
    <w:p w:rsidR="001C6219" w:rsidRDefault="001C6219" w:rsidP="001C6219">
      <w:r>
        <w:t>Del mismo modo, el punto 3.1.4 del anexo XVI («Indicación de los recursos previstos que deben asignarse en relación con las diferentes tareas contables») se refiere a la capacidad del organismo que desempeña las funciones contables de conformidad con el artículo 76 del RDC. Por lo tanto, también en este punto deben incluirse todos los recursos, ya sean humanos, financieros o de otro tipo.</w:t>
      </w:r>
    </w:p>
    <w:p w:rsidR="001C6219" w:rsidRDefault="001C6219" w:rsidP="001C6219">
      <w:r>
        <w:t>Por lo tanto, en los puntos anteriores no basta con referirse únicamente a los recursos financieros asignados a la AG y al organismo que desempeña la función de contabilidad en el marco de la asistencia técnica.</w:t>
      </w:r>
    </w:p>
    <w:p w:rsidR="001C6219" w:rsidRDefault="001C6219" w:rsidP="001C6219"/>
    <w:p w:rsidR="001C6219" w:rsidRDefault="001C6219" w:rsidP="001C6219"/>
    <w:p w:rsidR="001C6219" w:rsidRDefault="001C6219" w:rsidP="001C6219">
      <w:pPr>
        <w:pStyle w:val="Ttulo1"/>
      </w:pPr>
      <w:bookmarkStart w:id="325" w:name="scroll-bookmark-357"/>
      <w:bookmarkStart w:id="326" w:name="scroll-bookmark-358"/>
      <w:bookmarkEnd w:id="325"/>
      <w:r>
        <w:lastRenderedPageBreak/>
        <w:t>QA00183 — Adquisición de terrenos — derechos de propiedad</w:t>
      </w:r>
      <w:bookmarkEnd w:id="326"/>
    </w:p>
    <w:p w:rsidR="001C6219" w:rsidRDefault="001C6219" w:rsidP="001C6219">
      <w:r>
        <w:rPr>
          <w:noProof/>
          <w:lang w:val="es-ES"/>
        </w:rPr>
        <w:drawing>
          <wp:inline distT="0" distB="0" distL="0" distR="0" wp14:anchorId="252E7667" wp14:editId="02811DD2">
            <wp:extent cx="152435" cy="152435"/>
            <wp:effectExtent l="0" t="0" r="0" b="0"/>
            <wp:docPr id="100655" name="Imagen 1006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64, apartado 1, letra b), del RDC</w:t>
      </w:r>
    </w:p>
    <w:p w:rsidR="001C6219" w:rsidRDefault="001C6219" w:rsidP="001C6219">
      <w:r>
        <w:rPr>
          <w:noProof/>
          <w:lang w:val="es-ES"/>
        </w:rPr>
        <w:drawing>
          <wp:inline distT="0" distB="0" distL="0" distR="0" wp14:anchorId="2E61B0F2" wp14:editId="74CDFB78">
            <wp:extent cx="152435" cy="152435"/>
            <wp:effectExtent l="0" t="0" r="0" b="0"/>
            <wp:docPr id="100657" name="Imagen 1006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HU</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De conformidad con el artículo 64, apartado 1, letra b), del RDC 2021-2027, la adquisición de terrenos por un importe superior al 10 % del gasto total subvencionable de la operación en cuestión no puede optar a una contribución de los Fondos; en el caso de zonas abandonadas y de aquellas con un pasado industrial que comprendan edificios, este límite aumentará hasta el 15 %;</w:t>
      </w:r>
    </w:p>
    <w:p w:rsidR="001C6219" w:rsidRDefault="001C6219" w:rsidP="001C6219">
      <w:r>
        <w:t>La cuestión es si los derechos de propiedad relacionados con el terreno deben incluirse en el coste de adquisición de terrenos (por ejemplo: costes de adquisición del uso del suelo, usufructo, uso, derechos de alquiler, derechos de paso)?</w:t>
      </w:r>
    </w:p>
    <w:p w:rsidR="001C6219" w:rsidRDefault="001C6219" w:rsidP="001C6219">
      <w:r>
        <w:t>Normalmente, estos importes no se pagan al vendedor, sino al titular del derecho de propiedad.</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De</w:t>
      </w:r>
      <w:r>
        <w:rPr>
          <w:b/>
        </w:rPr>
        <w:t xml:space="preserve"> </w:t>
      </w:r>
      <w:r>
        <w:t>conformidad con el artículo 63, apartado 1, del RDC, la subvencionabilidad del gasto se determina sobre la base de las normas nacionales, excepto cuando se establezcan normas específicas en el RDC o en los Reglamentos específicos de cada Fondo, o sobre la base de estos. Dado que no existen normas específicas que restrinjan la subvencionabilidad de los costes distintos de los de la adquisición de terrenos a escala de la UE, si dichos costes existen con arreglo a la legislación nacional y están vinculados a la operación subvencionada, podrían ser subvencionables siempre que las normas nacionales lo permitan (además del límite máximo vinculado a la adquisición de tierras establecido en el artículo 64 del RDC).</w:t>
      </w:r>
    </w:p>
    <w:p w:rsidR="001C6219" w:rsidRDefault="001C6219" w:rsidP="001C6219"/>
    <w:p w:rsidR="001C6219" w:rsidRDefault="001C6219" w:rsidP="001C6219"/>
    <w:p w:rsidR="001C6219" w:rsidRDefault="001C6219" w:rsidP="001C6219">
      <w:pPr>
        <w:pStyle w:val="Ttulo1"/>
      </w:pPr>
      <w:bookmarkStart w:id="327" w:name="scroll-bookmark-359"/>
      <w:bookmarkStart w:id="328" w:name="scroll-bookmark-360"/>
      <w:bookmarkEnd w:id="327"/>
      <w:r>
        <w:t>QA00184 — Uso obligatorio de las OCS — desarrollo urbano sostenible</w:t>
      </w:r>
      <w:bookmarkEnd w:id="328"/>
    </w:p>
    <w:p w:rsidR="001C6219" w:rsidRDefault="001C6219" w:rsidP="001C6219">
      <w:r>
        <w:rPr>
          <w:noProof/>
          <w:lang w:val="es-ES"/>
        </w:rPr>
        <w:drawing>
          <wp:inline distT="0" distB="0" distL="0" distR="0" wp14:anchorId="1D352D59" wp14:editId="1C196176">
            <wp:extent cx="152435" cy="152435"/>
            <wp:effectExtent l="0" t="0" r="0" b="0"/>
            <wp:docPr id="100659" name="Imagen 1006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53, apartado 2, del Reglamento sobre disposiciones comunes.</w:t>
      </w:r>
    </w:p>
    <w:p w:rsidR="001C6219" w:rsidRDefault="001C6219" w:rsidP="001C6219">
      <w:r>
        <w:rPr>
          <w:noProof/>
          <w:lang w:val="es-ES"/>
        </w:rPr>
        <w:drawing>
          <wp:inline distT="0" distB="0" distL="0" distR="0" wp14:anchorId="14BCB334" wp14:editId="2633825F">
            <wp:extent cx="152435" cy="152435"/>
            <wp:effectExtent l="0" t="0" r="0" b="0"/>
            <wp:docPr id="100661" name="Imagen 1006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lastRenderedPageBreak/>
        <w:br/>
        <w:t>Pregunta 1 (incluidos los hechos e información pertinentes):</w:t>
      </w:r>
    </w:p>
    <w:p w:rsidR="001C6219" w:rsidRDefault="001C6219" w:rsidP="001C6219">
      <w:r>
        <w:t>Las autoridades de Sajonia tienen una pregunta sobre el uso obligatorio de opciones de costes simplificados en el marco del desarrollo urbano sostenible en el marco del objetivo específico 5.1 del programa 2021-2027. En el marco de una estrategia integrada de desarrollo urbano, los municipios prestarán apoyo a las pequeñas empresas.  La ayuda se ejecuta en un procedimiento en dos fases:</w:t>
      </w:r>
    </w:p>
    <w:p w:rsidR="001C6219" w:rsidRDefault="001C6219" w:rsidP="001C6219"/>
    <w:p w:rsidR="001C6219" w:rsidRDefault="001C6219" w:rsidP="001C6219">
      <w:pPr>
        <w:numPr>
          <w:ilvl w:val="0"/>
          <w:numId w:val="159"/>
        </w:numPr>
      </w:pPr>
      <w:r>
        <w:t>El organismo intermedio concede una subvención al municipio para la operación «Einrichtung eines KU-Fonds» (título en inglés: «Establecimiento de un fondo para pequeñas empresas». El municipio es el beneficiario de la operación. El acuerdo de subvención establece el marco municipal para la ejecución de los proyectos individuales de apoyo a las empresas. El organismo intermedio paga el importe de la subvención al municipio.</w:t>
      </w:r>
    </w:p>
    <w:p w:rsidR="001C6219" w:rsidRDefault="001C6219" w:rsidP="001C6219">
      <w:pPr>
        <w:numPr>
          <w:ilvl w:val="0"/>
          <w:numId w:val="160"/>
        </w:numPr>
      </w:pPr>
      <w:r>
        <w:t xml:space="preserve">El municipio transfiere las subvenciones a las pequeñas empresas tras un procedimiento de concesión de subvenciones. Las pequeñas empresas reciben la ayuda sobre la base de una decisión adoptada por el municipio. Las subvenciones individuales a las pequeñas empresas se sitúan, en general, por debajo de los 200,000 EUR de coste total. Según las autoridades de Sajón, la ayuda se considera ayuda de </w:t>
      </w:r>
      <w:r>
        <w:rPr>
          <w:i/>
        </w:rPr>
        <w:t>minimis</w:t>
      </w:r>
      <w:r>
        <w:t>.</w:t>
      </w:r>
    </w:p>
    <w:p w:rsidR="001C6219" w:rsidRDefault="001C6219" w:rsidP="001C6219">
      <w:r>
        <w:t>La cuestión es si, en este caso, el uso de las opciones de costes simplificados es obligatorio entre el organismo intermedio y el municipio o entre el municipio y las pequeñas empresas.</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El procedimiento en dos fases de concesión de ayudas a las empresas a las que</w:t>
      </w:r>
      <w:r>
        <w:rPr>
          <w:b/>
        </w:rPr>
        <w:t xml:space="preserve"> </w:t>
      </w:r>
      <w:r>
        <w:t xml:space="preserve">se hace referencia en la pregunta es un caso de financiación en cascada. Los casos en los que un beneficiario puede seguir apoyando en cascada sin haber sido designado un organismo intermedio se definieron en </w:t>
      </w:r>
      <w:hyperlink w:anchor="scroll-bookmark-246" w:history="1">
        <w:r>
          <w:rPr>
            <w:rStyle w:val="Hipervnculo"/>
          </w:rPr>
          <w:t xml:space="preserve">el QA00132 — Financiación </w:t>
        </w:r>
        <w:r w:rsidR="00893DFD">
          <w:rPr>
            <w:rStyle w:val="Hipervnculo"/>
          </w:rPr>
          <w:t>en</w:t>
        </w:r>
        <w:r>
          <w:rPr>
            <w:rStyle w:val="Hipervnculo"/>
          </w:rPr>
          <w:t xml:space="preserve"> </w:t>
        </w:r>
        <w:r w:rsidR="00893DFD">
          <w:rPr>
            <w:rStyle w:val="Hipervnculo"/>
          </w:rPr>
          <w:t>c</w:t>
        </w:r>
        <w:r>
          <w:rPr>
            <w:rStyle w:val="Hipervnculo"/>
          </w:rPr>
          <w:t>ascad</w:t>
        </w:r>
        <w:r w:rsidR="00893DFD">
          <w:rPr>
            <w:rStyle w:val="Hipervnculo"/>
          </w:rPr>
          <w:t>a</w:t>
        </w:r>
        <w:r>
          <w:rPr>
            <w:rStyle w:val="Hipervnculo"/>
          </w:rPr>
          <w:t xml:space="preserve"> — RegioWiki Extranet — RegioWiki (europa.eu)</w:t>
        </w:r>
      </w:hyperlink>
      <w:r>
        <w:t>. Los regímenes de financiación en cascada deben estar en consonancia con las condiciones establecidas en ellos.</w:t>
      </w:r>
    </w:p>
    <w:p w:rsidR="001C6219" w:rsidRDefault="001C6219" w:rsidP="001C6219">
      <w:r>
        <w:t>De conformidad con el artículo 53, apartado 2, del RDC, cuando el coste total de una operación no supere los 200 000 EUR, la contribución aportada al beneficiario por el FEDER, el FSE +, el FTJ, el FAMI, el FSI y el IGFV adoptará la forma de costes unitarios, sumas a tanto alzado o tipos fijos, excepto en el caso de las operaciones en las que la ayuda constituya ayuda estatal. </w:t>
      </w:r>
    </w:p>
    <w:p w:rsidR="001C6219" w:rsidRDefault="001C6219" w:rsidP="001C6219">
      <w:r>
        <w:t xml:space="preserve">Sobre la base de esta disposición, el uso obligatorio de las OCS está vinculado al coste total de la operación. Además, la disposición se refiere a la contribución (la ayuda) de la AG al beneficiario, que debe adoptar la forma de una OCS. Esto significa que los elementos pertinentes para la aplicación del uso obligatorio de OCS son la definición de la operación y del beneficiario. No existe ninguna disposición relativa a la aplicación obligatoria de las OCS para situaciones en las que el beneficiario reciba una contribución </w:t>
      </w:r>
      <w:r>
        <w:lastRenderedPageBreak/>
        <w:t>más elevada y en cascada la ayuda a otras entidades que se considerarían destinatarios finales de dicha ayuda y, por tanto, no estarían afectadas por las disposiciones del RDC.</w:t>
      </w:r>
    </w:p>
    <w:p w:rsidR="001C6219" w:rsidRDefault="001C6219" w:rsidP="001C6219">
      <w:pPr>
        <w:pStyle w:val="P68B1DB1-Normal1"/>
      </w:pPr>
      <w:r>
        <w:t> </w:t>
      </w:r>
    </w:p>
    <w:p w:rsidR="001C6219" w:rsidRDefault="001C6219" w:rsidP="001C6219">
      <w:r>
        <w:t xml:space="preserve">Por lo tanto, la respuesta depende de la definición de la operación y del beneficiario en cada caso. Sobre la base de la información facilitada, parece que, en el caso concreto, el municipio firma un acuerdo de subvención con el organismo intermedio para ejecutar el apoyo empresarial a las pequeñas empresas (la operación) y que el coste total de la operación es superior a 200,000 EUR. Por lo tanto, parece que el beneficiario de la operación es el municipio. Esto significa que no es obligatorio que la ayuda se preste al municipio en forma de OCS. El uso de opciones de costes simplificados tampoco es obligatorio entre el municipio y las pequeñas empresas, </w:t>
      </w:r>
      <w:r w:rsidR="002F3719">
        <w:t xml:space="preserve">ya que, </w:t>
      </w:r>
      <w:r>
        <w:t>no son beneficiarias sino destinatarios finales y, por tanto, el apoyo que les presta el beneficiario no está obligado a adoptar la forma de OCS.</w:t>
      </w:r>
    </w:p>
    <w:p w:rsidR="001C6219" w:rsidRDefault="001C6219" w:rsidP="001C6219"/>
    <w:p w:rsidR="001C6219" w:rsidRDefault="001C6219" w:rsidP="001C6219"/>
    <w:p w:rsidR="001C6219" w:rsidRDefault="001C6219" w:rsidP="001C6219">
      <w:pPr>
        <w:pStyle w:val="Ttulo1"/>
      </w:pPr>
      <w:bookmarkStart w:id="329" w:name="scroll-bookmark-361"/>
      <w:bookmarkStart w:id="330" w:name="scroll-bookmark-362"/>
      <w:bookmarkEnd w:id="329"/>
      <w:r>
        <w:t>QA00185 — Operaciones de importancia estratégica — qué información, a qué nivel</w:t>
      </w:r>
      <w:bookmarkEnd w:id="330"/>
    </w:p>
    <w:p w:rsidR="001C6219" w:rsidRDefault="001C6219" w:rsidP="001C6219">
      <w:r>
        <w:rPr>
          <w:noProof/>
          <w:lang w:val="es-ES"/>
        </w:rPr>
        <w:drawing>
          <wp:inline distT="0" distB="0" distL="0" distR="0" wp14:anchorId="211D3DFF" wp14:editId="79E01E0C">
            <wp:extent cx="152435" cy="152435"/>
            <wp:effectExtent l="0" t="0" r="0" b="0"/>
            <wp:docPr id="100663" name="Imagen 1006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 49 (3), 50 (1) (e) y 73 (5) del RDC</w:t>
      </w:r>
    </w:p>
    <w:p w:rsidR="001C6219" w:rsidRDefault="001C6219" w:rsidP="001C6219">
      <w:r>
        <w:rPr>
          <w:noProof/>
          <w:lang w:val="es-ES"/>
        </w:rPr>
        <w:drawing>
          <wp:inline distT="0" distB="0" distL="0" distR="0" wp14:anchorId="25EDBE54" wp14:editId="2CAB5BAF">
            <wp:extent cx="152435" cy="152435"/>
            <wp:effectExtent l="0" t="0" r="0" b="0"/>
            <wp:docPr id="100665" name="Imagen 1006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numPr>
          <w:ilvl w:val="0"/>
          <w:numId w:val="161"/>
        </w:numPr>
      </w:pPr>
      <w:r>
        <w:rPr>
          <w:b/>
          <w:u w:val="single"/>
        </w:rPr>
        <w:t>Información que debe comunicarse a la Comisión</w:t>
      </w:r>
      <w:r>
        <w:t>:</w:t>
      </w:r>
    </w:p>
    <w:p w:rsidR="001C6219" w:rsidRDefault="001C6219" w:rsidP="001C6219">
      <w:r>
        <w:t>El artículo 73, apartado 5, del RDC establece que, cuando la autoridad de gestión seleccione una operación de importancia estratégica (OSI), informará a la Comisión en el plazo de 1 mes y le facilitará toda la información pertinente sobre dicha operación.</w:t>
      </w:r>
    </w:p>
    <w:p w:rsidR="001C6219" w:rsidRDefault="001C6219" w:rsidP="001C6219">
      <w:r>
        <w:t xml:space="preserve">Por lo que se refiere a la información que debe comunicarse, </w:t>
      </w:r>
      <w:hyperlink r:id="rId484" w:history="1">
        <w:r>
          <w:rPr>
            <w:rStyle w:val="Hipervnculo"/>
          </w:rPr>
          <w:t>la caja de herramientas de la DG REGIO</w:t>
        </w:r>
      </w:hyperlink>
      <w:r>
        <w:t xml:space="preserve"> indica que «no se prevé ningún formato prescrito, pero se propone indicar los elementos que deben facilitarse en cualquier caso con arreglo al artículo 49, apartado 3, del RDC en la lista de operaciones seleccionadas para recibir ayuda de los Fondos».</w:t>
      </w:r>
    </w:p>
    <w:p w:rsidR="001C6219" w:rsidRDefault="001C6219" w:rsidP="001C6219">
      <w:r>
        <w:t>1.a) ¿existe alguna otra información o datos que la AG deba transmitir a la CE en relación con los INE seleccionados?</w:t>
      </w:r>
    </w:p>
    <w:p w:rsidR="001C6219" w:rsidRDefault="001C6219" w:rsidP="001C6219">
      <w:r>
        <w:t>a) ¿Cómo debe transmitirse esta información? ¿Existe un módulo específico en SFC?</w:t>
      </w:r>
    </w:p>
    <w:p w:rsidR="001C6219" w:rsidRDefault="001C6219" w:rsidP="001C6219"/>
    <w:p w:rsidR="001C6219" w:rsidRDefault="001C6219" w:rsidP="001C6219">
      <w:pPr>
        <w:pStyle w:val="P68B1DB1-Normal5"/>
        <w:numPr>
          <w:ilvl w:val="0"/>
          <w:numId w:val="162"/>
        </w:numPr>
      </w:pPr>
      <w:r>
        <w:t>Requisitos aplicables a los OSI: a qué nivel:</w:t>
      </w:r>
    </w:p>
    <w:p w:rsidR="001C6219" w:rsidRDefault="001C6219" w:rsidP="001C6219">
      <w:r>
        <w:lastRenderedPageBreak/>
        <w:t>La AG ha seleccionado como OSI una medida de apoyo a la oferta de educación terciaria no académica. En el marco de esta medida, se ha puesto en marcha una convocatoria para la selección de los «Istituti Tecnici Superiori», institutos técnicos superiores que recibirán apoyo. Por lo tanto, la convocatoria seleccionará diferentes proyectos (y beneficiarios), todos ellos incluidos en la medida global.</w:t>
      </w:r>
    </w:p>
    <w:p w:rsidR="001C6219" w:rsidRDefault="001C6219" w:rsidP="001C6219">
      <w:r>
        <w:t>2.a) en relación con los requisitos vinculados a las operaciones de importancia estratégica (seguimiento y comunicación), ¿se aplican a la medida/convocatoria en su conjunto o se aplican a cada proyecto seleccionado?</w:t>
      </w:r>
    </w:p>
    <w:p w:rsidR="001C6219" w:rsidRDefault="001C6219" w:rsidP="001C6219">
      <w:r>
        <w:t>2b) por ejemplo, en lo que respecta a los requisitos de comunicación, ¿se aplican a la convocatoria global o al proyecto único, lo que implica que cada beneficiario que recibe ayuda en el marco de la convocatoria (en este caso, cada instituto técnico superior) debe cumplir los requisitos de comunicación establecidos en el artículo 50, letra e)?</w:t>
      </w:r>
    </w:p>
    <w:p w:rsidR="001C6219" w:rsidRDefault="001C6219" w:rsidP="001C6219"/>
    <w:p w:rsidR="001C6219" w:rsidRDefault="001C6219" w:rsidP="001C6219">
      <w:r>
        <w:rPr>
          <w:b/>
        </w:rPr>
        <w:t>Respuesta</w:t>
      </w:r>
      <w:r>
        <w:t>.</w:t>
      </w:r>
    </w:p>
    <w:p w:rsidR="001C6219" w:rsidRDefault="001C6219" w:rsidP="001C6219">
      <w:r>
        <w:t>1.a) como se explica en la caja de herramientas, en el RDC no se prevé ningún formato prescrito, pero se propone indicar los elementos que deben facilitarse en cualquier caso con arreglo al artículo 49, apartado 3, del RDC en la lista de operaciones seleccionadas para recibir ayuda de los Fondos.</w:t>
      </w:r>
    </w:p>
    <w:p w:rsidR="001C6219" w:rsidRDefault="001C6219" w:rsidP="001C6219">
      <w:r>
        <w:t>1.b) el módulo «visibilidad, transparencia y comunicación» del SFC2021 podría utilizarse para este fin. Actualmente se están debatiendo los requisitos técnicos necesarios para presentar dicha información.</w:t>
      </w:r>
    </w:p>
    <w:p w:rsidR="001C6219" w:rsidRDefault="001C6219" w:rsidP="001C6219">
      <w:r>
        <w:t>2.a) una OSI, de conformidad con su definición en el artículo 2, apartado 5, del RDC, es siempre una operación en el sentido de la definición del artículo 2, apartado 4, del RDC. Por lo tanto, las obligaciones de los beneficiarios o del Estado miembro o la autoridad de gestión también están vinculadas a la operación (y no a otro nivel de intervención).</w:t>
      </w:r>
    </w:p>
    <w:p w:rsidR="001C6219" w:rsidRDefault="001C6219" w:rsidP="001C6219">
      <w:r>
        <w:t>2.b) véase la respuesta en el punto 2.a. Téngase en cuenta que la referencia correcta es el artículo 50, apartado 1, letra e), del RDC, relativo a las responsabilidades de los beneficiarios.</w:t>
      </w:r>
    </w:p>
    <w:p w:rsidR="001C6219" w:rsidRDefault="001C6219" w:rsidP="001C6219"/>
    <w:p w:rsidR="001C6219" w:rsidRDefault="001C6219" w:rsidP="001C6219"/>
    <w:p w:rsidR="001C6219" w:rsidRDefault="001C6219" w:rsidP="001C6219">
      <w:pPr>
        <w:pStyle w:val="Ttulo1"/>
      </w:pPr>
      <w:bookmarkStart w:id="331" w:name="scroll-bookmark-363"/>
      <w:bookmarkStart w:id="332" w:name="scroll-bookmark-364"/>
      <w:bookmarkEnd w:id="331"/>
      <w:r>
        <w:t>QA00186 — Uso de la asistencia técnica para la visibilidad de los proyectos de importancia estratégica</w:t>
      </w:r>
      <w:bookmarkEnd w:id="332"/>
    </w:p>
    <w:p w:rsidR="001C6219" w:rsidRDefault="001C6219" w:rsidP="001C6219">
      <w:r>
        <w:rPr>
          <w:noProof/>
          <w:lang w:val="es-ES"/>
        </w:rPr>
        <w:drawing>
          <wp:inline distT="0" distB="0" distL="0" distR="0" wp14:anchorId="44E900C5" wp14:editId="39CF683F">
            <wp:extent cx="152435" cy="152435"/>
            <wp:effectExtent l="0" t="0" r="0" b="0"/>
            <wp:docPr id="100667" name="Imagen 1006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36 (5), 46, 49, 50 y 51, letra e), del RDC</w:t>
      </w:r>
    </w:p>
    <w:p w:rsidR="001C6219" w:rsidRDefault="001C6219" w:rsidP="001C6219">
      <w:r>
        <w:rPr>
          <w:noProof/>
          <w:lang w:val="es-ES"/>
        </w:rPr>
        <w:drawing>
          <wp:inline distT="0" distB="0" distL="0" distR="0" wp14:anchorId="64DF1B31" wp14:editId="5E230CA0">
            <wp:extent cx="152435" cy="152435"/>
            <wp:effectExtent l="0" t="0" r="0" b="0"/>
            <wp:docPr id="100669" name="Imagen 1006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pPr>
        <w:pStyle w:val="P68B1DB1-Normal3"/>
        <w:numPr>
          <w:ilvl w:val="0"/>
          <w:numId w:val="163"/>
        </w:numPr>
      </w:pPr>
      <w:r>
        <w:t xml:space="preserve">Si hubiera que incurrir en gastos adicionales considerables para dar suficiente visibilidad a los proyectos cofinanciados por el FEMPA (art. 46 del RDC), </w:t>
      </w:r>
      <w:r w:rsidR="00214B1C">
        <w:t xml:space="preserve">por ejemplo, </w:t>
      </w:r>
      <w:r>
        <w:t xml:space="preserve">en el caso de </w:t>
      </w:r>
      <w:r>
        <w:lastRenderedPageBreak/>
        <w:t>operaciones de importancia estratégica, ¿podrían incluirse estos gastos en el gasto global del proyecto en cuestión?</w:t>
      </w:r>
    </w:p>
    <w:p w:rsidR="001C6219" w:rsidRDefault="001C6219" w:rsidP="001C6219">
      <w:pPr>
        <w:pStyle w:val="P68B1DB1-Normal3"/>
        <w:numPr>
          <w:ilvl w:val="0"/>
          <w:numId w:val="163"/>
        </w:numPr>
      </w:pPr>
      <w:r>
        <w:t>De no ser así, ¿tendría que ser esta publicidad enteramente responsabilidad de la AG (aún con posibilidad de externalizar) y dentro de la limitación del 6 % de la asistencia técnica en virtud del artículo 36 5, en relación con el artículo 51, letra e)?</w:t>
      </w:r>
    </w:p>
    <w:p w:rsidR="001C6219" w:rsidRDefault="001C6219" w:rsidP="001C6219">
      <w:pPr>
        <w:pStyle w:val="P68B1DB1-Normal3"/>
        <w:numPr>
          <w:ilvl w:val="0"/>
          <w:numId w:val="163"/>
        </w:numPr>
      </w:pPr>
      <w:r>
        <w:t>Y, ¿podría la AG externalizar esta publicidad al promotor del proyecto que ejecuta la operación de importancia estratégica mediante la concesión de medios financieros procedentes de la asistencia técnica?</w:t>
      </w:r>
    </w:p>
    <w:p w:rsidR="001C6219" w:rsidRDefault="001C6219" w:rsidP="001C6219"/>
    <w:p w:rsidR="001C6219" w:rsidRDefault="001C6219" w:rsidP="001C6219">
      <w:pPr>
        <w:pStyle w:val="P68B1DB1-Normal1"/>
      </w:pPr>
      <w:r>
        <w:t>Respuestas:</w:t>
      </w:r>
    </w:p>
    <w:p w:rsidR="001C6219" w:rsidRDefault="001C6219" w:rsidP="001C6219">
      <w:pPr>
        <w:numPr>
          <w:ilvl w:val="0"/>
          <w:numId w:val="164"/>
        </w:numPr>
      </w:pPr>
      <w:r>
        <w:t>Los</w:t>
      </w:r>
      <w:r>
        <w:rPr>
          <w:b/>
        </w:rPr>
        <w:t xml:space="preserve"> </w:t>
      </w:r>
      <w:r>
        <w:t>costes de visibilidad de las operaciones cofinanciadas, incluidos los de importancia estratégica, pueden cubrirse con el gasto global de las operaciones en cuestión.</w:t>
      </w:r>
    </w:p>
    <w:p w:rsidR="001C6219" w:rsidRDefault="001C6219" w:rsidP="001C6219">
      <w:pPr>
        <w:numPr>
          <w:ilvl w:val="0"/>
          <w:numId w:val="164"/>
        </w:numPr>
      </w:pPr>
      <w:r>
        <w:t>No procede habida cuenta de la respuesta a la pregunta 1.</w:t>
      </w:r>
    </w:p>
    <w:p w:rsidR="001C6219" w:rsidRDefault="001C6219" w:rsidP="001C6219">
      <w:pPr>
        <w:numPr>
          <w:ilvl w:val="0"/>
          <w:numId w:val="164"/>
        </w:numPr>
      </w:pPr>
      <w:r>
        <w:t>Con el fin de apoyar la organización de actos o actividades de impacto que lleguen a un público más amplio, la AG podría conceder medios de asistencia técnica al beneficiario del proyecto para la publicidad relacionada con una operación de importancia estratégica. Téngase en cuenta que la responsabilidad del artículo 50, apartado 1, letra e), del RDC recae en el beneficiario. Sin embargo, desde un punto de vista administrativo, es más fácil que los costes estén cubiertos por el gasto global de la operación.</w:t>
      </w:r>
    </w:p>
    <w:p w:rsidR="001C6219" w:rsidRDefault="001C6219" w:rsidP="001C6219"/>
    <w:p w:rsidR="001C6219" w:rsidRDefault="001C6219" w:rsidP="001C6219">
      <w:r>
        <w:rPr>
          <w:b/>
          <w:u w:val="single"/>
        </w:rPr>
        <w:t>Comentario general:</w:t>
      </w:r>
      <w:r>
        <w:t xml:space="preserve"> Se invita a las autoridades nacionales a consultar el conjunto de instrumentos «Comunicar las operaciones de importancia estratégica en 2021-2027» (en particular, las páginas 10-13, ambos inclusive), que puede consultarse en el enlace que figura a continuación. </w:t>
      </w:r>
      <w:r w:rsidR="00893DFD">
        <w:t>C</w:t>
      </w:r>
      <w:r>
        <w:t>ommunicating</w:t>
      </w:r>
      <w:r w:rsidR="00893DFD">
        <w:t xml:space="preserve"> </w:t>
      </w:r>
      <w:r>
        <w:t>on operations 2021-2027</w:t>
      </w:r>
      <w:r w:rsidR="00893DFD">
        <w:t xml:space="preserve"> </w:t>
      </w:r>
      <w:hyperlink r:id="rId485" w:history="1">
        <w:r>
          <w:rPr>
            <w:rStyle w:val="Hipervnculo"/>
          </w:rPr>
          <w:t>en.pdf (europa.eu)</w:t>
        </w:r>
      </w:hyperlink>
      <w:r>
        <w:t>.</w:t>
      </w:r>
    </w:p>
    <w:p w:rsidR="001C6219" w:rsidRDefault="001C6219" w:rsidP="001C6219"/>
    <w:p w:rsidR="001C6219" w:rsidRDefault="001C6219" w:rsidP="001C6219"/>
    <w:p w:rsidR="001C6219" w:rsidRDefault="001C6219" w:rsidP="001C6219">
      <w:pPr>
        <w:pStyle w:val="Ttulo1"/>
      </w:pPr>
      <w:bookmarkStart w:id="333" w:name="scroll-bookmark-365"/>
      <w:bookmarkStart w:id="334" w:name="scroll-bookmark-366"/>
      <w:bookmarkEnd w:id="333"/>
      <w:r>
        <w:t>QA00187 — Admisibilidad de coches eléctricos y paneles solares</w:t>
      </w:r>
      <w:bookmarkEnd w:id="334"/>
    </w:p>
    <w:p w:rsidR="001C6219" w:rsidRDefault="001C6219" w:rsidP="001C6219">
      <w:r>
        <w:rPr>
          <w:noProof/>
          <w:lang w:val="es-ES"/>
        </w:rPr>
        <w:drawing>
          <wp:inline distT="0" distB="0" distL="0" distR="0" wp14:anchorId="01A85090" wp14:editId="31275026">
            <wp:extent cx="152435" cy="152435"/>
            <wp:effectExtent l="0" t="0" r="0" b="0"/>
            <wp:docPr id="100671" name="Imagen 1006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36 y 63 del RDC</w:t>
      </w:r>
    </w:p>
    <w:p w:rsidR="001C6219" w:rsidRDefault="001C6219" w:rsidP="001C6219">
      <w:r>
        <w:rPr>
          <w:noProof/>
          <w:lang w:val="es-ES"/>
        </w:rPr>
        <w:drawing>
          <wp:inline distT="0" distB="0" distL="0" distR="0" wp14:anchorId="4C3A7F3F" wp14:editId="7B307720">
            <wp:extent cx="152435" cy="152435"/>
            <wp:effectExtent l="0" t="0" r="0" b="0"/>
            <wp:docPr id="100673" name="Imagen 1006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Las autoridades regionales de Rumanía tienen la intención de financiar automóviles eléctricos, estaciones de recarga eléctrica y paneles solares en la sede de la autoridad de gestión a partir de la prioridad de asistencia técnica del programa.</w:t>
      </w:r>
    </w:p>
    <w:p w:rsidR="001C6219" w:rsidRDefault="001C6219" w:rsidP="001C6219">
      <w:r>
        <w:lastRenderedPageBreak/>
        <w:t>Indique un punto de vista sobre la subvencionabilidad de las siguientes categorías de gastos, dentro de la prioridad de asistencia técnica del Programa Regional:</w:t>
      </w:r>
    </w:p>
    <w:p w:rsidR="001C6219" w:rsidRDefault="001C6219" w:rsidP="001C6219">
      <w:r>
        <w:t>— Adquisición de vehículos eléctricos</w:t>
      </w:r>
    </w:p>
    <w:p w:rsidR="001C6219" w:rsidRDefault="001C6219" w:rsidP="001C6219">
      <w:r>
        <w:t>— Adquisición e instalación de sistemas de paneles fotovoltaicos que utilicen fuentes de energía renovables y no contaminantes, con el fin de producir electricidad y utilizarla en la sede de la AG;</w:t>
      </w:r>
    </w:p>
    <w:p w:rsidR="001C6219" w:rsidRDefault="001C6219" w:rsidP="001C6219">
      <w:r>
        <w:t>— Adquisición de estaciones de recarga para vehículos eléctricos;</w:t>
      </w:r>
    </w:p>
    <w:p w:rsidR="001C6219" w:rsidRDefault="001C6219" w:rsidP="001C6219">
      <w:r>
        <w:t>— Trabajos de construcción, instalación y montaje relacionados con estaciones de recarga;</w:t>
      </w:r>
    </w:p>
    <w:p w:rsidR="001C6219" w:rsidRDefault="001C6219" w:rsidP="001C6219">
      <w:r>
        <w:t>— Los gastos relacionados con las obras de suministro de electricidad necesarias para el funcionamiento del objetivo de inversión, así como los gastos relacionados con la conexión a la red eléctrica;</w:t>
      </w:r>
    </w:p>
    <w:p w:rsidR="001C6219" w:rsidRDefault="001C6219" w:rsidP="001C6219">
      <w:r>
        <w:t>— Los gastos de adquisición e instalación del sistema de paneles fotovoltaicos como solución alternativa para el suministro de electricidad a las estaciones de recarga;</w:t>
      </w:r>
    </w:p>
    <w:p w:rsidR="001C6219" w:rsidRDefault="001C6219" w:rsidP="001C6219">
      <w:r>
        <w:t>— Los gastos de documentación justificativa y de obtención de aprobaciones, acuerdos y autorizaciones;</w:t>
      </w:r>
    </w:p>
    <w:p w:rsidR="001C6219" w:rsidRDefault="001C6219" w:rsidP="001C6219">
      <w:r>
        <w:t>— Servicios de diseño, gestión del emplazamiento, verificador del proyecto.</w:t>
      </w:r>
    </w:p>
    <w:p w:rsidR="001C6219" w:rsidRDefault="001C6219" w:rsidP="001C6219"/>
    <w:p w:rsidR="001C6219" w:rsidRDefault="001C6219" w:rsidP="001C6219">
      <w:pPr>
        <w:pStyle w:val="P68B1DB1-Normal1"/>
      </w:pPr>
      <w:r>
        <w:t>Respuesta.</w:t>
      </w:r>
    </w:p>
    <w:p w:rsidR="001C6219" w:rsidRDefault="001C6219" w:rsidP="001C6219">
      <w:r>
        <w:t>La asistencia técnica en virtud del artículo 36 del RDC apoya las acciones necesarias para la administración y el uso efectivos de los Fondos. Por lo que se refiere a las inversiones vinculadas a la sede de la AG presentadas en la pregunta, solo pueden cubrirse los gastos necesarios para que la autoridad de gestión desempeñe sus funciones en lo que respecta a la administración y utilización efectivas de los fondos.</w:t>
      </w:r>
    </w:p>
    <w:p w:rsidR="001C6219" w:rsidRDefault="001C6219" w:rsidP="001C6219">
      <w:r>
        <w:t>La compra de vehículos eléctricos de asistencia técnica no está explícitamente excluida en el RDC, pero debe limitarse a los vehículos necesarios para el desempeño de las tareas de la autoridad de gestión a que se refiere el artículo 36, apartado 1, del RDC (como las verificaciones sobre el terreno).</w:t>
      </w:r>
    </w:p>
    <w:p w:rsidR="001C6219" w:rsidRDefault="001C6219" w:rsidP="001C6219">
      <w:r>
        <w:t>En general, la asistencia técnica no debe utilizarse para construir o renovar edificios de la administración pública a menos que exista un claro valor añadido.</w:t>
      </w:r>
      <w:r>
        <w:rPr>
          <w:i/>
        </w:rPr>
        <w:t xml:space="preserve">  </w:t>
      </w:r>
      <w:r w:rsidR="00893DFD">
        <w:rPr>
          <w:i/>
        </w:rPr>
        <w:t>En</w:t>
      </w:r>
      <w:r w:rsidR="00893DFD">
        <w:t xml:space="preserve"> caso</w:t>
      </w:r>
      <w:r>
        <w:t xml:space="preserve"> de que las inversiones estén bien justificadas, en el sentido de que se ha demostrado que contribuyen a la consecución de los objetivos de asistencia técnica, puede considerarse admisible la adquisición e instalación de sistemas de paneles fotovoltaicos o de infraestructuras de recarga para coches eléctricos en los locales que alberguen la AG.</w:t>
      </w:r>
    </w:p>
    <w:p w:rsidR="001C6219" w:rsidRDefault="001C6219" w:rsidP="001C6219">
      <w:r>
        <w:t>Si se concede, cualquier ayuda de asistencia técnica a tales inversiones debe ser proporcional al uso de los resultados concretos por parte de la AG (solo la parte del gasto que puede atribuirse a la AG puede ser cubierta por la asistencia técnica) y la duración del período de programación frente a la vida útil de la inversión (solo la parte de la vida útil de la inversión que se encuentra dentro del período de programación puede ser cubierta por la asistencia técnica). Es necesario desarrollar un enfoque proporcional adecuado.</w:t>
      </w:r>
    </w:p>
    <w:p w:rsidR="001C6219" w:rsidRDefault="001C6219" w:rsidP="001C6219">
      <w:r>
        <w:lastRenderedPageBreak/>
        <w:t>Como alternativa, teniendo también en cuenta que la vida útil de estas inversiones suele ser más larga que el período de programación, recomendamos que se considere la opción de cubrir con cargo a la asistencia técnica la parte pertinente de los costes de amortización de las inversiones mencionadas. La admisibilidad de la amortización se establece en el artículo 67, apartado 2, del RDC.</w:t>
      </w:r>
    </w:p>
    <w:p w:rsidR="001C6219" w:rsidRDefault="001C6219" w:rsidP="001C6219">
      <w:r>
        <w:t>El Estado miembro es responsable del uso eficaz de la asistencia técnica de conformidad con el artículo 36 del RDC.</w:t>
      </w:r>
    </w:p>
    <w:p w:rsidR="001C6219" w:rsidRDefault="001C6219" w:rsidP="001C6219"/>
    <w:p w:rsidR="001C6219" w:rsidRDefault="001C6219" w:rsidP="001C6219"/>
    <w:p w:rsidR="001C6219" w:rsidRDefault="001C6219" w:rsidP="001C6219">
      <w:pPr>
        <w:pStyle w:val="Ttulo1"/>
      </w:pPr>
      <w:bookmarkStart w:id="335" w:name="scroll-bookmark-367"/>
      <w:bookmarkStart w:id="336" w:name="scroll-bookmark-368"/>
      <w:bookmarkEnd w:id="335"/>
      <w:r>
        <w:t>QA00188 — Campos financieros 81 y 82 del anexo XVII</w:t>
      </w:r>
      <w:bookmarkEnd w:id="336"/>
    </w:p>
    <w:p w:rsidR="001C6219" w:rsidRDefault="001C6219" w:rsidP="001C6219">
      <w:r>
        <w:rPr>
          <w:noProof/>
          <w:lang w:val="es-ES"/>
        </w:rPr>
        <w:drawing>
          <wp:inline distT="0" distB="0" distL="0" distR="0" wp14:anchorId="0D570A0D" wp14:editId="5F295F46">
            <wp:extent cx="152435" cy="152435"/>
            <wp:effectExtent l="0" t="0" r="0" b="0"/>
            <wp:docPr id="100675" name="Imagen 1006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72 del RDC y anexo XVII</w:t>
      </w:r>
    </w:p>
    <w:p w:rsidR="001C6219" w:rsidRDefault="001C6219" w:rsidP="001C6219">
      <w:r>
        <w:rPr>
          <w:noProof/>
          <w:lang w:val="es-ES"/>
        </w:rPr>
        <w:drawing>
          <wp:inline distT="0" distB="0" distL="0" distR="0" wp14:anchorId="5138F65E" wp14:editId="11504A3F">
            <wp:extent cx="152435" cy="152435"/>
            <wp:effectExtent l="0" t="0" r="0" b="0"/>
            <wp:docPr id="100677" name="Imagen 1006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IE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 práctica normal al informar sobre el valor de los contratos de umbral, por ejemplo, en el Diario Oficial o en ARACHNE, es indicar el importe del contrato sin IVA. Por lo tanto, esperamos que el beneficiario rellene el campo 81 con el importe del contrato ex IVA.</w:t>
      </w:r>
    </w:p>
    <w:p w:rsidR="001C6219" w:rsidRDefault="001C6219" w:rsidP="001C6219">
      <w:r>
        <w:t>Sin embargo, cuando un beneficiario informa sobre los gastos subvencionables efectuados y pagados en virtud de dicho contrato, en algunos casos el IVA será subvencionable y en otros el IVA no será subvencionable. Por lo tanto, los valores notificados en el campo 82 podrían ser una mezcla de importes IVA incluido y no IVA.</w:t>
      </w:r>
    </w:p>
    <w:p w:rsidR="001C6219" w:rsidRDefault="001C6219" w:rsidP="001C6219">
      <w:r>
        <w:t>¿Podría confirmar si la siguiente interpretación es correcta?</w:t>
      </w:r>
    </w:p>
    <w:p w:rsidR="001C6219" w:rsidRDefault="001C6219" w:rsidP="001C6219">
      <w:r>
        <w:t>Ámbito 81: importe del contrato sin IVA</w:t>
      </w:r>
    </w:p>
    <w:p w:rsidR="001C6219" w:rsidRDefault="001C6219" w:rsidP="001C6219">
      <w:r>
        <w:t>Ámbito 82: Importe incurrido y pagado, incluido el IVA, si es subvencionable.</w:t>
      </w:r>
    </w:p>
    <w:p w:rsidR="001C6219" w:rsidRDefault="001C6219" w:rsidP="001C6219">
      <w:pPr>
        <w:pStyle w:val="P68B1DB1-Normal3"/>
      </w:pPr>
      <w:r>
        <w:t> </w:t>
      </w:r>
    </w:p>
    <w:p w:rsidR="001C6219" w:rsidRDefault="001C6219" w:rsidP="001C6219"/>
    <w:p w:rsidR="001C6219" w:rsidRDefault="001C6219" w:rsidP="001C6219">
      <w:pPr>
        <w:pStyle w:val="P68B1DB1-Normal1"/>
      </w:pPr>
      <w:r>
        <w:t>Respuesta.</w:t>
      </w:r>
    </w:p>
    <w:p w:rsidR="001C6219" w:rsidRDefault="001C6219" w:rsidP="001C6219">
      <w:r>
        <w:t>El</w:t>
      </w:r>
      <w:r>
        <w:rPr>
          <w:b/>
        </w:rPr>
        <w:t xml:space="preserve"> </w:t>
      </w:r>
      <w:r>
        <w:t>anexo XVII del RDC establece los datos que deben registrarse de conformidad con el artículo 72, apartado 1, letra e), del RDC sin prescribir una estructura específica para el sistema electrónico.</w:t>
      </w:r>
    </w:p>
    <w:p w:rsidR="001C6219" w:rsidRDefault="001C6219" w:rsidP="001C6219">
      <w:r>
        <w:t xml:space="preserve">Sobre la base de la experiencia de 2014-20 relacionada con el anexo III del RDC 480/2014, la formulación «importe del contrato si la adjudicación del contrato está sujeta a las disposiciones de las Directivas 2014/23/UE, 2014/24/UE o 2014/25/UE» en el campo 81 del anexo XVII del RDC significa los importes del contrato que superan los umbrales aplicables en virtud de las Directivas sobre contratación pública. Dado que las Directivas se aplican a concesiones o contrataciones con un valor neto del impuesto </w:t>
      </w:r>
      <w:r>
        <w:lastRenderedPageBreak/>
        <w:t>sobre el valor añadido (IVA), el importe del contrato registrado en el expediente 81 debe ser el importe del contrato sin IVA.</w:t>
      </w:r>
    </w:p>
    <w:p w:rsidR="001C6219" w:rsidRDefault="001C6219" w:rsidP="001C6219">
      <w:r>
        <w:t>Sistemáticamente, los datos relativos a los contratos públicos no sujetos a las disposiciones de las Directivas pertinentes, incluidos los contratos por debajo de los umbrales para su aplicación, no deben registrarse en este campo.</w:t>
      </w:r>
    </w:p>
    <w:p w:rsidR="001C6219" w:rsidRDefault="001C6219" w:rsidP="001C6219">
      <w:r>
        <w:t>El campo 82 del anexo XVII del RDC no hace referencia al «importe del contrato», sino a los «gastos subvencionables contraídos y pagados sobre la base de un contrato» adjudicados con arreglo a las disposiciones de las Directivas mencionadas anteriormente. Solo deben incluirse en el campo 82 los gastos en concepto de IVA que sean subvencionables con arreglo al artículo 64, apartado 1, letra c), del RDC. </w:t>
      </w:r>
    </w:p>
    <w:p w:rsidR="001C6219" w:rsidRDefault="001C6219" w:rsidP="001C6219"/>
    <w:p w:rsidR="001C6219" w:rsidRDefault="001C6219" w:rsidP="001C6219"/>
    <w:p w:rsidR="001C6219" w:rsidRDefault="001C6219" w:rsidP="001C6219">
      <w:pPr>
        <w:pStyle w:val="Ttulo1"/>
      </w:pPr>
      <w:bookmarkStart w:id="337" w:name="scroll-bookmark-369"/>
      <w:bookmarkStart w:id="338" w:name="scroll-bookmark-370"/>
      <w:bookmarkEnd w:id="337"/>
      <w:r>
        <w:t>QA00189 — Optimización de los sistemas de calefacción existentes manteniendo al mismo tiempo el uso de gas</w:t>
      </w:r>
      <w:bookmarkEnd w:id="338"/>
    </w:p>
    <w:p w:rsidR="001C6219" w:rsidRDefault="001C6219" w:rsidP="001C6219">
      <w:r>
        <w:rPr>
          <w:noProof/>
          <w:lang w:val="es-ES"/>
        </w:rPr>
        <w:drawing>
          <wp:inline distT="0" distB="0" distL="0" distR="0" wp14:anchorId="503CFB0C" wp14:editId="4E77E2FC">
            <wp:extent cx="152435" cy="152435"/>
            <wp:effectExtent l="0" t="0" r="0" b="0"/>
            <wp:docPr id="100679" name="Imagen 1006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apartado 1, letra h), inciso i), del Reglamento FEDER/FC</w:t>
      </w:r>
    </w:p>
    <w:p w:rsidR="001C6219" w:rsidRDefault="001C6219" w:rsidP="001C6219">
      <w:r>
        <w:rPr>
          <w:noProof/>
          <w:lang w:val="es-ES"/>
        </w:rPr>
        <w:drawing>
          <wp:inline distT="0" distB="0" distL="0" distR="0" wp14:anchorId="684BBF67" wp14:editId="3CFAB4CD">
            <wp:extent cx="152435" cy="152435"/>
            <wp:effectExtent l="0" t="0" r="0" b="0"/>
            <wp:docPr id="100681" name="Imagen 1006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Pr>
        <w:pStyle w:val="P68B1DB1-Normal1"/>
      </w:pPr>
      <w:r>
        <w:t>Trasfondo</w:t>
      </w:r>
    </w:p>
    <w:p w:rsidR="001C6219" w:rsidRDefault="001C6219" w:rsidP="001C6219">
      <w:pPr>
        <w:pStyle w:val="P68B1DB1-Normal3"/>
      </w:pPr>
      <w:r>
        <w:t>— Ejemplo 1</w:t>
      </w:r>
    </w:p>
    <w:p w:rsidR="001C6219" w:rsidRDefault="001C6219" w:rsidP="001C6219">
      <w:pPr>
        <w:pStyle w:val="P68B1DB1-Normal1"/>
      </w:pPr>
      <w:r>
        <w:t>Instalación de guardería de renovación energética Buschgraben</w:t>
      </w:r>
    </w:p>
    <w:p w:rsidR="001C6219" w:rsidRDefault="001C6219" w:rsidP="001C6219">
      <w:r>
        <w:t>El objetivo de la ayuda es renovar la envolvente del edificio con fines energéticos y optimizar los sistemas de calefacción y suministro de agua que utilizan fuentes de energía renovables. A tal fin, las paredes exteriores, el techo del tejado y el techo de la bodega están aislados, las ventanas se sustituyen y el suelo se alimenta con calefacción de espacios en las subzonas. Se optimiza el sistema de calefacción y agua caliente. El sistema de calefacción de gas existente funcionará en combinación con una bomba de calor aire-agua. Además, se instalará en el tejado una capa solar para el suministro de agua caliente en la cocina. A medida que se reduce la demanda de calefacción, también se adapta el sistema de distribución. Se reajustará la red. También forma parte de la acción el uso de un sistema de ventilación descentralizado con recuperación de calor (85 %). La renovación cumple la norma «EnEV 2014 menos 44 %». Se cumplen los requisitos del nivel de financiación III.</w:t>
      </w:r>
    </w:p>
    <w:p w:rsidR="001C6219" w:rsidRDefault="001C6219" w:rsidP="001C6219"/>
    <w:p w:rsidR="001C6219" w:rsidRDefault="001C6219" w:rsidP="001C6219">
      <w:pPr>
        <w:pStyle w:val="P68B1DB1-Normal3"/>
      </w:pPr>
      <w:r>
        <w:t>— Ejemplo 2</w:t>
      </w:r>
    </w:p>
    <w:p w:rsidR="001C6219" w:rsidRDefault="001C6219" w:rsidP="001C6219">
      <w:pPr>
        <w:pStyle w:val="P68B1DB1-Normal1"/>
      </w:pPr>
      <w:r>
        <w:t>Optimización del suministro energético del municipio eclesiástico de Rixdorf</w:t>
      </w:r>
    </w:p>
    <w:p w:rsidR="001C6219" w:rsidRDefault="001C6219" w:rsidP="001C6219">
      <w:r>
        <w:t xml:space="preserve">El objetivo de la ayuda es producir un suministro de calefacción central para el complejo inmobiliario existente en el emplazamiento mencionado de la Evangelische Kirche Rixdorf (Magdalenenkirche, casa municipal con dos partes de edificios y guardería). Para </w:t>
      </w:r>
      <w:r>
        <w:lastRenderedPageBreak/>
        <w:t>pasar a un funcionamiento a baja temperatura, está previsto que la antigua caldera sea sustituida por dos bombas de calor de absorción a gas, así como la sustitución de la distribución de calor y las superficies de calefacción. Una caldera de condensación de gas existente se integrará en el sistema de suministro de carga máxima.</w:t>
      </w:r>
    </w:p>
    <w:p w:rsidR="001C6219" w:rsidRDefault="001C6219" w:rsidP="001C6219"/>
    <w:p w:rsidR="001C6219" w:rsidRDefault="001C6219" w:rsidP="001C6219">
      <w:pPr>
        <w:pStyle w:val="P68B1DB1-Normal3"/>
      </w:pPr>
      <w:r>
        <w:t>— Ejemplo 3</w:t>
      </w:r>
    </w:p>
    <w:p w:rsidR="001C6219" w:rsidRDefault="001C6219" w:rsidP="001C6219">
      <w:pPr>
        <w:pStyle w:val="P68B1DB1-Normal1"/>
      </w:pPr>
      <w:r>
        <w:t>Renovación energética de Kita (CRIP) Baseler Str. 69</w:t>
      </w:r>
    </w:p>
    <w:p w:rsidR="001C6219" w:rsidRDefault="001C6219" w:rsidP="001C6219">
      <w:pPr>
        <w:pStyle w:val="P68B1DB1-Normal1"/>
      </w:pPr>
      <w:r>
        <w:t> </w:t>
      </w:r>
    </w:p>
    <w:p w:rsidR="001C6219" w:rsidRDefault="001C6219" w:rsidP="001C6219">
      <w:r>
        <w:t>La finalidad de la ayuda es renovar la envolvente del edificio con fines energéticos y renovar los sistemas de suministro de calefacción y agua caliente. El sistema de calefacción de gas existente será sustituido por una caldera de condensación de gas (25 kW) en combinación con una bomba de calor aire-agua (21 kW). Además, se instalará en el tejado una instalación solar para el suministro de agua caliente. El sistema de calefacción de gas existente data de 1993 y, por lo tanto, no está sujeto a una obligación de renovación con arreglo al artículo 10 de la EnEV. También forma parte de la acción el uso de un sistema de ventilación descentralizado con recuperación de calor (85 %). Esta renovación cumple la norma «EnEV 2014 menos 41 %». Se cumplen los requisitos del nivel de financiación III.</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En el período 2014-2020, el programa del FEDER ha apoyado una serie de proyectos de renovación en los que la energía procedente de fuentes renovables se integró en el sistema de calefacción del edificio. Sin embargo, con el fin de garantizar el suministro de calor incluso en situaciones de máxima carga, en estos casos no se pudo abandonar completamente la combustión de gas. En muchos de estos casos, un sistema de calefacción de gas existente se combinó con una bomba de calor alimentada con gas apoyada por el proyecto. Esta posibilidad de financiación también está prevista en el Programa Federal Alemán de Financiación para Edificios Eficientes (BEG). Estas plantas están técnicamente maduras y tienen un precio bajo, las personas son eficientes y de mantenimiento bajo en su funcionamiento. Para ilustrar el contenido específico de la financiación, se adjuntan tres breves descripciones de estos proyectos.</w:t>
      </w:r>
    </w:p>
    <w:p w:rsidR="001C6219" w:rsidRDefault="001C6219" w:rsidP="001C6219">
      <w:r>
        <w:t>Dado que está destinado a apoyar operaciones similares con financiación del FEDER también en el nuevo período de financiación 2021-2027, le consultamos para garantizar que las disposiciones del artículo 7, apartado 1, letra h), inciso i), del Reglamento (UE) 2021/1058 [Reglamento (UE) 2021/1058] se apliquen con seguridad jurídica. ¿Pueden los proyectos que se refieren a la mencionada forma de optimización de los sistemas de calefacción existentes, manteniendo al mismo tiempo el uso del gas, recibir financiación del FEDER en el período de financiación 2021-2027?  O — en el caso opuesto — en los casos descritos, ¿podrían seguir apoyándose únicamente los sistemas de calefacción alimentados por electricidad o hidrógeno?</w:t>
      </w:r>
    </w:p>
    <w:p w:rsidR="001C6219" w:rsidRDefault="001C6219" w:rsidP="001C6219">
      <w:pPr>
        <w:pStyle w:val="P68B1DB1-Normal3"/>
      </w:pPr>
      <w:r>
        <w:t> </w:t>
      </w:r>
    </w:p>
    <w:p w:rsidR="001C6219" w:rsidRDefault="001C6219" w:rsidP="001C6219">
      <w:pPr>
        <w:pStyle w:val="P68B1DB1-Normal1"/>
      </w:pPr>
      <w:r>
        <w:t>Respuesta.</w:t>
      </w:r>
    </w:p>
    <w:p w:rsidR="001C6219" w:rsidRDefault="001C6219" w:rsidP="001C6219">
      <w:r>
        <w:lastRenderedPageBreak/>
        <w:t>Las disposiciones del artículo 7, apartado 1, letra h), inciso i), del Reglamento (UE) 2021/1058 [Reglamento (UE) 2021/1058] no permiten apoyar inversiones relacionadas, entre otras cosas, con la combustión de combustibles fósiles, excepto en un número limitado de casos específicos enumerados en el Reglamento. Las inversiones relacionadas con los combustibles fósiles solo pueden considerarse subvencionables si entran en el ámbito de aplicación de estas excepciones. En particular, el apoyo a las calderas de condensación de gas natural solo podría ser subvencionable en los casos en que sustituyan a instalaciones a base de carbón, turba, lignito o esquisto bituminoso.</w:t>
      </w:r>
    </w:p>
    <w:p w:rsidR="001C6219" w:rsidRDefault="001C6219" w:rsidP="001C6219">
      <w:r>
        <w:t>Teniendo en cuenta el considerando 41 del Reglamento FEDER/FC, las inversiones en sistemas de calefacción que combinan gas y fuentes de energía renovables para la optimización de estos sistemas son posibles a prorrata. En tales casos, el apoyo debe corresponder proporcionalmente a la cuota de energía renovable utilizada en dichos sistemas de calefacción.</w:t>
      </w:r>
    </w:p>
    <w:p w:rsidR="001C6219" w:rsidRDefault="001C6219" w:rsidP="001C6219">
      <w:r>
        <w:t>Por otra parte, tal como se establece en el OP 2, el apoyo a las medidas de eficiencia energética en los edificios (como las operaciones de aislamiento, la sustitución de ventanas/puertas, la mejora del sistema de ventilación), la integración de las energías renovables en los edificios y las medidas de gestión inteligente de la energía son subvencionables.  </w:t>
      </w:r>
    </w:p>
    <w:p w:rsidR="001C6219" w:rsidRDefault="001C6219" w:rsidP="001C6219"/>
    <w:p w:rsidR="001C6219" w:rsidRDefault="001C6219" w:rsidP="001C6219">
      <w:r>
        <w:t>Tenga en cuenta que la respuesta no respalda la admisibilidad de los regímenes presentados en los ejemplos.</w:t>
      </w:r>
    </w:p>
    <w:p w:rsidR="001C6219" w:rsidRDefault="001C6219" w:rsidP="001C6219"/>
    <w:p w:rsidR="001C6219" w:rsidRDefault="001C6219" w:rsidP="001C6219"/>
    <w:p w:rsidR="001C6219" w:rsidRDefault="001C6219" w:rsidP="001C6219">
      <w:pPr>
        <w:pStyle w:val="Ttulo1"/>
      </w:pPr>
      <w:bookmarkStart w:id="339" w:name="scroll-bookmark-371"/>
      <w:bookmarkStart w:id="340" w:name="scroll-bookmark-372"/>
      <w:bookmarkEnd w:id="339"/>
      <w:r>
        <w:t>QA00190 — Autoridad de gestión un beneficiario admisible de actividades distintas de la asistencia técnica</w:t>
      </w:r>
      <w:bookmarkEnd w:id="340"/>
    </w:p>
    <w:p w:rsidR="001C6219" w:rsidRDefault="001C6219" w:rsidP="001C6219">
      <w:r>
        <w:rPr>
          <w:noProof/>
          <w:lang w:val="es-ES"/>
        </w:rPr>
        <w:drawing>
          <wp:inline distT="0" distB="0" distL="0" distR="0" wp14:anchorId="78F6E2E7" wp14:editId="326BAE3B">
            <wp:extent cx="152435" cy="152435"/>
            <wp:effectExtent l="0" t="0" r="0" b="0"/>
            <wp:docPr id="100683" name="Imagen 1006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del RDC</w:t>
      </w:r>
    </w:p>
    <w:p w:rsidR="001C6219" w:rsidRDefault="001C6219" w:rsidP="001C6219">
      <w:r>
        <w:rPr>
          <w:noProof/>
          <w:lang w:val="es-ES"/>
        </w:rPr>
        <w:drawing>
          <wp:inline distT="0" distB="0" distL="0" distR="0" wp14:anchorId="6807E014" wp14:editId="112C4685">
            <wp:extent cx="152435" cy="152435"/>
            <wp:effectExtent l="0" t="0" r="0" b="0"/>
            <wp:docPr id="100685" name="Imagen 1006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Nos gustaría saber si la autoridad de gestión puede ser solicitante/beneficiario de actividades distintas de la asistencia técnica (AT), </w:t>
      </w:r>
      <w:r w:rsidR="00214B1C">
        <w:t xml:space="preserve">por ejemplo, </w:t>
      </w:r>
      <w:r>
        <w:t>campañas de promoción de actividades en el marco del objetivo específico 2.2, contrariamente al período del FEMP en el que solo se permitió para la asistencia técnica.</w:t>
      </w:r>
    </w:p>
    <w:p w:rsidR="001C6219" w:rsidRDefault="001C6219" w:rsidP="001C6219"/>
    <w:p w:rsidR="001C6219" w:rsidRDefault="001C6219" w:rsidP="001C6219">
      <w:pPr>
        <w:pStyle w:val="P68B1DB1-Normal1"/>
      </w:pPr>
      <w:r>
        <w:t>Respuesta.</w:t>
      </w:r>
    </w:p>
    <w:p w:rsidR="001C6219" w:rsidRDefault="001C6219" w:rsidP="001C6219">
      <w:r>
        <w:t xml:space="preserve">Sobre la base de la definición de «beneficiario» del artículo 2, apartado 9, del RDC, y sin más exclusiones en el RDC y en los Reglamentos específicos de cada Fondo, las </w:t>
      </w:r>
      <w:r>
        <w:lastRenderedPageBreak/>
        <w:t>autoridades de gestión pueden ser beneficiarias de operaciones en el marco de acciones distintas de la asistencia técnica, siempre que dichas operaciones contribuyan a un objetivo específico, entren en el ámbito de aplicación del apoyo del fondo del RDC pertinente y estén en consonancia con el programa. De conformidad con el artículo 74, apartado 3, del RDC, cuando la autoridad de gestión sea también beneficiaria en el marco del programa, debe garantizarse la separación de funciones.</w:t>
      </w:r>
    </w:p>
    <w:p w:rsidR="001C6219" w:rsidRDefault="001C6219" w:rsidP="001C6219"/>
    <w:p w:rsidR="001C6219" w:rsidRDefault="001C6219" w:rsidP="001C6219"/>
    <w:p w:rsidR="001C6219" w:rsidRDefault="001C6219" w:rsidP="001C6219">
      <w:pPr>
        <w:pStyle w:val="Ttulo1"/>
      </w:pPr>
      <w:bookmarkStart w:id="341" w:name="scroll-bookmark-373"/>
      <w:bookmarkStart w:id="342" w:name="scroll-bookmark-374"/>
      <w:bookmarkEnd w:id="341"/>
      <w:r>
        <w:t>QA00191 — Asignación final del importe de flexibilidad</w:t>
      </w:r>
      <w:bookmarkEnd w:id="342"/>
    </w:p>
    <w:p w:rsidR="001C6219" w:rsidRDefault="001C6219" w:rsidP="001C6219">
      <w:r>
        <w:rPr>
          <w:noProof/>
          <w:lang w:val="es-ES"/>
        </w:rPr>
        <w:drawing>
          <wp:inline distT="0" distB="0" distL="0" distR="0" wp14:anchorId="6A9A1B54" wp14:editId="35175C81">
            <wp:extent cx="152435" cy="152435"/>
            <wp:effectExtent l="0" t="0" r="0" b="0"/>
            <wp:docPr id="100687" name="Imagen 1006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18 del RDC</w:t>
      </w:r>
    </w:p>
    <w:p w:rsidR="001C6219" w:rsidRDefault="001C6219" w:rsidP="001C6219">
      <w:r>
        <w:rPr>
          <w:noProof/>
          <w:lang w:val="es-ES"/>
        </w:rPr>
        <w:drawing>
          <wp:inline distT="0" distB="0" distL="0" distR="0" wp14:anchorId="5C44856C" wp14:editId="4BBF61CA">
            <wp:extent cx="152435" cy="152435"/>
            <wp:effectExtent l="0" t="0" r="0" b="0"/>
            <wp:docPr id="100689" name="Imagen 1006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¿Puede la AG asignar a la operación el importe total del programa dedicado a la privación material (una sola prioridad), excepto el importe de flexibilidad? Esta última se asignaría tras una revisión intermedia.</w:t>
      </w:r>
    </w:p>
    <w:p w:rsidR="001C6219" w:rsidRDefault="001C6219" w:rsidP="001C6219">
      <w:r>
        <w:t> </w:t>
      </w:r>
    </w:p>
    <w:p w:rsidR="001C6219" w:rsidRDefault="001C6219" w:rsidP="001C6219">
      <w:pPr>
        <w:pStyle w:val="P68B1DB1-Normal1"/>
      </w:pPr>
      <w:r>
        <w:t>Respuesta.</w:t>
      </w:r>
    </w:p>
    <w:p w:rsidR="001C6219" w:rsidRDefault="001C6219" w:rsidP="001C6219">
      <w:r>
        <w:t>De conformidad con el artículo 86 del RDC, en el caso de los programas en el marco del objetivo de inversión en empleo y crecimiento, un importe correspondiente al 50 % de la contribución para los años 2026 y 2027 («importe de flexibilidad») por programa en cada Estado miembro solo debe mantenerse y asignarse definitivamente al programa tras la adopción de la decisión de la Comisión tras la revisión intermedia de conformidad con el artículo 18 del RDC. Además, de conformidad con el artículo 18, apartado 5, hasta la adopción de la decisión de la Comisión que confirme la asignación definitiva del importe de flexibilidad, este importe no debe estar disponible para la selección de operaciones.</w:t>
      </w:r>
    </w:p>
    <w:p w:rsidR="001C6219" w:rsidRDefault="001C6219" w:rsidP="001C6219">
      <w:r>
        <w:t>Para concluir, la AG podrá comprometerse a operaciones seleccionadas antes de la revisión intermedia de conformidad con el artículo 73 del RDC, el importe total de la prioridad en el marco del programa, con excepción del importe de flexibilidad.</w:t>
      </w:r>
    </w:p>
    <w:p w:rsidR="001C6219" w:rsidRDefault="001C6219" w:rsidP="001C6219">
      <w:r>
        <w:t xml:space="preserve">Para más información sobre el importe de flexibilidad, véase también </w:t>
      </w:r>
      <w:hyperlink r:id="rId486" w:history="1">
        <w:r>
          <w:rPr>
            <w:rStyle w:val="Hipervnculo"/>
          </w:rPr>
          <w:t>QA00048</w:t>
        </w:r>
      </w:hyperlink>
      <w:r>
        <w:t>.</w:t>
      </w:r>
    </w:p>
    <w:p w:rsidR="001C6219" w:rsidRDefault="001C6219" w:rsidP="001C6219"/>
    <w:p w:rsidR="001C6219" w:rsidRDefault="001C6219" w:rsidP="001C6219"/>
    <w:p w:rsidR="001C6219" w:rsidRDefault="001C6219" w:rsidP="001C6219">
      <w:pPr>
        <w:pStyle w:val="Ttulo1"/>
      </w:pPr>
      <w:bookmarkStart w:id="343" w:name="scroll-bookmark-375"/>
      <w:bookmarkStart w:id="344" w:name="scroll-bookmark-376"/>
      <w:bookmarkEnd w:id="343"/>
      <w:r>
        <w:lastRenderedPageBreak/>
        <w:t>A00192 — ¿Cómo modificar la lista de ayudas a las inversiones productivas en empresas distintas de las pymes?</w:t>
      </w:r>
      <w:bookmarkEnd w:id="344"/>
    </w:p>
    <w:p w:rsidR="001C6219" w:rsidRDefault="001C6219" w:rsidP="001C6219">
      <w:r>
        <w:rPr>
          <w:noProof/>
          <w:lang w:val="es-ES"/>
        </w:rPr>
        <w:drawing>
          <wp:inline distT="0" distB="0" distL="0" distR="0" wp14:anchorId="08176F42" wp14:editId="0613E789">
            <wp:extent cx="152435" cy="152435"/>
            <wp:effectExtent l="0" t="0" r="0" b="0"/>
            <wp:docPr id="100691" name="Imagen 1006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pPr>
        <w:numPr>
          <w:ilvl w:val="0"/>
          <w:numId w:val="165"/>
        </w:numPr>
      </w:pPr>
      <w:r>
        <w:t>24 (6) del RDC</w:t>
      </w:r>
    </w:p>
    <w:p w:rsidR="001C6219" w:rsidRDefault="001C6219" w:rsidP="001C6219">
      <w:pPr>
        <w:numPr>
          <w:ilvl w:val="0"/>
          <w:numId w:val="165"/>
        </w:numPr>
      </w:pPr>
      <w:r>
        <w:t>Artículo 73 del RDC</w:t>
      </w:r>
    </w:p>
    <w:p w:rsidR="001C6219" w:rsidRDefault="001C6219" w:rsidP="001C6219">
      <w:pPr>
        <w:numPr>
          <w:ilvl w:val="0"/>
          <w:numId w:val="165"/>
        </w:numPr>
      </w:pPr>
      <w:r>
        <w:t>Artículo 8 del Reglamento del FTJ</w:t>
      </w:r>
    </w:p>
    <w:p w:rsidR="001C6219" w:rsidRDefault="001C6219" w:rsidP="001C6219">
      <w:pPr>
        <w:numPr>
          <w:ilvl w:val="0"/>
          <w:numId w:val="165"/>
        </w:numPr>
      </w:pPr>
      <w:r>
        <w:t>Artículo 11 del Reglamento del FTJ</w:t>
      </w:r>
    </w:p>
    <w:p w:rsidR="001C6219" w:rsidRDefault="001C6219" w:rsidP="001C6219">
      <w:pPr>
        <w:numPr>
          <w:ilvl w:val="0"/>
          <w:numId w:val="165"/>
        </w:numPr>
      </w:pPr>
      <w:r>
        <w:t>Apartado 14 de las Directrices sobre ayudas estatales de finalidad regional</w:t>
      </w:r>
    </w:p>
    <w:p w:rsidR="001C6219" w:rsidRDefault="001C6219" w:rsidP="001C6219">
      <w:pPr>
        <w:numPr>
          <w:ilvl w:val="0"/>
          <w:numId w:val="165"/>
        </w:numPr>
      </w:pPr>
      <w:r>
        <w:t>Apartado 45 de las Directrices sobre ayudas estatales de finalidad regional</w:t>
      </w:r>
    </w:p>
    <w:p w:rsidR="001C6219" w:rsidRDefault="001C6219" w:rsidP="001C6219">
      <w:pPr>
        <w:numPr>
          <w:ilvl w:val="0"/>
          <w:numId w:val="165"/>
        </w:numPr>
      </w:pPr>
      <w:r>
        <w:t>Artículo 107 del TFUE</w:t>
      </w:r>
    </w:p>
    <w:p w:rsidR="001C6219" w:rsidRDefault="001C6219" w:rsidP="001C6219">
      <w:pPr>
        <w:numPr>
          <w:ilvl w:val="0"/>
          <w:numId w:val="165"/>
        </w:numPr>
      </w:pPr>
      <w:r>
        <w:t>Artículo 108 del TFUE</w:t>
      </w:r>
    </w:p>
    <w:p w:rsidR="001C6219" w:rsidRDefault="001C6219" w:rsidP="001C6219">
      <w:r>
        <w:rPr>
          <w:noProof/>
          <w:lang w:val="es-ES"/>
        </w:rPr>
        <w:drawing>
          <wp:inline distT="0" distB="0" distL="0" distR="0" wp14:anchorId="44A61ADB" wp14:editId="33612438">
            <wp:extent cx="152435" cy="152435"/>
            <wp:effectExtent l="0" t="0" r="0" b="0"/>
            <wp:docPr id="100693" name="Imagen 1006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Como se indica en la respuesta a la pregunta QA00101: En principio, la lista de inversiones productivas y empresas sigue siendo indicativa incluso una vez aprobada por la Comisión en el marco del plan territorial de transición justa como parte del programa. La identificación de nuevas inversiones productivas en grandes empresas tras la aprobación del plan territorial de transición justa no requerirá ni una modificación de la lista pertinente del plan territorial de transición justa ni una modificación del programa. Sin embargo, la lista del artículo 11, apartado 2, letra h), del Reglamento del FTJ pierde de facto su carácter «indicativo» en lo que respecta al apoyo a grandes empresas para inversiones productivas situadas en zonas «c», cubiertas por el apartado 14 de las Directrices sobre las ayudas estatales de finalidad regional (en lo sucesivo, «las DAR»).</w:t>
      </w:r>
    </w:p>
    <w:p w:rsidR="001C6219" w:rsidRDefault="001C6219" w:rsidP="001C6219">
      <w:r>
        <w:t>Dado que Ida-Viru es una zona «c», la lista no es indicativa, como se ha indicado en la respuesta anterior. Esto significa que, en caso de que Estonia desee apoyar inversiones que aún no figuren en la lista, esta debe modificarse.</w:t>
      </w:r>
    </w:p>
    <w:p w:rsidR="001C6219" w:rsidRDefault="001C6219" w:rsidP="001C6219">
      <w:r>
        <w:t>Por consiguiente, Estonia ha solicitado lo siguiente:</w:t>
      </w:r>
    </w:p>
    <w:p w:rsidR="001C6219" w:rsidRDefault="001C6219" w:rsidP="001C6219">
      <w:pPr>
        <w:pStyle w:val="P68B1DB1-Normal1"/>
      </w:pPr>
      <w:r>
        <w:t>¿Se considera que la modificación de la lista de ayudas a las inversiones productivas en empresas distintas de las pymes es un cambio administrativo o de redacción o requiere una modificación del programa?</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r>
        <w:t xml:space="preserve">En principio, la lista de inversiones productivas en empresas distintas de las pymes, exigida por el artículo 11, apartado 2, letra h), del Reglamento del FTJ, sigue siendo indicativa incluso una vez aprobada por la Comisión en el marco del plan territorial de transición justa como parte del programa. Esto implica que la identificación y el apoyo de nuevas inversiones productivas en empresas distintas de las pymes tras la aprobación </w:t>
      </w:r>
      <w:r>
        <w:lastRenderedPageBreak/>
        <w:t>del plan territorial de transición justa no requieren ni una modificación de la lista pertinente del plan territorial de transición justa ni una modificación del programa. No obstante, si el Estado miembro tiene la intención de presentar las nuevas inversiones como parte formal del programa, se requiere una modificación del programa, aprobada por la Comisión, para reflejar la actualización formal de dicha lista. Esto se entiende sin perjuicio de la necesidad de que esas inversiones productivas se sometan al procedimiento de selección de conformidad con el artículo 73 del RDC.</w:t>
      </w:r>
    </w:p>
    <w:p w:rsidR="001C6219" w:rsidRDefault="001C6219" w:rsidP="001C6219">
      <w:r>
        <w:t>Sin embargo, en el caso concreto, como el mencionado en Ida Viru en su pregunta, cuando un Estado miembro tiene la intención de apoyar a empresas distintas de las pymes para inversiones productivas en zonas «c», a menos que se conceda para inversiones iniciales destinadas a crear nuevas actividades económicas, todos los beneficiarios e inversiones potenciales deben figurar en dicha lista, tal como se anuncia en el punto 14,</w:t>
      </w:r>
      <w:r w:rsidRPr="00767CF5">
        <w:t>2.a</w:t>
      </w:r>
      <w:r>
        <w:t xml:space="preserve"> condición, de las Directrices sobre las ayudas estatales de finalidad regional. Por lo tanto, es necesaria una modificación del programa para reflejar cualquier nueva inversión/beneficiario a fin de garantizar que la ayuda es compatible con el mercado interior (mediante notificación).</w:t>
      </w:r>
    </w:p>
    <w:p w:rsidR="001C6219" w:rsidRDefault="001C6219" w:rsidP="001C6219"/>
    <w:p w:rsidR="001C6219" w:rsidRDefault="001C6219" w:rsidP="001C6219"/>
    <w:p w:rsidR="001C6219" w:rsidRDefault="001C6219" w:rsidP="001C6219">
      <w:pPr>
        <w:pStyle w:val="Ttulo1"/>
      </w:pPr>
      <w:bookmarkStart w:id="345" w:name="scroll-bookmark-377"/>
      <w:bookmarkStart w:id="346" w:name="scroll-bookmark-378"/>
      <w:bookmarkEnd w:id="345"/>
      <w:r>
        <w:t>QA00193 — Requisitos de visibilidad para operaciones escalonadas</w:t>
      </w:r>
      <w:bookmarkEnd w:id="346"/>
    </w:p>
    <w:p w:rsidR="001C6219" w:rsidRDefault="001C6219" w:rsidP="001C6219">
      <w:r>
        <w:rPr>
          <w:noProof/>
          <w:lang w:val="es-ES"/>
        </w:rPr>
        <w:drawing>
          <wp:inline distT="0" distB="0" distL="0" distR="0" wp14:anchorId="30B737F6" wp14:editId="7FEA9402">
            <wp:extent cx="152435" cy="152435"/>
            <wp:effectExtent l="0" t="0" r="0" b="0"/>
            <wp:docPr id="100695" name="Imagen 1006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50, letra c), artículos 118 y 118 bis y anexo IX del Reglamento (UE) 2021/1060 (RDC 2021-2027)</w:t>
      </w:r>
    </w:p>
    <w:p w:rsidR="001C6219" w:rsidRDefault="001C6219" w:rsidP="001C6219">
      <w:r>
        <w:t>Artículo 115, apartado 3, y anexo XII, punto 2.2, del Reglamento (UE) n.º 1303/2013 (RDC 2014-2020)</w:t>
      </w:r>
    </w:p>
    <w:p w:rsidR="001C6219" w:rsidRDefault="001C6219" w:rsidP="001C6219">
      <w:r>
        <w:rPr>
          <w:noProof/>
          <w:lang w:val="es-ES"/>
        </w:rPr>
        <w:drawing>
          <wp:inline distT="0" distB="0" distL="0" distR="0" wp14:anchorId="653D010B" wp14:editId="705DE79F">
            <wp:extent cx="152435" cy="152435"/>
            <wp:effectExtent l="0" t="0" r="0" b="0"/>
            <wp:docPr id="100697" name="Imagen 1006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¿Cuáles son las orientaciones para los beneficiarios que finalizan la primera fase de su proyecto con financiación del período 14-20 y la segunda fase del período de programación 21-27? Cada fase del proyecto deberá respetar y cumplir los requisitos de visibilidad en función del período a partir del cual se paguen los fondos.</w:t>
      </w:r>
    </w:p>
    <w:p w:rsidR="001C6219" w:rsidRDefault="001C6219" w:rsidP="001C6219">
      <w:r>
        <w:t>No obstante, el montaje de dos placas diferentes con dos logotipos y declaraciones diferentes parece ineficaz tanto desde la perspectiva de los costes como desde el punto de vista de la comunicación. Además, colocar dos logotipos en una placa cuestionaría una nueva norma, según la cual no debería haber ningún signo de apoyo de la UE, aparte del «emblema de la UE y cofinanciado por la declaración de la UE», mientras que las normas 14-20 insisten estrictamente en poner el nombre del fondo y del programa.</w:t>
      </w:r>
    </w:p>
    <w:p w:rsidR="001C6219" w:rsidRDefault="001C6219" w:rsidP="001C6219">
      <w:r>
        <w:lastRenderedPageBreak/>
        <w:t>Acogeríamos con satisfacción una excepción para los proyectos escalonados que puedan colocar una placa en el RDC 21-27 que cumpliría las normas de publicidad también para la primera fase financiada por el programa 14-20. Esto conduciría al cumplimiento de los objetivos estratégicos en la comunicación sobre la política de cohesión a nivel de proyecto.</w:t>
      </w:r>
    </w:p>
    <w:p w:rsidR="001C6219" w:rsidRDefault="001C6219" w:rsidP="001C6219"/>
    <w:p w:rsidR="001C6219" w:rsidRDefault="001C6219" w:rsidP="001C6219">
      <w:pPr>
        <w:pStyle w:val="P68B1DB1-Normal1"/>
      </w:pPr>
      <w:r>
        <w:t>Respuesta.</w:t>
      </w:r>
    </w:p>
    <w:p w:rsidR="001C6219" w:rsidRDefault="001C6219" w:rsidP="001C6219">
      <w:r>
        <w:t>Los beneficiarios de operaciones sujetas a ejecución escalonada que entren en el ámbito de aplicación de los artículos 118 o 118 bis del RDC 2021-2027 pueden cumplir sus obligaciones de visibilidad utilizando solo una placa o valla publicitaria; sin embargo, la información sobre esta placa o valla publicitaria debe respetar los requisitos establecidos en el marco regulador correspondiente. En concreto, la fase de la operación cofinanciada con cargo a los Fondos 2014-2020 debe seguir las normas del RDC 2014-2020 (artículo 115, apartado 3, y anexo XII, 2.2), y la fase de la operación cofinanciada con cargo a los Fondos 2021-2027 debe seguir las normas del RDC 2021-2027 [artículo 50, letra c), y anexo IX].  </w:t>
      </w:r>
    </w:p>
    <w:p w:rsidR="001C6219" w:rsidRDefault="001C6219" w:rsidP="001C6219"/>
    <w:p w:rsidR="001C6219" w:rsidRDefault="001C6219" w:rsidP="001C6219"/>
    <w:p w:rsidR="001C6219" w:rsidRDefault="001C6219" w:rsidP="001C6219">
      <w:pPr>
        <w:pStyle w:val="Ttulo1"/>
      </w:pPr>
      <w:bookmarkStart w:id="347" w:name="scroll-bookmark-379"/>
      <w:bookmarkStart w:id="348" w:name="scroll-bookmark-380"/>
      <w:bookmarkEnd w:id="347"/>
      <w:r>
        <w:t>QA00194 — Datos que deben transmitir los Estados miembros de conformidad con el artículo 42, apartado 2, letra a), del RDC en caso de asistencia técnica a tanto alzado</w:t>
      </w:r>
      <w:bookmarkEnd w:id="348"/>
    </w:p>
    <w:p w:rsidR="001C6219" w:rsidRDefault="001C6219" w:rsidP="001C6219">
      <w:r>
        <w:rPr>
          <w:noProof/>
          <w:lang w:val="es-ES"/>
        </w:rPr>
        <w:drawing>
          <wp:inline distT="0" distB="0" distL="0" distR="0" wp14:anchorId="5D8BBCCA" wp14:editId="54D67F4D">
            <wp:extent cx="152435" cy="152435"/>
            <wp:effectExtent l="0" t="0" r="0" b="0"/>
            <wp:docPr id="100699" name="Imagen 1006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42 y 36 (5) del RDC, anexo VII del RDC </w:t>
      </w:r>
    </w:p>
    <w:p w:rsidR="001C6219" w:rsidRDefault="001C6219" w:rsidP="001C6219">
      <w:r>
        <w:rPr>
          <w:noProof/>
          <w:lang w:val="es-ES"/>
        </w:rPr>
        <w:drawing>
          <wp:inline distT="0" distB="0" distL="0" distR="0" wp14:anchorId="43DE98B8" wp14:editId="4D95AC53">
            <wp:extent cx="152435" cy="152435"/>
            <wp:effectExtent l="0" t="0" r="0" b="0"/>
            <wp:docPr id="100701" name="Imagen 1007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El anexo VII del RDC establece la plantilla para la transmisión de datos por los Estados miembros o las autoridades de gestión de conformidad con el artículo 42 del RDC.</w:t>
      </w:r>
    </w:p>
    <w:p w:rsidR="001C6219" w:rsidRDefault="001C6219" w:rsidP="001C6219">
      <w:r>
        <w:t>El cuadro 1 y el cuadro 2 del anexo VII del RDC establecen un desglose por prioridad de los datos acumulados de cada programa que debe transmitirse electrónicamente a más tardar el 31 de enero, el 30 de abril, el 31 de julio, el 30 de septiembre y el 30 de noviembre de cada año, de conformidad con el artículo 42, apartado 2, letra a), del RDC.</w:t>
      </w:r>
    </w:p>
    <w:p w:rsidR="001C6219" w:rsidRDefault="001C6219" w:rsidP="001C6219">
      <w:r>
        <w:t>Por consiguiente, los Estados miembros o las autoridades de gestión no tienen problemas para identificar los datos que deben transmitirse en relación con la asistencia técnica en forma de prioridad de conformidad con el artículo 36, apartado 4, del RDC. La ejecución prioritaria de la asistencia técnica con arreglo al artículo 36, apartado 4, refleja el reembolso de la ayuda prestada a los beneficiarios.</w:t>
      </w:r>
    </w:p>
    <w:p w:rsidR="001C6219" w:rsidRDefault="001C6219" w:rsidP="001C6219">
      <w:r>
        <w:lastRenderedPageBreak/>
        <w:t>La cuestión es qué debe comunicarse en los cuadros 1 y 2 del anexo VII en caso de que un Estado miembro decida a nivel del acuerdo de asociación utilizar la asistencia técnica a tanto alzado de conformidad con el artículo 36, apartado 5, del RDC?</w:t>
      </w:r>
    </w:p>
    <w:p w:rsidR="001C6219" w:rsidRDefault="001C6219" w:rsidP="001C6219">
      <w:r>
        <w:t> </w:t>
      </w:r>
    </w:p>
    <w:p w:rsidR="001C6219" w:rsidRDefault="001C6219" w:rsidP="001C6219">
      <w:pPr>
        <w:pStyle w:val="P68B1DB1-Normal1"/>
      </w:pPr>
      <w:r>
        <w:t>Respuesta.</w:t>
      </w:r>
    </w:p>
    <w:p w:rsidR="001C6219" w:rsidRDefault="001C6219" w:rsidP="001C6219">
      <w:pPr>
        <w:pStyle w:val="P68B1DB1-Normal6"/>
      </w:pPr>
      <w:r>
        <w:t>Esta respuesta se actualizó el 7 de febrero de 2024. Los cambios se han tachado y el texto añadido aparece en azul y subrayado.</w:t>
      </w:r>
    </w:p>
    <w:p w:rsidR="001C6219" w:rsidRDefault="001C6219" w:rsidP="001C6219">
      <w:r>
        <w:t>Dada la finalidad de presentar información financiera por prioridad (y por objetivo específico) de conformidad con el artículo 42, apartado 1, del RDC en los cuadros 1 y 2 del anexo VII y dada la forma de reembolso de la asistencia técnica con arreglo al artículo 36, apartado 5, del RDC (es decir: como complemento del gasto asignado a cada prioridad/objetivo específico), la «asignación financiera total» mencionada en las columnas 6</w:t>
      </w:r>
      <w:r>
        <w:rPr>
          <w:color w:val="0000FF"/>
          <w:u w:val="single"/>
        </w:rPr>
        <w:t>, 11, 9,</w:t>
      </w:r>
      <w:r>
        <w:rPr>
          <w:strike/>
        </w:rPr>
        <w:t xml:space="preserve">12 y 10 </w:t>
      </w:r>
      <w:r>
        <w:t xml:space="preserve">del cuadro 1 del anexo VII del RDC debe consistir en la asignación financiera a cada prioridad sin la asistencia técnica. </w:t>
      </w:r>
      <w:r>
        <w:rPr>
          <w:color w:val="0000FF"/>
          <w:u w:val="single"/>
        </w:rPr>
        <w:t>Además, la columna 13 (número de operaciones seleccionadas) también debe incluir únicamente las operaciones seleccionadas en el marco de la prioridad sin la asistencia técnica.</w:t>
      </w:r>
    </w:p>
    <w:p w:rsidR="001C6219" w:rsidRDefault="001C6219" w:rsidP="001C6219"/>
    <w:p w:rsidR="001C6219" w:rsidRDefault="001C6219" w:rsidP="001C6219"/>
    <w:p w:rsidR="001C6219" w:rsidRDefault="001C6219" w:rsidP="001C6219">
      <w:pPr>
        <w:pStyle w:val="Ttulo1"/>
      </w:pPr>
      <w:bookmarkStart w:id="349" w:name="scroll-bookmark-381"/>
      <w:bookmarkStart w:id="350" w:name="scroll-bookmark-382"/>
      <w:bookmarkEnd w:id="349"/>
      <w:r>
        <w:t>QA00196 — Información a la Comisión sobre la selección de una operación de importancia estratégica</w:t>
      </w:r>
      <w:bookmarkEnd w:id="350"/>
    </w:p>
    <w:p w:rsidR="001C6219" w:rsidRDefault="001C6219" w:rsidP="001C6219">
      <w:r>
        <w:rPr>
          <w:noProof/>
          <w:lang w:val="es-ES"/>
        </w:rPr>
        <w:drawing>
          <wp:inline distT="0" distB="0" distL="0" distR="0" wp14:anchorId="0200D20F" wp14:editId="74873E1F">
            <wp:extent cx="152435" cy="152435"/>
            <wp:effectExtent l="0" t="0" r="0" b="0"/>
            <wp:docPr id="100703" name="Imagen 1007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73 (5) del RDC</w:t>
      </w:r>
    </w:p>
    <w:p w:rsidR="001C6219" w:rsidRDefault="001C6219" w:rsidP="001C6219">
      <w:r>
        <w:rPr>
          <w:noProof/>
          <w:lang w:val="es-ES"/>
        </w:rPr>
        <w:drawing>
          <wp:inline distT="0" distB="0" distL="0" distR="0" wp14:anchorId="03671FB5" wp14:editId="26381149">
            <wp:extent cx="152435" cy="152435"/>
            <wp:effectExtent l="0" t="0" r="0" b="0"/>
            <wp:docPr id="100705" name="Imagen 1007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 autoridad de gestión de Letonia tiene algunas preguntas prácticas sobre el procedimiento de información a la Comisión sobre la selección de una operación de importancia estratégica en el marco del programa 2021-2027.</w:t>
      </w:r>
    </w:p>
    <w:p w:rsidR="001C6219" w:rsidRDefault="001C6219" w:rsidP="001C6219">
      <w:r>
        <w:t xml:space="preserve">De conformidad con el artículo 73, apartado 5, del RDC 2021/1060, de 24 de junio de 2021: </w:t>
      </w:r>
      <w:r>
        <w:rPr>
          <w:i/>
        </w:rPr>
        <w:t>Cuando la autoridad de gestión seleccione una operación de importancia estratégica, informará a la Comisión en el plazo de 1 mes y le facilitará toda la información pertinente sobre dicha operación</w:t>
      </w:r>
      <w:r>
        <w:t>.</w:t>
      </w:r>
    </w:p>
    <w:p w:rsidR="001C6219" w:rsidRDefault="001C6219" w:rsidP="001C6219">
      <w:r>
        <w:t xml:space="preserve">Facilite más información sobre el procedimiento de información a la Comisión, </w:t>
      </w:r>
      <w:r w:rsidR="002F3719">
        <w:t xml:space="preserve">ya que, </w:t>
      </w:r>
      <w:r>
        <w:t>no está claro en el RDC ni en el conjunto de instrumentos «Comunicar las operaciones de importancia estratégica en 2021-2027»:</w:t>
      </w:r>
    </w:p>
    <w:p w:rsidR="001C6219" w:rsidRDefault="001C6219" w:rsidP="001C6219"/>
    <w:p w:rsidR="001C6219" w:rsidRDefault="001C6219" w:rsidP="001C6219">
      <w:pPr>
        <w:numPr>
          <w:ilvl w:val="0"/>
          <w:numId w:val="166"/>
        </w:numPr>
      </w:pPr>
      <w:r>
        <w:lastRenderedPageBreak/>
        <w:t xml:space="preserve">¿Creará la Comisión un formulario o modelo específico para informar? ¿Podría la Comisión facilitar una lista específica de información que se considere </w:t>
      </w:r>
      <w:r>
        <w:rPr>
          <w:i/>
        </w:rPr>
        <w:t>pertinente</w:t>
      </w:r>
      <w:r>
        <w:t xml:space="preserve"> a la hora de informar a la Comisión?</w:t>
      </w:r>
    </w:p>
    <w:p w:rsidR="001C6219" w:rsidRDefault="001C6219" w:rsidP="001C6219">
      <w:pPr>
        <w:numPr>
          <w:ilvl w:val="0"/>
          <w:numId w:val="166"/>
        </w:numPr>
      </w:pPr>
      <w:r>
        <w:t xml:space="preserve">¿Cómo debe comunicarse la </w:t>
      </w:r>
      <w:r>
        <w:rPr>
          <w:i/>
        </w:rPr>
        <w:t>información pertinente</w:t>
      </w:r>
      <w:r>
        <w:t xml:space="preserve"> a la Comisión? Por ejemplo, enviar la información a través de SFC 2021 (como documento independiente o de referencia o utilizando otra funcionalidad SFC 2021) o bastará con informar por correo electrónico?</w:t>
      </w:r>
    </w:p>
    <w:p w:rsidR="001C6219" w:rsidRDefault="001C6219" w:rsidP="001C6219">
      <w:pPr>
        <w:numPr>
          <w:ilvl w:val="1"/>
          <w:numId w:val="167"/>
        </w:numPr>
      </w:pPr>
      <w:r>
        <w:t>Si la información debe enviarse por correo electrónico, ¿a qué destinatarios debe enviar un Estado miembro la información? ¿Unidades regionales?</w:t>
      </w:r>
    </w:p>
    <w:p w:rsidR="001C6219" w:rsidRDefault="001C6219" w:rsidP="001C6219">
      <w:pPr>
        <w:numPr>
          <w:ilvl w:val="0"/>
          <w:numId w:val="166"/>
        </w:numPr>
      </w:pPr>
      <w:r>
        <w:t xml:space="preserve">¿En qué casos debe el Estado miembro notificar a la Comisión una actualización de la </w:t>
      </w:r>
      <w:r>
        <w:rPr>
          <w:i/>
        </w:rPr>
        <w:t>información pertinente</w:t>
      </w:r>
      <w:r>
        <w:t xml:space="preserve"> notificada previamente? ¿Y en qué plazo?</w:t>
      </w:r>
    </w:p>
    <w:p w:rsidR="001C6219" w:rsidRDefault="001C6219" w:rsidP="001C6219">
      <w:pPr>
        <w:numPr>
          <w:ilvl w:val="0"/>
          <w:numId w:val="166"/>
        </w:numPr>
      </w:pPr>
      <w:r>
        <w:t>Si en el programa se incluye un objetivo o medida específico (anexo 3) como operación de importancia estratégica:</w:t>
      </w:r>
    </w:p>
    <w:p w:rsidR="001C6219" w:rsidRDefault="001C6219" w:rsidP="001C6219">
      <w:r>
        <w:t>       4.1.¿qué opciones tiene el Estado miembro?</w:t>
      </w:r>
    </w:p>
    <w:p w:rsidR="001C6219" w:rsidRDefault="001C6219" w:rsidP="001C6219">
      <w:pPr>
        <w:numPr>
          <w:ilvl w:val="0"/>
          <w:numId w:val="168"/>
        </w:numPr>
      </w:pPr>
      <w:r>
        <w:t>¿puede el Estado miembro a nivel nacional identificar/definir solo uno o algunos de los proyectos dentro del objetivo o medida específicos que contribuyen al funcionamiento de importancia estratégica en una fase posterior de las regiones ultraperiféricas?</w:t>
      </w:r>
    </w:p>
    <w:p w:rsidR="001C6219" w:rsidRDefault="001C6219" w:rsidP="001C6219">
      <w:pPr>
        <w:numPr>
          <w:ilvl w:val="0"/>
          <w:numId w:val="168"/>
        </w:numPr>
      </w:pPr>
      <w:r>
        <w:t>¿significa que, por defecto, cada proyecto en el marco del objetivo o medida específico se considera parte de una operación de importancia estratégica?</w:t>
      </w:r>
    </w:p>
    <w:p w:rsidR="001C6219" w:rsidRDefault="001C6219" w:rsidP="001C6219">
      <w:r>
        <w:t>      (4.2) Si una operación de importancia estratégica consiste en varios proyectos individuales con fechas de selección diferentes, ¿cuándo debe informar el Estado miembro a la Comisión? Es decir, (1) notificar cada proyecto por separado después de haber sido seleccionado para recibir ayuda OR (2) presenta la lista completa de proyectos cuando se selecciona el último?</w:t>
      </w:r>
    </w:p>
    <w:p w:rsidR="001C6219" w:rsidRDefault="001C6219" w:rsidP="001C6219"/>
    <w:p w:rsidR="001C6219" w:rsidRDefault="001C6219" w:rsidP="001C6219">
      <w:pPr>
        <w:pStyle w:val="P68B1DB1-Normal1"/>
      </w:pPr>
      <w:r>
        <w:t>Respuesta.</w:t>
      </w:r>
    </w:p>
    <w:p w:rsidR="001C6219" w:rsidRDefault="001C6219" w:rsidP="001C6219">
      <w:pPr>
        <w:numPr>
          <w:ilvl w:val="0"/>
          <w:numId w:val="169"/>
        </w:numPr>
      </w:pPr>
      <w:r>
        <w:t>Como se explica en la caja de herramientas, el RDC no prevé ningún formato o contenido prescrito, pero se propone indicar como información pertinente [al menos] los elementos que deben ponerse a disposición del público en cualquier caso con arreglo al artículo 49, apartado 3, del RDC.</w:t>
      </w:r>
    </w:p>
    <w:p w:rsidR="001C6219" w:rsidRDefault="001C6219" w:rsidP="001C6219">
      <w:pPr>
        <w:numPr>
          <w:ilvl w:val="0"/>
          <w:numId w:val="169"/>
        </w:numPr>
      </w:pPr>
      <w:r>
        <w:t>El módulo de «visibilidad, transparencia y comunicación» del SFC2021 podría utilizarse para este fin. Actualmente se están debatiendo los requisitos técnicos necesarios para presentar dicha información.</w:t>
      </w:r>
    </w:p>
    <w:p w:rsidR="001C6219" w:rsidRDefault="001C6219" w:rsidP="001C6219">
      <w:pPr>
        <w:numPr>
          <w:ilvl w:val="0"/>
          <w:numId w:val="169"/>
        </w:numPr>
      </w:pPr>
      <w:r>
        <w:t>En general, el Estado miembro debe mantener actualizada a la Comisión en lo que respecta a los cambios en la información pertinente notificada previamente. Esto debería ocurrir lo antes posible después de que se materialicen dichos cambios, y no se prevé un plazo fijo para la comunicación de dichos cambios.</w:t>
      </w:r>
    </w:p>
    <w:p w:rsidR="001C6219" w:rsidRDefault="001C6219" w:rsidP="001C6219">
      <w:r>
        <w:t>       (4.1) Una OSI, de conformidad con su definición en el artículo 2, apartado 5, del RDC, es siempre una operación en el sentido de la definición del artículo 2, apartado</w:t>
      </w:r>
      <w:r>
        <w:rPr>
          <w:i/>
        </w:rPr>
        <w:t xml:space="preserve">4, del </w:t>
      </w:r>
      <w:r>
        <w:rPr>
          <w:i/>
        </w:rPr>
        <w:lastRenderedPageBreak/>
        <w:t>RDC («operación»: a) un proyecto, contrato, acción o grupo de proyectos seleccionados en el marco de los programas de que se trate (...</w:t>
      </w:r>
      <w:r>
        <w:t>)». Por lo tanto, las obligaciones de los beneficiarios o del Estado miembro o la autoridad de gestión también están vinculadas a la operación seleccionada para recibir ayuda en el marco de una prioridad determinada (y no a otro nivel de intervención). Esta respuesta se refiere únicamente a la pregunta específica planteada sobre la información y el calendario de presentación de informes de los INE y no prejuzga la posición de los servicios sobre cualquier otro aspecto relacionado con la selección de dichas operaciones por parte de la AG.</w:t>
      </w:r>
    </w:p>
    <w:p w:rsidR="001C6219" w:rsidRDefault="001C6219" w:rsidP="001C6219">
      <w:r>
        <w:t>      (4.2) En consonancia con la respuesta anterior, el requisito de notificar a la Comisión las operaciones seleccionadas de importancia estratégica se aplica al nivel de una operación, independientemente de si se selecciona como grupo de proyectos o consiste en un único proyecto. La autoridad de gestión informará a la Comisión sobre las operaciones de importancia estratégica seleccionadas en el plazo de un mes a partir de su selección con arreglo al artículo 73 del RDC, por lo que debe hacerse antes del plazo establecido. Esta respuesta se refiere únicamente a la pregunta específica formulada sobre la información y el calendario de presentación de informes de los INE y no prejuzga la posición de los servicios sobre cualquier otro aspecto relacionado con la selección de dichas operaciones por parte de la AG.</w:t>
      </w:r>
    </w:p>
    <w:p w:rsidR="001C6219" w:rsidRDefault="001C6219" w:rsidP="001C6219"/>
    <w:p w:rsidR="001C6219" w:rsidRDefault="001C6219" w:rsidP="001C6219"/>
    <w:p w:rsidR="001C6219" w:rsidRDefault="001C6219" w:rsidP="001C6219">
      <w:pPr>
        <w:pStyle w:val="Ttulo1"/>
      </w:pPr>
      <w:bookmarkStart w:id="351" w:name="scroll-bookmark-383"/>
      <w:bookmarkStart w:id="352" w:name="scroll-bookmark-384"/>
      <w:bookmarkEnd w:id="351"/>
      <w:r>
        <w:t>QA00197 — Interpretación de «fabricado o por hacer» en el artículo 91 (3) c del RDC</w:t>
      </w:r>
      <w:bookmarkEnd w:id="352"/>
    </w:p>
    <w:p w:rsidR="001C6219" w:rsidRDefault="001C6219" w:rsidP="001C6219">
      <w:r>
        <w:rPr>
          <w:noProof/>
          <w:lang w:val="es-ES"/>
        </w:rPr>
        <w:drawing>
          <wp:inline distT="0" distB="0" distL="0" distR="0" wp14:anchorId="4FFBEFA4" wp14:editId="0F25436B">
            <wp:extent cx="152435" cy="152435"/>
            <wp:effectExtent l="0" t="0" r="0" b="0"/>
            <wp:docPr id="100707" name="Imagen 1007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91 (3) c del RDC;</w:t>
      </w:r>
    </w:p>
    <w:p w:rsidR="001C6219" w:rsidRDefault="001C6219" w:rsidP="001C6219">
      <w:r>
        <w:t>Artículo 63 (2) del RDC;</w:t>
      </w:r>
    </w:p>
    <w:p w:rsidR="001C6219" w:rsidRDefault="001C6219" w:rsidP="001C6219">
      <w:r>
        <w:t>Artículo 74 (1) (b) del RDC</w:t>
      </w:r>
    </w:p>
    <w:p w:rsidR="001C6219" w:rsidRDefault="001C6219" w:rsidP="001C6219">
      <w:r>
        <w:rPr>
          <w:noProof/>
          <w:lang w:val="es-ES"/>
        </w:rPr>
        <w:drawing>
          <wp:inline distT="0" distB="0" distL="0" distR="0" wp14:anchorId="2398155F" wp14:editId="1C78AB84">
            <wp:extent cx="152435" cy="152435"/>
            <wp:effectExtent l="0" t="0" r="0" b="0"/>
            <wp:docPr id="100709" name="Imagen 1007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De conformidad con el artículo 91 (3) c), las solicitudes de pago se presentarán [...] e incluirán [...] «el importe total de la contribución pública </w:t>
      </w:r>
      <w:r>
        <w:rPr>
          <w:b/>
        </w:rPr>
        <w:t>realizada o</w:t>
      </w:r>
      <w:r>
        <w:t xml:space="preserve"> vinculada a objetivos específicos [...]».</w:t>
      </w:r>
    </w:p>
    <w:p w:rsidR="001C6219" w:rsidRDefault="001C6219" w:rsidP="001C6219">
      <w:r>
        <w:t>¿Cuál es el significado de «fabricado o por hacer»?</w:t>
      </w:r>
    </w:p>
    <w:p w:rsidR="001C6219" w:rsidRDefault="001C6219" w:rsidP="001C6219"/>
    <w:p w:rsidR="001C6219" w:rsidRDefault="001C6219" w:rsidP="001C6219">
      <w:pPr>
        <w:pStyle w:val="P68B1DB1-Normal1"/>
      </w:pPr>
      <w:r>
        <w:t>Respuesta.</w:t>
      </w:r>
    </w:p>
    <w:p w:rsidR="001C6219" w:rsidRDefault="001C6219" w:rsidP="001C6219">
      <w:r>
        <w:lastRenderedPageBreak/>
        <w:t>Las solicitudes de pago pueden incluir los gastos contraídos por un beneficiario o el socio privado de una operación de APP y pagados en la ejecución de operaciones de conformidad con el artículo 63 (2) del RDC.</w:t>
      </w:r>
    </w:p>
    <w:p w:rsidR="001C6219" w:rsidRDefault="001C6219" w:rsidP="001C6219">
      <w:r>
        <w:t>El reembolso del beneficiario debe tener lugar en un plazo de 80 días a partir de la fecha de presentación de la solicitud de pago por el beneficiario [artículo 74 (1) (b) del RDC], pero no necesariamente antes de presentar la solicitud de pago a la Comisión, y este es el objetivo de la «obligación de realizar», a fin de permitir que la contribución pública que aún debe realizar la función contable a un beneficiario pueda incluirse en una solicitud de pago aunque aún no se haya «realizado» (es decir, pagado).</w:t>
      </w:r>
    </w:p>
    <w:p w:rsidR="001C6219" w:rsidRDefault="001C6219" w:rsidP="001C6219"/>
    <w:p w:rsidR="001C6219" w:rsidRDefault="001C6219" w:rsidP="001C6219"/>
    <w:p w:rsidR="001C6219" w:rsidRDefault="001C6219" w:rsidP="001C6219"/>
    <w:p w:rsidR="001C6219" w:rsidRDefault="001C6219" w:rsidP="001C6219">
      <w:pPr>
        <w:pStyle w:val="Ttulo1"/>
      </w:pPr>
      <w:bookmarkStart w:id="353" w:name="scroll-bookmark-385"/>
      <w:bookmarkStart w:id="354" w:name="scroll-bookmark-386"/>
      <w:bookmarkEnd w:id="353"/>
      <w:r>
        <w:t>QA00198 — «Beneficiario» en casos de ayuda estatal concedida en virtud de los artículos 20 o 20 bis del RGEC</w:t>
      </w:r>
      <w:bookmarkEnd w:id="354"/>
    </w:p>
    <w:p w:rsidR="001C6219" w:rsidRDefault="001C6219" w:rsidP="001C6219">
      <w:r>
        <w:rPr>
          <w:noProof/>
          <w:lang w:val="es-ES"/>
        </w:rPr>
        <w:drawing>
          <wp:inline distT="0" distB="0" distL="0" distR="0" wp14:anchorId="5C589DCD" wp14:editId="4EAA99D0">
            <wp:extent cx="152435" cy="152435"/>
            <wp:effectExtent l="0" t="0" r="0" b="0"/>
            <wp:docPr id="100711" name="Imagen 1007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2, apartado 9, del Reglamento (UE) 2021/1060 (RDC)</w:t>
      </w:r>
    </w:p>
    <w:p w:rsidR="001C6219" w:rsidRDefault="001C6219" w:rsidP="001C6219">
      <w:r>
        <w:t>Artículos 20 y 20 bis del Reglamento (UE) n.º 651/2014 (RGEC)</w:t>
      </w:r>
    </w:p>
    <w:p w:rsidR="001C6219" w:rsidRDefault="001C6219" w:rsidP="001C6219">
      <w:r>
        <w:t>Artículos 22 (4) (d) y (6), 23, 26, 47 y 52 del Reglamento (UE) 2021/1059 (CTE)</w:t>
      </w:r>
    </w:p>
    <w:p w:rsidR="001C6219" w:rsidRDefault="001C6219" w:rsidP="001C6219">
      <w:r>
        <w:rPr>
          <w:noProof/>
          <w:lang w:val="es-ES"/>
        </w:rPr>
        <w:drawing>
          <wp:inline distT="0" distB="0" distL="0" distR="0" wp14:anchorId="01DBA053" wp14:editId="61A248DF">
            <wp:extent cx="152435" cy="152435"/>
            <wp:effectExtent l="0" t="0" r="0" b="0"/>
            <wp:docPr id="100713" name="Imagen 1007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r>
        <w:rPr>
          <w:noProof/>
          <w:lang w:val="es-ES"/>
        </w:rPr>
        <w:drawing>
          <wp:inline distT="0" distB="0" distL="0" distR="0" wp14:anchorId="29D2801D" wp14:editId="0B898EA3">
            <wp:extent cx="152435" cy="152435"/>
            <wp:effectExtent l="0" t="0" r="0" b="0"/>
            <wp:docPr id="100715" name="Imagen 1007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xml:space="preserve"> Referencia: </w:t>
      </w:r>
      <w:hyperlink r:id="rId487" w:history="1">
        <w:r>
          <w:rPr>
            <w:rStyle w:val="Hipervnculo"/>
          </w:rPr>
          <w:t>QA00199 — De minimis en el contexto de las ayudas estatales en el RDC 2021-27</w:t>
        </w:r>
      </w:hyperlink>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El Ministerio polaco encargado de los programas de objetivos de inversión en empleo y crecimiento y cooperación territorial europea pidió lo siguiente:</w:t>
      </w:r>
    </w:p>
    <w:p w:rsidR="001C6219" w:rsidRDefault="001C6219" w:rsidP="001C6219">
      <w:r>
        <w:t>La definición de «beneficiario» con arreglo al artículo 2, apartado 9, letra c), del RDC puede estar en contradicción con los artículos 20 y 20 bis del RGEC y dar lugar a dificultades de ejecución:</w:t>
      </w:r>
    </w:p>
    <w:p w:rsidR="001C6219" w:rsidRDefault="001C6219" w:rsidP="001C6219">
      <w:pPr>
        <w:pStyle w:val="P68B1DB1-Normal3"/>
      </w:pPr>
      <w:r>
        <w:t>«beneficiario:</w:t>
      </w:r>
    </w:p>
    <w:p w:rsidR="001C6219" w:rsidRDefault="001C6219" w:rsidP="001C6219">
      <w:pPr>
        <w:pStyle w:val="P68B1DB1-Normal3"/>
      </w:pPr>
      <w:r>
        <w:t>a) un organismo público o privado, una entidad con o sin personalidad jurídica, o una persona física, responsable de iniciar o de iniciar y ejecutar operaciones;</w:t>
      </w:r>
    </w:p>
    <w:p w:rsidR="001C6219" w:rsidRDefault="001C6219" w:rsidP="001C6219">
      <w:pPr>
        <w:pStyle w:val="P68B1DB1-Normal3"/>
      </w:pPr>
      <w:r>
        <w:t>b) (...);</w:t>
      </w:r>
    </w:p>
    <w:p w:rsidR="001C6219" w:rsidRDefault="001C6219" w:rsidP="001C6219">
      <w:pPr>
        <w:pStyle w:val="P68B1DB1-Normal3"/>
      </w:pPr>
      <w:r>
        <w:t>C) en el contexto de los regímenes de ayudas estatales, la empresa que recibe la ayuda;</w:t>
      </w:r>
    </w:p>
    <w:p w:rsidR="001C6219" w:rsidRDefault="001C6219" w:rsidP="001C6219">
      <w:pPr>
        <w:pStyle w:val="P68B1DB1-Normal3"/>
      </w:pPr>
      <w:r>
        <w:t>(...).</w:t>
      </w:r>
    </w:p>
    <w:p w:rsidR="001C6219" w:rsidRDefault="001C6219" w:rsidP="001C6219">
      <w:r>
        <w:lastRenderedPageBreak/>
        <w:t>Los beneficiarios de Interreg, que entregan la ayuda a las «empresas», son en realidad «</w:t>
      </w:r>
      <w:r>
        <w:rPr>
          <w:i/>
        </w:rPr>
        <w:t>responsables de iniciar o de iniciar y ejecutar las operaciones</w:t>
      </w:r>
      <w:r>
        <w:t>.</w:t>
      </w:r>
    </w:p>
    <w:p w:rsidR="001C6219" w:rsidRDefault="001C6219" w:rsidP="001C6219">
      <w:r>
        <w:t>Las PYME u otras «empresas» ajenas a los socios oficiales del proyecto reciben ayuda estatal como resultado de las actividades realizadas por los socios del proyecto. Los socios del proyecto reciben la cofinanciación dentro de la asociación en el proyecto INTERREG, gastan el FEDER en actividades del proyecto, por ejemplo, llevando a cabo directamente o externalizando talleres, actividades de formación, servicios de asesoramiento, la elaboración de ayudas o soluciones innovadoras o el establecimiento de mejoras digitales.</w:t>
      </w:r>
    </w:p>
    <w:p w:rsidR="001C6219" w:rsidRDefault="001C6219" w:rsidP="001C6219">
      <w:r>
        <w:t>Todas estas actividades del proyecto sirven en última instancia a los usuarios finales, que a menudo son pymes que utilizan o se benefician de estas actividades de forma gratuita. El valor de la formación debe ser evaluado por los socios del proyecto y el importe se evalúa como «ayuda indirecta» de conformidad con las disposiciones específicas de los programas INTERREG en virtud de los artículos 20 y 20 bis del RGEC:</w:t>
      </w:r>
    </w:p>
    <w:p w:rsidR="001C6219" w:rsidRDefault="001C6219" w:rsidP="001C6219">
      <w:pPr>
        <w:pStyle w:val="P68B1DB1-Normal3"/>
      </w:pPr>
      <w:r>
        <w:t>Artículo 20</w:t>
      </w:r>
    </w:p>
    <w:p w:rsidR="001C6219" w:rsidRDefault="001C6219" w:rsidP="001C6219">
      <w:pPr>
        <w:pStyle w:val="P68B1DB1-Normal3"/>
      </w:pPr>
      <w:r>
        <w:t>Ayudas para los costes en que incurran las empresas participantes en proyectos de Cooperación Territorial Europea</w:t>
      </w:r>
    </w:p>
    <w:p w:rsidR="001C6219" w:rsidRDefault="001C6219" w:rsidP="001C6219">
      <w:pPr>
        <w:pStyle w:val="P68B1DB1-Normal3"/>
        <w:numPr>
          <w:ilvl w:val="0"/>
          <w:numId w:val="170"/>
        </w:numPr>
      </w:pPr>
      <w:r>
        <w:t>Las ayudas para los costes en que incurran las empresas que participen en proyectos de cooperación territorial europea cubiertos por el Reglamento (UE) n.º 1299/2013 o el Reglamento (UE) 2021/1059 serán compatibles con el mercado interior a tenor del artículo 107, apartado 3, del Tratado y estarán exentas de la obligación de notificación establecida en el artículo 108, apartado 3, del Tratado, siempre que se cumplan las condiciones previstas en el presente artículo y en el capítulo I.</w:t>
      </w:r>
    </w:p>
    <w:p w:rsidR="001C6219" w:rsidRDefault="001C6219" w:rsidP="001C6219">
      <w:pPr>
        <w:pStyle w:val="P68B1DB1-Normal3"/>
        <w:numPr>
          <w:ilvl w:val="0"/>
          <w:numId w:val="170"/>
        </w:numPr>
      </w:pPr>
      <w:r>
        <w:t>[Gastos subvencionables]</w:t>
      </w:r>
    </w:p>
    <w:p w:rsidR="001C6219" w:rsidRDefault="001C6219" w:rsidP="001C6219">
      <w:pPr>
        <w:pStyle w:val="P68B1DB1-Normal3"/>
      </w:pPr>
      <w:r>
        <w:t>Artículo 20 bis</w:t>
      </w:r>
    </w:p>
    <w:p w:rsidR="001C6219" w:rsidRDefault="001C6219" w:rsidP="001C6219">
      <w:pPr>
        <w:pStyle w:val="P68B1DB1-Normal3"/>
      </w:pPr>
      <w:r>
        <w:t>Importes limitados de ayuda a empresas para la participación en proyectos de Cooperación Territorial Europea</w:t>
      </w:r>
    </w:p>
    <w:p w:rsidR="001C6219" w:rsidRDefault="001C6219" w:rsidP="001C6219">
      <w:pPr>
        <w:pStyle w:val="P68B1DB1-Normal3"/>
        <w:numPr>
          <w:ilvl w:val="0"/>
          <w:numId w:val="171"/>
        </w:numPr>
      </w:pPr>
      <w:r>
        <w:t>Las ayudas a las empresas por su participación en proyectos de cooperación territorial europea cubiertos por el Reglamento (UE) n.º 1299/2013 o por el Reglamento (UE) 2021/1059 serán compatibles con el mercado interior a tenor del artículo 107, apartado 3, del Tratado, y quedarán exentas de la obligación de notificación establecida en el artículo 108, apartado 3, del Tratado, siempre que se cumplan las condiciones previstas en el presente artículo y en el capítulo I.</w:t>
      </w:r>
    </w:p>
    <w:p w:rsidR="001C6219" w:rsidRDefault="001C6219" w:rsidP="001C6219">
      <w:pPr>
        <w:pStyle w:val="P68B1DB1-Normal3"/>
        <w:numPr>
          <w:ilvl w:val="0"/>
          <w:numId w:val="171"/>
        </w:numPr>
      </w:pPr>
      <w:r>
        <w:t>El importe total de la ayuda concedida a una empresa por proyecto con arreglo al presente artículo no excederá de 20 000 EUR.</w:t>
      </w:r>
    </w:p>
    <w:p w:rsidR="001C6219" w:rsidRDefault="001C6219" w:rsidP="001C6219">
      <w:r>
        <w:t>Las definiciones a efectos de la política de cohesión y los conceptos de ayuda estatal, a efectos de la política de competencia, pueden no ser totalmente compatibles.</w:t>
      </w:r>
    </w:p>
    <w:p w:rsidR="001C6219" w:rsidRDefault="001C6219" w:rsidP="001C6219">
      <w:r>
        <w:t>Si solo aplicábamos el artículo 20 y 20 bis RGEC, la política de competencia solo se preocuparía del apoyo público directo o indirecto prestado a empresas o empresas y no tendría en cuenta el papel del «beneficiario» que les concede. Esto podría entrar en conflicto con el punto (9), letra c), del RDC, en el que solo la empresa que recibe la ayuda es el beneficiario.</w:t>
      </w:r>
    </w:p>
    <w:p w:rsidR="001C6219" w:rsidRDefault="001C6219" w:rsidP="001C6219">
      <w:r>
        <w:t>La aplicación de la letra c) en lugar de la letra a) del artículo 2, apartado 9, del RDC tendría enormes consecuencias de aplicación:</w:t>
      </w:r>
    </w:p>
    <w:p w:rsidR="001C6219" w:rsidRDefault="001C6219" w:rsidP="001C6219">
      <w:pPr>
        <w:numPr>
          <w:ilvl w:val="0"/>
          <w:numId w:val="172"/>
        </w:numPr>
      </w:pPr>
      <w:r>
        <w:lastRenderedPageBreak/>
        <w:t>Las asociaciones de proyectos (artículo 23 de la CTE) y el papel del socio/beneficiario principal (artículo 26 de la CTE);</w:t>
      </w:r>
    </w:p>
    <w:p w:rsidR="001C6219" w:rsidRDefault="001C6219" w:rsidP="001C6219">
      <w:pPr>
        <w:numPr>
          <w:ilvl w:val="0"/>
          <w:numId w:val="172"/>
        </w:numPr>
      </w:pPr>
      <w:r>
        <w:t>La concesión en el marco de Interreg se realiza entre la autoridad de gestión y el beneficiario principal, no con «empresas» o usuarios de las actividades en el marco de los proyectos Interreg (artículo 22, apartado 6, de la CTE);</w:t>
      </w:r>
    </w:p>
    <w:p w:rsidR="001C6219" w:rsidRDefault="001C6219" w:rsidP="001C6219">
      <w:pPr>
        <w:numPr>
          <w:ilvl w:val="0"/>
          <w:numId w:val="172"/>
        </w:numPr>
      </w:pPr>
      <w:r>
        <w:t>Los flujos financieros se producen entre las autoridades del programa y el beneficiario principal, ni siquiera con otros socios del proyecto, ni mucho menos con terceros (artículo 47 de la CTE);</w:t>
      </w:r>
    </w:p>
    <w:p w:rsidR="001C6219" w:rsidRDefault="001C6219" w:rsidP="001C6219">
      <w:pPr>
        <w:numPr>
          <w:ilvl w:val="0"/>
          <w:numId w:val="172"/>
        </w:numPr>
      </w:pPr>
      <w:r>
        <w:t>La presentación de informes, la disponibilidad de documentos, las recuperaciones (artículo 52 de la CTE) y otros aspectos de la ejecución del proyecto financiero son obligaciones del beneficiario (principal), no de terceros.</w:t>
      </w:r>
    </w:p>
    <w:p w:rsidR="001C6219" w:rsidRDefault="001C6219" w:rsidP="001C6219"/>
    <w:p w:rsidR="001C6219" w:rsidRDefault="001C6219" w:rsidP="001C6219">
      <w:r>
        <w:rPr>
          <w:b/>
        </w:rPr>
        <w:t>Respuesta</w:t>
      </w:r>
      <w:hyperlink w:anchor="scroll-bookmark-387" w:history="1">
        <w:r>
          <w:rPr>
            <w:rStyle w:val="Hipervnculo"/>
          </w:rPr>
          <w:t>[1]</w:t>
        </w:r>
      </w:hyperlink>
      <w:r>
        <w:rPr>
          <w:b/>
        </w:rPr>
        <w:t>:</w:t>
      </w:r>
    </w:p>
    <w:p w:rsidR="001C6219" w:rsidRDefault="001C6219" w:rsidP="001C6219">
      <w:r>
        <w:t>Entendemos que la cuestión es cómo se aplica la definición de «beneficiario» en el contexto de un régimen de ayudas estatales [con arreglo al artículo 2, apartado 9, letra c), del RDC] en el contexto de los proyectos Interreg ejecutados en virtud de los artículos 20 y 20 bis del RGEC.</w:t>
      </w:r>
    </w:p>
    <w:p w:rsidR="001C6219" w:rsidRDefault="001C6219" w:rsidP="001C6219">
      <w:r>
        <w:t xml:space="preserve">Los artículos 20 y 20 bis del RGEC se aplican a cualquier tipo de proyecto Interreg. Estas disposiciones se modificaron (artículo 20) o se insertaron (nuevo artículo 20 bis) como </w:t>
      </w:r>
      <w:r>
        <w:rPr>
          <w:u w:val="single"/>
        </w:rPr>
        <w:t>norma</w:t>
      </w:r>
      <w:r>
        <w:t xml:space="preserve"> adecuada para cualquier empresa que participe en un proyecto Interreg (formación, seminarios, etc.) hasta el porcentaje máximo de cofinanciación con arreglo al artículo 20, apartado 6, del RGEC o hasta un máximo de 20 000 EUR de ayuda pública en virtud del artículo 20 bis del RGEC.</w:t>
      </w:r>
    </w:p>
    <w:p w:rsidR="001C6219" w:rsidRDefault="001C6219" w:rsidP="001C6219">
      <w:r>
        <w:t xml:space="preserve">El artículo 2, apartado 9, letra c), del RDC </w:t>
      </w:r>
      <w:r>
        <w:rPr>
          <w:i/>
        </w:rPr>
        <w:t xml:space="preserve">establece que «en el contexto de los regímenes de ayudas estatales», </w:t>
      </w:r>
      <w:r w:rsidR="00893DFD">
        <w:rPr>
          <w:i/>
        </w:rPr>
        <w:t>“</w:t>
      </w:r>
      <w:r>
        <w:t>beneficiario</w:t>
      </w:r>
      <w:r>
        <w:rPr>
          <w:i/>
        </w:rPr>
        <w:t xml:space="preserve">» significa «la empresa que recibe la ayuda». </w:t>
      </w:r>
      <w:r>
        <w:t>En el contexto del RDC, la empresa que recibe la ayuda debe entenderse como la entidad que recibe ayuda financiera de los Fondos para llevar a cabo una operación seleccionada por el programa</w:t>
      </w:r>
      <w:hyperlink w:anchor="scroll-bookmark-387" w:history="1">
        <w:r>
          <w:rPr>
            <w:rStyle w:val="Hipervnculo"/>
          </w:rPr>
          <w:t>[1]</w:t>
        </w:r>
      </w:hyperlink>
      <w:r>
        <w:t>.</w:t>
      </w:r>
    </w:p>
    <w:p w:rsidR="001C6219" w:rsidRDefault="001C6219" w:rsidP="001C6219">
      <w:r>
        <w:t xml:space="preserve">Esto significa que, por lo que se refiere al ejemplo específico indicado en los hechos, cuando los socios del proyecto reciben apoyo financiero para organizar actividades del proyecto (por ejemplo, realización directa o externalización de talleres, sesiones de formación, servicios de asesoramiento, apoyo/soluciones innovadoras o establecimiento de mejoras digitales), incluso en beneficio de las pymes (en lo sucesivo, </w:t>
      </w:r>
      <w:r>
        <w:rPr>
          <w:i/>
        </w:rPr>
        <w:t>«los beneficiarios»</w:t>
      </w:r>
      <w:r>
        <w:t>), los beneficiarios de la operación y la ayuda son los socios del proyecto en el sentido del artículo 2, apartado 9, del RDC, tanto con arreglo a las letras a) como a c). No hay contradicción aparente entre las normas sobre ayudas estatales y el artículo 2, apartado 9, letra c), del RDC en este caso, dado que ninguna ayuda financiera de los Fondos llega a esas pymes como beneficiarias.</w:t>
      </w:r>
    </w:p>
    <w:p w:rsidR="001C6219" w:rsidRDefault="001C6219" w:rsidP="001C6219">
      <w:r>
        <w:t xml:space="preserve">Cuando la ayuda financiera de los Fondos llega a los beneficiarios (por ejemplo, regímenes de bonos) en el contexto de los artículos 20 o 20 bis del RGEC, la </w:t>
      </w:r>
      <w:r>
        <w:rPr>
          <w:i/>
        </w:rPr>
        <w:t>«empresa que recibe la ayuda»</w:t>
      </w:r>
      <w:r>
        <w:t xml:space="preserve"> es el beneficiario. Por una parte, si bien esto se considera justificado cuando los perceptores finales reciben importes sustanciales de ayuda financiera de los Fondos, por otro, en situaciones en las que los beneficiarios reciben </w:t>
      </w:r>
      <w:r>
        <w:lastRenderedPageBreak/>
        <w:t xml:space="preserve">una ayuda financiera muy limitada [inferior incluso a la ayuda </w:t>
      </w:r>
      <w:r>
        <w:rPr>
          <w:i/>
        </w:rPr>
        <w:t>de minimis</w:t>
      </w:r>
      <w:r>
        <w:t>, que se beneficia de una excepción en virtud del artículo 2, apartado 9, letra d), del RDC], no estaría justificada ni estaría en consonancia con la intención de la excepción en virtud del artículo 20 bis del RGEC.</w:t>
      </w:r>
    </w:p>
    <w:p w:rsidR="001C6219" w:rsidRDefault="001C6219" w:rsidP="001C6219">
      <w:r>
        <w:t>En vista de ello, debe garantizarse la simplificación obtenida en virtud del artículo 20 bis del RGEC en el contexto de los proyectos Interreg. Por lo tanto, en este caso concreto, la lectura combinada de los artículos 20 bis del RGEC, el RDC y el Reglamento de la CTE debe permitir el cumplimiento del objetivo de la modificación en lo que respecta a los proyectos Interreg sujetos al artículo 20 bis del RGEC haciendo que la letra c) de la definición no sea aplicable y permitiendo que los beneficiarios no sean los beneficiarios de una ayuda financiera limitada, sino la organización que inicia o inicia y ejecuta operaciones Interreg.</w:t>
      </w:r>
    </w:p>
    <w:p w:rsidR="001C6219" w:rsidRDefault="00FC0FB1" w:rsidP="001C6219">
      <w:hyperlink w:anchor="scroll-bookmark-388" w:history="1">
        <w:r w:rsidR="001C6219">
          <w:rPr>
            <w:rStyle w:val="Hipervnculo"/>
          </w:rPr>
          <w:t>[1]</w:t>
        </w:r>
      </w:hyperlink>
      <w:r w:rsidR="001C6219">
        <w:t xml:space="preserve"> La respuesta no respalda ninguna afirmación formulada en la cuestión planteada.</w:t>
      </w:r>
    </w:p>
    <w:p w:rsidR="001C6219" w:rsidRDefault="00FC0FB1" w:rsidP="001C6219">
      <w:hyperlink w:anchor="scroll-bookmark-388" w:history="1">
        <w:r w:rsidR="001C6219">
          <w:rPr>
            <w:rStyle w:val="Hipervnculo"/>
          </w:rPr>
          <w:t>[2]</w:t>
        </w:r>
      </w:hyperlink>
      <w:r w:rsidR="001C6219">
        <w:t xml:space="preserve"> Cabe señalar las especificidades de los proyectos Interreg en los que las tareas del socio principal (artículo 26 de la CTE) corresponden a las responsabilidades de los beneficiarios en virtud del RDC para iniciar o iniciar y ejecutar una operación de conformidad con el artículo 2, apartado 9, letra a), del RDC y, además, el artículo 23 de la CTE obliga a que </w:t>
      </w:r>
      <w:r w:rsidR="001C6219">
        <w:rPr>
          <w:i/>
        </w:rPr>
        <w:t>en las operaciones participen</w:t>
      </w:r>
      <w:r w:rsidR="001C6219">
        <w:t xml:space="preserve"> </w:t>
      </w:r>
      <w:r w:rsidR="001C6219">
        <w:rPr>
          <w:i/>
        </w:rPr>
        <w:t>«socios», «de los cuales al menos uno será beneficiario de un</w:t>
      </w:r>
      <w:r w:rsidR="001C6219">
        <w:t xml:space="preserve"> Estado miembro».</w:t>
      </w:r>
    </w:p>
    <w:p w:rsidR="001C6219" w:rsidRDefault="001C6219" w:rsidP="001C6219"/>
    <w:p w:rsidR="001C6219" w:rsidRDefault="001C6219" w:rsidP="001C6219"/>
    <w:p w:rsidR="001C6219" w:rsidRDefault="001C6219" w:rsidP="001C6219">
      <w:pPr>
        <w:pStyle w:val="Ttulo1"/>
      </w:pPr>
      <w:bookmarkStart w:id="355" w:name="scroll-bookmark-389"/>
      <w:bookmarkStart w:id="356" w:name="scroll-bookmark-390"/>
      <w:bookmarkEnd w:id="355"/>
      <w:r>
        <w:t>QA00199 — De minimis en el contexto de las ayudas estatales en el RDC 2021-27</w:t>
      </w:r>
      <w:bookmarkEnd w:id="356"/>
    </w:p>
    <w:p w:rsidR="001C6219" w:rsidRDefault="001C6219" w:rsidP="001C6219">
      <w:r>
        <w:rPr>
          <w:noProof/>
          <w:lang w:val="es-ES"/>
        </w:rPr>
        <w:drawing>
          <wp:inline distT="0" distB="0" distL="0" distR="0" wp14:anchorId="3731BC3C" wp14:editId="0A0F2C68">
            <wp:extent cx="152435" cy="152435"/>
            <wp:effectExtent l="0" t="0" r="0" b="0"/>
            <wp:docPr id="100717" name="Imagen 1007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RDC 2021-27 Artículos 2.9, 53.2, 58.2, 66.2, 65, 82.1, 91.5 y 91.6</w:t>
      </w:r>
    </w:p>
    <w:p w:rsidR="001C6219" w:rsidRDefault="001C6219" w:rsidP="001C6219">
      <w:r>
        <w:t>Anexos III, XVII, XX, XXI, XXII, XXIII y XXIV;</w:t>
      </w:r>
    </w:p>
    <w:p w:rsidR="001C6219" w:rsidRDefault="001C6219" w:rsidP="001C6219">
      <w:r>
        <w:t>Artículos 107 y 108 del TFUE;</w:t>
      </w:r>
    </w:p>
    <w:p w:rsidR="001C6219" w:rsidRDefault="001C6219" w:rsidP="001C6219">
      <w:r>
        <w:t>RGEC </w:t>
      </w:r>
    </w:p>
    <w:p w:rsidR="001C6219" w:rsidRDefault="001C6219" w:rsidP="001C6219">
      <w:r>
        <w:rPr>
          <w:noProof/>
          <w:lang w:val="es-ES"/>
        </w:rPr>
        <w:drawing>
          <wp:inline distT="0" distB="0" distL="0" distR="0" wp14:anchorId="032746C2" wp14:editId="14D24411">
            <wp:extent cx="152435" cy="152435"/>
            <wp:effectExtent l="0" t="0" r="0" b="0"/>
            <wp:docPr id="100719" name="Imagen 1007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1C6219" w:rsidRDefault="001C6219" w:rsidP="001C6219">
      <w:r>
        <w:rPr>
          <w:noProof/>
          <w:lang w:val="es-ES"/>
        </w:rPr>
        <w:drawing>
          <wp:inline distT="0" distB="0" distL="0" distR="0" wp14:anchorId="6189ED82" wp14:editId="036980F4">
            <wp:extent cx="152435" cy="152435"/>
            <wp:effectExtent l="0" t="0" r="0" b="0"/>
            <wp:docPr id="100721" name="Imagen 1007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Referencia:  </w:t>
      </w:r>
      <w:hyperlink w:anchor="scroll-bookmark-242" w:history="1">
        <w:r>
          <w:rPr>
            <w:rStyle w:val="Hipervnculo"/>
          </w:rPr>
          <w:t>QA00130 — Ejecución de proyectos generales en el marco del DLP</w:t>
        </w:r>
      </w:hyperlink>
      <w:r>
        <w:t>,  </w:t>
      </w:r>
    </w:p>
    <w:p w:rsidR="001C6219" w:rsidRDefault="00FC0FB1" w:rsidP="001C6219">
      <w:hyperlink w:anchor="scroll-bookmark-246" w:history="1">
        <w:r w:rsidR="001C6219">
          <w:rPr>
            <w:rStyle w:val="Hipervnculo"/>
          </w:rPr>
          <w:t xml:space="preserve">QA00132 — Financiación </w:t>
        </w:r>
        <w:r w:rsidR="004A2608">
          <w:rPr>
            <w:rStyle w:val="Hipervnculo"/>
          </w:rPr>
          <w:t>en cascada</w:t>
        </w:r>
        <w:r w:rsidR="001C6219">
          <w:rPr>
            <w:rStyle w:val="Hipervnculo"/>
          </w:rPr>
          <w:t>,</w:t>
        </w:r>
      </w:hyperlink>
    </w:p>
    <w:p w:rsidR="001C6219" w:rsidRDefault="00FC0FB1" w:rsidP="001C6219">
      <w:hyperlink r:id="rId488" w:history="1">
        <w:r w:rsidR="001C6219">
          <w:rPr>
            <w:rStyle w:val="Hipervnculo"/>
          </w:rPr>
          <w:t>QA00198 — «Beneficiario» en casos de ayuda estatal concedida en virtud de los artículos 20 o 20 bis del RGEC</w:t>
        </w:r>
      </w:hyperlink>
    </w:p>
    <w:p w:rsidR="001C6219" w:rsidRDefault="001C6219" w:rsidP="001C6219"/>
    <w:p w:rsidR="001C6219" w:rsidRDefault="001C6219" w:rsidP="001C6219">
      <w:pPr>
        <w:pStyle w:val="P68B1DB1-Normal1"/>
      </w:pPr>
      <w:r>
        <w:t>Pregunta 1 — Relevancia de las ayudas de minimis en el contexto de las ayudas estatales en el RDC</w:t>
      </w:r>
    </w:p>
    <w:p w:rsidR="001C6219" w:rsidRDefault="001C6219" w:rsidP="001C6219">
      <w:r>
        <w:lastRenderedPageBreak/>
        <w:t>De minimis no se incluye explícitamente en la definición de ayuda estatal del RDC 2021-2027, a diferencia del RDC 1303/2013 (artículo 2, apartado 13).</w:t>
      </w:r>
    </w:p>
    <w:p w:rsidR="001C6219" w:rsidRDefault="001C6219" w:rsidP="001C6219">
      <w:r>
        <w:t>En el RDC 2021-2027 ya no aparece la definición de «ayuda estatal». Sin embargo, el concepto de ayuda estatal se menciona en diferentes puntos, en particular:</w:t>
      </w:r>
    </w:p>
    <w:p w:rsidR="001C6219" w:rsidRDefault="001C6219" w:rsidP="001C6219"/>
    <w:p w:rsidR="001C6219" w:rsidRDefault="001C6219" w:rsidP="001C6219">
      <w:pPr>
        <w:numPr>
          <w:ilvl w:val="0"/>
          <w:numId w:val="173"/>
        </w:numPr>
      </w:pPr>
      <w:r>
        <w:t>«Ayudas estatales contempladas en los artículos 107 y 108 del TFUE» (considerando 6)</w:t>
      </w:r>
    </w:p>
    <w:p w:rsidR="001C6219" w:rsidRDefault="001C6219" w:rsidP="001C6219">
      <w:pPr>
        <w:numPr>
          <w:ilvl w:val="0"/>
          <w:numId w:val="173"/>
        </w:numPr>
      </w:pPr>
      <w:r>
        <w:t>«Ayuda estatal» (artículos 2.9, 53.2, 58.2, 66.2, 65, 82.1, 91.5, anexos III, XVII, XX, XXI, XXII, XXIII, XXIV)</w:t>
      </w:r>
    </w:p>
    <w:p w:rsidR="001C6219" w:rsidRDefault="001C6219" w:rsidP="001C6219">
      <w:pPr>
        <w:numPr>
          <w:ilvl w:val="0"/>
          <w:numId w:val="173"/>
        </w:numPr>
      </w:pPr>
      <w:r>
        <w:t>«Regímenes de ayuda en virtud del artículo 107 del TFUE» (artículo 91, apartado 6, y ámbito correspondiente en el anexo XVII)</w:t>
      </w:r>
    </w:p>
    <w:p w:rsidR="001C6219" w:rsidRDefault="001C6219" w:rsidP="001C6219">
      <w:r>
        <w:t>En algunos casos, se hace referencia a reglamentos específicos, por ejemplo, al Reglamento (UE) n.º 651/2014 y a los reglamentos de minimis. (Por ejemplo, para el RGEC, véanse los artículos 2.27 y 66; para las ayudas de minimis, véanse el artículo 2.9 y los anexos XIII y XVII).</w:t>
      </w:r>
    </w:p>
    <w:p w:rsidR="001C6219" w:rsidRDefault="001C6219" w:rsidP="001C6219">
      <w:pPr>
        <w:numPr>
          <w:ilvl w:val="0"/>
          <w:numId w:val="174"/>
        </w:numPr>
      </w:pPr>
      <w:r>
        <w:t xml:space="preserve">La cuestión principal es si las ayudas </w:t>
      </w:r>
      <w:r>
        <w:rPr>
          <w:u w:val="single"/>
        </w:rPr>
        <w:t>de minimis deben considerarse incluidas en el concepto de «ayuda estatal» en todas las referencias anteriores (y en cualquier otra referencia en el RDC) o no.</w:t>
      </w:r>
    </w:p>
    <w:p w:rsidR="001C6219" w:rsidRDefault="001C6219" w:rsidP="001C6219">
      <w:r>
        <w:t>De no ser así, parece razonable suponer que las normas de minimis se ajustan a las normas sobre subvenciones que no tienen carácter de ayuda.</w:t>
      </w:r>
    </w:p>
    <w:p w:rsidR="001C6219" w:rsidRDefault="001C6219" w:rsidP="001C6219">
      <w:pPr>
        <w:pStyle w:val="P68B1DB1-Normal2"/>
      </w:pPr>
      <w:r>
        <w:t>En particular, por ejemplo</w:t>
      </w:r>
    </w:p>
    <w:p w:rsidR="001C6219" w:rsidRDefault="001C6219" w:rsidP="001C6219">
      <w:r>
        <w:rPr>
          <w:b/>
        </w:rPr>
        <w:t>A.1</w:t>
      </w:r>
      <w:r>
        <w:t xml:space="preserve"> En cuanto a las solicitudes de pago, el artículo 91.5 establece que, no obstante lo dispuesto en el apartado 3, en el caso de las «ayudas estatales», la solicitud de pago podrá incluir anticipos en determinadas condiciones. </w:t>
      </w:r>
      <w:r>
        <w:rPr>
          <w:u w:val="single"/>
        </w:rPr>
        <w:t>En el caso de minimis, ¿pueden incluirse anticipos en una solicitud de pago?</w:t>
      </w:r>
    </w:p>
    <w:p w:rsidR="001C6219" w:rsidRDefault="001C6219" w:rsidP="001C6219">
      <w:r>
        <w:rPr>
          <w:b/>
        </w:rPr>
        <w:t>A.2</w:t>
      </w:r>
      <w:r>
        <w:t xml:space="preserve"> Asimismo, en el contexto del artículo 91, apartado 6, establece que «en el caso de los regímenes de ayuda en virtud del artículo 107 del TFUE, la contribución pública correspondiente al gasto incluido en una solicitud de pago deberá haber sido abonada a los beneficiarios por el organismo que conceda la ayuda», «no obstante lo dispuesto en la letra c) del apartado 3», según la cual las solicitudes de pago incluyen «el importe total de la contribución pública realizada o por realizar». </w:t>
      </w:r>
    </w:p>
    <w:p w:rsidR="001C6219" w:rsidRDefault="001C6219" w:rsidP="001C6219">
      <w:pPr>
        <w:pStyle w:val="P68B1DB1-Normal2"/>
      </w:pPr>
      <w:r>
        <w:t>¿Queda de minimis fuera de los «regímenes de ayuda»? En caso afirmativo, no será necesario pagar los recursos al beneficiario antes de incluirlos en una solicitud de pago. Más aún, si el Estado miembro o la AG ha establecido que el beneficiario es el objeto de la ayuda.</w:t>
      </w:r>
    </w:p>
    <w:p w:rsidR="001C6219" w:rsidRDefault="001C6219" w:rsidP="001C6219">
      <w:r>
        <w:rPr>
          <w:b/>
        </w:rPr>
        <w:t>A.3</w:t>
      </w:r>
      <w:r>
        <w:t xml:space="preserve"> En cuanto a los instrumentos financieros, el artículo 58, apartado 2, establece que «dicha ayuda cumple las normas aplicables de la Unión en materia de ayudas estatales» y, en el anexo XIII correspondiente, entre los elementos obligatorios de la pista de auditoría de los instrumentos financieros solo se mencionan las «declaraciones realizadas en relación con las ayudas de minimis». No se mencionan otros puntos de control de ninguna otra ayuda aplicable.</w:t>
      </w:r>
    </w:p>
    <w:p w:rsidR="001C6219" w:rsidRDefault="001C6219" w:rsidP="001C6219">
      <w:pPr>
        <w:pStyle w:val="P68B1DB1-Normal2"/>
      </w:pPr>
      <w:r>
        <w:lastRenderedPageBreak/>
        <w:t>Por lo tanto, ¿es correcto suponer que el principio de minimis está incluido, a todos los efectos, en las disposiciones del artículo 58.2?</w:t>
      </w:r>
    </w:p>
    <w:p w:rsidR="001C6219" w:rsidRDefault="001C6219" w:rsidP="001C6219"/>
    <w:p w:rsidR="001C6219" w:rsidRDefault="001C6219" w:rsidP="001C6219">
      <w:pPr>
        <w:pStyle w:val="P68B1DB1-Normal1"/>
      </w:pPr>
      <w:r>
        <w:t>Respuesta a la pregunta 1:</w:t>
      </w:r>
    </w:p>
    <w:p w:rsidR="001C6219" w:rsidRDefault="001C6219" w:rsidP="001C6219">
      <w:r>
        <w:t xml:space="preserve">El RDC para el período de programación 2021-2027 ya no establece una definición específica de ayuda estatal. Por lo tanto, siempre que el RDC establezca disposiciones específicas para las operaciones que entran en el ámbito de las ayudas estatales, </w:t>
      </w:r>
      <w:r>
        <w:rPr>
          <w:b/>
        </w:rPr>
        <w:t xml:space="preserve">estas disposiciones no se aplican a la ayuda proporcionada a los beneficiarios en el marco </w:t>
      </w:r>
      <w:r>
        <w:rPr>
          <w:b/>
          <w:i/>
        </w:rPr>
        <w:t>de las ayudas</w:t>
      </w:r>
      <w:r>
        <w:rPr>
          <w:b/>
        </w:rPr>
        <w:t xml:space="preserve"> </w:t>
      </w:r>
      <w:r>
        <w:rPr>
          <w:b/>
          <w:i/>
        </w:rPr>
        <w:t>de minimis</w:t>
      </w:r>
      <w:r>
        <w:rPr>
          <w:b/>
        </w:rPr>
        <w:t xml:space="preserve">, </w:t>
      </w:r>
      <w:r w:rsidR="002F3719">
        <w:rPr>
          <w:b/>
        </w:rPr>
        <w:t xml:space="preserve">ya que, </w:t>
      </w:r>
      <w:r>
        <w:rPr>
          <w:b/>
        </w:rPr>
        <w:t>las ayudas de minimis no se consideran ayudas estatales de conformidad con el artículo 107 del</w:t>
      </w:r>
      <w:r>
        <w:t xml:space="preserve"> TFUE.</w:t>
      </w:r>
    </w:p>
    <w:p w:rsidR="001C6219" w:rsidRDefault="001C6219" w:rsidP="001C6219">
      <w:r>
        <w:t xml:space="preserve">Este es el caso, en particular, de los artículos 91 (5) del RDC y (6). Estas disposiciones no se aplican a las ayudas </w:t>
      </w:r>
      <w:r>
        <w:rPr>
          <w:i/>
        </w:rPr>
        <w:t>de minimis</w:t>
      </w:r>
      <w:r>
        <w:t xml:space="preserve">, </w:t>
      </w:r>
      <w:r w:rsidR="002F3719">
        <w:t xml:space="preserve">ya que, </w:t>
      </w:r>
      <w:r>
        <w:t xml:space="preserve">las ayudas </w:t>
      </w:r>
      <w:r>
        <w:rPr>
          <w:i/>
        </w:rPr>
        <w:t>de minimis</w:t>
      </w:r>
      <w:r>
        <w:t xml:space="preserve"> no se consideran ayudas estatales.</w:t>
      </w:r>
    </w:p>
    <w:p w:rsidR="001C6219" w:rsidRDefault="001C6219" w:rsidP="001C6219">
      <w:r>
        <w:t xml:space="preserve">Por lo que se refiere al artículo 58, apartado 2, del RDC, aunque </w:t>
      </w:r>
      <w:r>
        <w:rPr>
          <w:i/>
        </w:rPr>
        <w:t>las ayudas</w:t>
      </w:r>
      <w:r>
        <w:t xml:space="preserve"> de minimis no se consideren ayudas estatales, todas las operaciones, incluso cuando se apoyen en forma de instrumento financiero, deben cumplir la legislación aplicable. Por «legislación aplicable», esto también incluye el cumplimiento del Reglamento sobre ayudas </w:t>
      </w:r>
      <w:r>
        <w:rPr>
          <w:i/>
        </w:rPr>
        <w:t>de minimis</w:t>
      </w:r>
      <w:r>
        <w:t xml:space="preserve"> (si procede) y, por ejemplo, cuando se hagan autodeclaraciones en el contexto de minimis, estas se registrarán de conformidad con el punto 8 del anexo XIII.</w:t>
      </w:r>
    </w:p>
    <w:p w:rsidR="001C6219" w:rsidRDefault="001C6219" w:rsidP="001C6219">
      <w:r>
        <w:t xml:space="preserve">Para más información, véase también QA00144 </w:t>
      </w:r>
      <w:hyperlink r:id="rId489" w:history="1">
        <w:r>
          <w:rPr>
            <w:rStyle w:val="Hipervnculo"/>
          </w:rPr>
          <w:t xml:space="preserve">— OCS en operaciones sujetas a </w:t>
        </w:r>
        <w:r>
          <w:rPr>
            <w:rStyle w:val="Hipervnculo"/>
            <w:i/>
          </w:rPr>
          <w:t>ayudas de minimis</w:t>
        </w:r>
        <w:r>
          <w:rPr>
            <w:rStyle w:val="Hipervnculo"/>
          </w:rPr>
          <w:t xml:space="preserve"> — QA 21-27 — RegioWiki (europa.eu)</w:t>
        </w:r>
      </w:hyperlink>
      <w:r>
        <w:t>.</w:t>
      </w:r>
    </w:p>
    <w:p w:rsidR="001C6219" w:rsidRDefault="001C6219" w:rsidP="001C6219"/>
    <w:p w:rsidR="001C6219" w:rsidRDefault="001C6219" w:rsidP="001C6219">
      <w:pPr>
        <w:pStyle w:val="P68B1DB1-Normal1"/>
      </w:pPr>
      <w:r>
        <w:t>Pregunta 2 — Medidas de formación profesional — beneficiario y ayuda estatal</w:t>
      </w:r>
    </w:p>
    <w:p w:rsidR="001C6219" w:rsidRDefault="001C6219" w:rsidP="001C6219">
      <w:r>
        <w:t>La definición de beneficiario que figura en el artículo 2, apartado 9, del RDC, en la medida en que sea pertinente para las ayudas estatales, se estructura como sigue:</w:t>
      </w:r>
    </w:p>
    <w:p w:rsidR="001C6219" w:rsidRDefault="001C6219" w:rsidP="001C6219">
      <w:pPr>
        <w:numPr>
          <w:ilvl w:val="0"/>
          <w:numId w:val="175"/>
        </w:numPr>
      </w:pPr>
      <w:r>
        <w:t>una disposición general a que se refiere la letra a) «un organismo público o privado, una entidad con o sin personalidad jurídica, o una persona física, responsable de iniciar o de iniciar y ejecutar operaciones».</w:t>
      </w:r>
    </w:p>
    <w:p w:rsidR="001C6219" w:rsidRDefault="001C6219" w:rsidP="001C6219">
      <w:pPr>
        <w:numPr>
          <w:ilvl w:val="0"/>
          <w:numId w:val="175"/>
        </w:numPr>
      </w:pPr>
      <w:r>
        <w:t>otra definición de ayuda estatal a que se refiere la letra c) «empresa beneficiaria de la ayuda»</w:t>
      </w:r>
    </w:p>
    <w:p w:rsidR="001C6219" w:rsidRDefault="001C6219" w:rsidP="001C6219">
      <w:pPr>
        <w:numPr>
          <w:ilvl w:val="0"/>
          <w:numId w:val="175"/>
        </w:numPr>
      </w:pPr>
      <w:r>
        <w:t>una especificación para el caso de minimis mencionado en la letra d): «El Estado miembro podrá decidir que, a efectos del presente Reglamento, el beneficiario sea el organismo que concede la ayuda, cuando sea responsable de iniciar o de iniciar y ejecutar la operación».</w:t>
      </w:r>
    </w:p>
    <w:p w:rsidR="001C6219" w:rsidRDefault="001C6219" w:rsidP="001C6219"/>
    <w:p w:rsidR="001C6219" w:rsidRDefault="001C6219" w:rsidP="001C6219">
      <w:r>
        <w:t>Además, en relación con el «beneficiario», en la nota 2 del anexo XVII relativa a los datos que deben registrarse y almacenarse electrónicamente en cada operación, se detalla que «el beneficiario incluirá, en su caso, a otros organismos que, en el marco de la operación, incurran en gastos asimilados a gastos efectuados por el beneficiario».</w:t>
      </w:r>
    </w:p>
    <w:p w:rsidR="001C6219" w:rsidRDefault="001C6219" w:rsidP="001C6219">
      <w:r>
        <w:t xml:space="preserve">Las definiciones de beneficiario también son pertinentes para el diseño de medidas de formación para empresas, financiadas principalmente por el FSE +. A este respecto, el </w:t>
      </w:r>
      <w:r>
        <w:lastRenderedPageBreak/>
        <w:t>sistema productivo italiano se caracteriza por una presencia muy amplia de empresas medianas, pequeñas y microempresas (también familiares). La formación profesional de las empresas, basada en una política pública de oferta de formación, está garantizada, con el fin de apoyar su calidad, mediante un sistema de acreditación de los organismos de formación. Estos organismos también garantizan los conocimientos y competencias necesarios para activar la financiación.</w:t>
      </w:r>
    </w:p>
    <w:p w:rsidR="001C6219" w:rsidRDefault="001C6219" w:rsidP="001C6219"/>
    <w:p w:rsidR="001C6219" w:rsidRDefault="001C6219" w:rsidP="001C6219">
      <w:r>
        <w:t>En un sistema de este tipo, las agencias de formación son responsables de organizar la formación que beneficiará a las empresas. Las obligaciones del proyecto (publicidad, seguimiento, etc.) son responsabilidad de la agencia de formación, que es el responsable y el único referente de la operación; las empresas que se benefician de la formación pueden estar cubiertas por el Reglamento de exención por categorías o por el RGEC.</w:t>
      </w:r>
    </w:p>
    <w:p w:rsidR="001C6219" w:rsidRDefault="001C6219" w:rsidP="001C6219">
      <w:r>
        <w:t xml:space="preserve">A la luz de lo anterior, nos gustaría confirmar </w:t>
      </w:r>
      <w:r>
        <w:rPr>
          <w:u w:val="single"/>
        </w:rPr>
        <w:t>si en este tipo de regímenes — regímenes de formación para los trabajadores de las empresas- las agencias de formación pueden ser designadas como beneficiarias, de conformidad con la definición del artículo 2 (9) (a) del RDC, incluso en los casos en que las empresas que se benefician de la formación no están cubiertas por ayudas de minimis, sino por normas sobre ayudas estatales (es decir, el RGEC)?</w:t>
      </w:r>
    </w:p>
    <w:p w:rsidR="001C6219" w:rsidRDefault="001C6219" w:rsidP="001C6219"/>
    <w:p w:rsidR="001C6219" w:rsidRDefault="001C6219" w:rsidP="001C6219">
      <w:pPr>
        <w:pStyle w:val="P68B1DB1-Normal1"/>
      </w:pPr>
      <w:r>
        <w:t>Respuesta a la pregunta 2:</w:t>
      </w:r>
    </w:p>
    <w:p w:rsidR="001C6219" w:rsidRDefault="001C6219" w:rsidP="001C6219">
      <w:r>
        <w:t>El artículo 2, apartado 9, del RDC establece en la letra a) la norma general para la definición de beneficiario.</w:t>
      </w:r>
    </w:p>
    <w:p w:rsidR="001C6219" w:rsidRDefault="001C6219" w:rsidP="001C6219">
      <w:r>
        <w:t>Por regla general, el beneficiario es «un organismo público o privado, una entidad con o sin personalidad jurídica, o una persona física, responsable de iniciar o de iniciar y ejecutar las operaciones».</w:t>
      </w:r>
    </w:p>
    <w:p w:rsidR="001C6219" w:rsidRDefault="001C6219" w:rsidP="001C6219">
      <w:r>
        <w:t xml:space="preserve">Además, también establece normas específicas con respecto a la definición de «beneficiario» para determinados casos, por ejemplo, en el caso de los regímenes de ayudas estatales [letra c)] y en el caso </w:t>
      </w:r>
      <w:r>
        <w:rPr>
          <w:i/>
        </w:rPr>
        <w:t>de las ayudas de minimis</w:t>
      </w:r>
      <w:r>
        <w:t xml:space="preserve"> [letra d)].</w:t>
      </w:r>
    </w:p>
    <w:p w:rsidR="001C6219" w:rsidRDefault="001C6219" w:rsidP="001C6219">
      <w:r>
        <w:t xml:space="preserve">En el caso de los regímenes de ayudas estatales, el artículo 2, apartado 9, letra c), del RDC determina que el beneficiario </w:t>
      </w:r>
      <w:r>
        <w:rPr>
          <w:b/>
        </w:rPr>
        <w:t>será la empresa que recibe</w:t>
      </w:r>
      <w:r>
        <w:t xml:space="preserve"> la ayuda.</w:t>
      </w:r>
    </w:p>
    <w:p w:rsidR="001C6219" w:rsidRDefault="001C6219" w:rsidP="001C6219">
      <w:r>
        <w:t xml:space="preserve">En el caso </w:t>
      </w:r>
      <w:r>
        <w:rPr>
          <w:i/>
        </w:rPr>
        <w:t>de las ayudas de minimis</w:t>
      </w:r>
      <w:r>
        <w:t xml:space="preserve">, de conformidad con el artículo 2, apartado 9, letra d), la autoridad </w:t>
      </w:r>
      <w:r>
        <w:rPr>
          <w:b/>
        </w:rPr>
        <w:t>de gestión podrá considerar que el beneficiario es el organismo que concede</w:t>
      </w:r>
      <w:r>
        <w:t xml:space="preserve"> la ayuda, cuando dicho organismo sea responsable de iniciar o iniciar y ejecutar la operación.</w:t>
      </w:r>
    </w:p>
    <w:p w:rsidR="001C6219" w:rsidRDefault="001C6219" w:rsidP="001C6219">
      <w:r>
        <w:t>Entendemos que la cuestión es si, en el caso de una operación consistente en la organización de actividades de formación por parte de agencias u organismos de formación en beneficio de los trabajadores de las empresas (es decir, los participantes en el sentido del artículo 2, apartado 40, del RDC), el beneficiario de la ayuda proporcionada por los Fondos podría considerarse la agencia de formación responsable de organizar la formación. Entendemos también que, en este régimen, la autoridad de gestión no concede ayudas directas a las empresas que se benefician de la formación.</w:t>
      </w:r>
    </w:p>
    <w:p w:rsidR="001C6219" w:rsidRDefault="001C6219" w:rsidP="001C6219">
      <w:r>
        <w:lastRenderedPageBreak/>
        <w:t>Sobre la base de la interpretación anterior, pueden surgir tres escenarios, dependiendo de cómo se establezca el régimen a nivel de Estado miembro:</w:t>
      </w:r>
    </w:p>
    <w:p w:rsidR="001C6219" w:rsidRDefault="001C6219" w:rsidP="001C6219">
      <w:r>
        <w:t xml:space="preserve">Al margen de los regímenes de ayudas estatales, la agencia de formación se considera «beneficiario» de conformidad con el artículo 2, apartado 9, letra a), del RDC, </w:t>
      </w:r>
      <w:r w:rsidR="002F3719">
        <w:t xml:space="preserve">ya que, </w:t>
      </w:r>
      <w:r>
        <w:t>es el organismo responsable de iniciar y ejecutar la operación (es decir, el organismo responsable de organizar la formación para los trabajadores). </w:t>
      </w:r>
    </w:p>
    <w:p w:rsidR="001C6219" w:rsidRDefault="001C6219" w:rsidP="001C6219">
      <w:r>
        <w:t xml:space="preserve">En caso de que la operación se establezca en el contexto </w:t>
      </w:r>
      <w:r>
        <w:rPr>
          <w:i/>
        </w:rPr>
        <w:t>de las ayudas de minimis</w:t>
      </w:r>
      <w:r>
        <w:t>, el Estado miembro podrá decidir que el beneficiario a efectos del presente Reglamento sea el organismo que concede la ayuda, cuando sea responsable de iniciar o de iniciar y ejecutar la operación de conformidad con el artículo 2, apartado 9, letra d), del RDC, por lo que en este caso entendemos que pueden ser las agencias de formación.</w:t>
      </w:r>
    </w:p>
    <w:p w:rsidR="001C6219" w:rsidRDefault="001C6219" w:rsidP="001C6219">
      <w:r>
        <w:t xml:space="preserve">En caso de que el organismo de formación reciba ayuda en el marco de un régimen de ayudas estatales (por ejemplo, el RGEC), en el contexto del RDC, </w:t>
      </w:r>
      <w:r>
        <w:rPr>
          <w:i/>
        </w:rPr>
        <w:t>el beneficiario se define como «la empresa que recibe la ayuda»</w:t>
      </w:r>
      <w:r>
        <w:t>, que debe entenderse como la entidad que recibe ayuda financiera de los Fondos para llevar a cabo una operación seleccionada por el programa. Esto significa que, por lo que se refiere al ejemplo específico indicado en los hechos, en el que las agencias de formación reciben apoyo financiero para organizar actividades de formación en beneficio de las empresas o los trabajadores de las empresas, el beneficiario en el sentido del artículo 2, apartado 9, del RDC, letra c), también serían las agencias de formación.</w:t>
      </w:r>
    </w:p>
    <w:p w:rsidR="001C6219" w:rsidRDefault="001C6219" w:rsidP="001C6219">
      <w:r>
        <w:t xml:space="preserve">Por lo tanto, en los dos primeros escenarios, la agencia de formación siempre se consideraría un beneficiario, </w:t>
      </w:r>
      <w:r w:rsidR="002F3719">
        <w:t xml:space="preserve">ya que, </w:t>
      </w:r>
      <w:r>
        <w:t xml:space="preserve">es el organismo responsable de iniciar y ejecutar la operación, es decir, de organizar la formación. Además, en el tercer supuesto (en caso de que el apoyo prestado a la agencia de formación se considere ayuda estatal), el organismo de formación también se considera beneficiario, </w:t>
      </w:r>
      <w:r w:rsidR="002F3719">
        <w:t xml:space="preserve">ya que, </w:t>
      </w:r>
      <w:r>
        <w:t>es la empresa que recibe la ayuda. Por lo tanto, en este tipo de regímenes, las empresas (empresas) que se benefician de la formación no se considerarían «beneficiarios» porque no reciben la ayuda financiera del programa (es la agencia de formación la que recibe la ayuda financiera) y tampoco son responsables de iniciar y ejecutar la operación, es decir, no organizan la formación.</w:t>
      </w:r>
    </w:p>
    <w:p w:rsidR="001C6219" w:rsidRDefault="001C6219" w:rsidP="001C6219">
      <w:r>
        <w:t>La conclusión sería diferente en caso de que la ayuda financiera de los Fondos llegue directamente a las empresas para que impartan u organicen actividades de formación para sus trabajadores: en tal caso, «</w:t>
      </w:r>
      <w:r>
        <w:rPr>
          <w:i/>
        </w:rPr>
        <w:t xml:space="preserve">empresa que recibe la ayuda» </w:t>
      </w:r>
      <w:r>
        <w:t xml:space="preserve">son las empresas que son beneficiarias de conformidad con el artículo 2, apartado 9, letra c), del RDC y no las posibles agencias de formación implicadas. Vale la pena aclarar que el mecanismo de uso en cascada (reconcesión) a que se refieren la </w:t>
      </w:r>
      <w:hyperlink w:anchor="scroll-bookmark-242" w:history="1">
        <w:r>
          <w:rPr>
            <w:rStyle w:val="Hipervnculo"/>
          </w:rPr>
          <w:t>AC 130</w:t>
        </w:r>
      </w:hyperlink>
      <w:r>
        <w:t xml:space="preserve"> o la </w:t>
      </w:r>
      <w:hyperlink w:anchor="scroll-bookmark-246" w:history="1">
        <w:r>
          <w:rPr>
            <w:rStyle w:val="Hipervnculo"/>
          </w:rPr>
          <w:t>AC 132</w:t>
        </w:r>
      </w:hyperlink>
      <w:r>
        <w:t xml:space="preserve"> no puede utilizarse en tal caso (es decir, cuando la ayuda financiera se concede de nuevo a empresas en el marco de un régimen de ayudas estatales).</w:t>
      </w:r>
    </w:p>
    <w:p w:rsidR="001C6219" w:rsidRDefault="001C6219" w:rsidP="001C6219">
      <w:r>
        <w:t xml:space="preserve">El cumplimiento de las normas aplicables sobre ayudas estatales o del Reglamento sobre ayudas </w:t>
      </w:r>
      <w:r>
        <w:rPr>
          <w:i/>
        </w:rPr>
        <w:t>de minimis</w:t>
      </w:r>
      <w:r>
        <w:t xml:space="preserve"> aún debe garantizarse a cada nivel (agencia de formación, empresas que participan en la formación) en la ejecución de esta operación por parte de los Estados miembros.</w:t>
      </w:r>
    </w:p>
    <w:p w:rsidR="001C6219" w:rsidRDefault="001C6219" w:rsidP="001C6219">
      <w:pPr>
        <w:pStyle w:val="P68B1DB1-Normal1"/>
      </w:pPr>
      <w:r>
        <w:t> </w:t>
      </w:r>
    </w:p>
    <w:p w:rsidR="001C6219" w:rsidRDefault="001C6219" w:rsidP="001C6219">
      <w:pPr>
        <w:pStyle w:val="P68B1DB1-Normal1"/>
      </w:pPr>
      <w:r>
        <w:lastRenderedPageBreak/>
        <w:t>Pregunta 3 — Posibilidad de considerar quién concede la subvención como beneficiario, en el caso de las convocatorias de propuestas de minimis y RGEC, por importes inferiores a 200 EUR por empresa.</w:t>
      </w:r>
    </w:p>
    <w:p w:rsidR="001C6219" w:rsidRDefault="001C6219" w:rsidP="001C6219">
      <w:r>
        <w:t>Según el contenido del registro de preguntas y respuestas de la CE para el período de programación 2021-2027, en concreto el número 72 sobre las operaciones que combinan de minimis con otros marcos de ayudas, «sin perjuicio de las condiciones establecidas en las normas sobre ayudas estatales, la solución más adecuada es no exigir el uso de opciones de costes simplificados (en el caso de las ayudas de minimis combinadas con otras ayudas). Esta solución ofrece la máxima simplicidad y flexibilidad a la autoridad de gestión.»</w:t>
      </w:r>
    </w:p>
    <w:p w:rsidR="001C6219" w:rsidRDefault="001C6219" w:rsidP="001C6219">
      <w:r>
        <w:t>Del mismo modo, en el caso de una convocatoria de ayudas de importe inferior a 200,000 EUR, en aras de la simplicidad y la flexibilidad, sería útil normalizar los métodos de gestión, permitiendo que el beneficiario sea el beneficiario de todos los proyectos atribuibles a la operación, tanto regulados por el Reglamento de minimis como por el Reglamento de exención.</w:t>
      </w:r>
    </w:p>
    <w:p w:rsidR="001C6219" w:rsidRDefault="001C6219" w:rsidP="001C6219">
      <w:pPr>
        <w:pStyle w:val="P68B1DB1-Normal2"/>
      </w:pPr>
      <w:r>
        <w:t>Aclaren si es posible que las operaciones financiadas por los programas del FSE +, en referencia tanto al Reglamento (CE) no 1407/2013 como al Reglamento (CE) no 651/2014, identifiquen al organismo que concede la ayuda como beneficiario de la operación. Por lo tanto, en el caso de una convocatoria (considerándola una operación) que combine el RGEC y el de minimis, en la que la elección del marco aplicable se deja a la empresa beneficiaria de la financiación (en cualquier caso, por debajo de 200 EUR, 000 EUR), ¿es posible, al igual que en el caso de minimis (artículo 2.9, letra d)), que el Estado miembro/AG decida para todos los proyectos que el beneficiario es el organismo que concede la ayuda?</w:t>
      </w:r>
    </w:p>
    <w:p w:rsidR="001C6219" w:rsidRDefault="001C6219" w:rsidP="001C6219">
      <w:pPr>
        <w:pStyle w:val="P68B1DB1-Normal1"/>
      </w:pPr>
      <w:r>
        <w:t>Respuesta a la pregunta 3:</w:t>
      </w:r>
    </w:p>
    <w:p w:rsidR="001C6219" w:rsidRDefault="001C6219" w:rsidP="001C6219">
      <w:r>
        <w:t xml:space="preserve">Como se ha explicado anteriormente, independientemente de si el beneficiario debe cumplir las normas sobre ayudas estatales o las normas </w:t>
      </w:r>
      <w:r>
        <w:rPr>
          <w:i/>
        </w:rPr>
        <w:t>de minimis</w:t>
      </w:r>
      <w:r>
        <w:t xml:space="preserve"> o incluso ambas al mismo tiempo, la operación está sujeta al artículo 53, </w:t>
      </w:r>
      <w:r>
        <w:rPr>
          <w:u w:val="single"/>
        </w:rPr>
        <w:t>apartado 2,</w:t>
      </w:r>
      <w:r>
        <w:t xml:space="preserve"> del RDC, a menos que su </w:t>
      </w:r>
      <w:r>
        <w:rPr>
          <w:u w:val="single"/>
        </w:rPr>
        <w:t xml:space="preserve">coste total supere los 200 </w:t>
      </w:r>
      <w:r>
        <w:t>000 EUR o constituya ayuda estatal (es decir, a menos que la agencia de formación se considere una empresa en el sentido del artículo 107 del TFUE).</w:t>
      </w:r>
    </w:p>
    <w:p w:rsidR="001C6219" w:rsidRDefault="001C6219" w:rsidP="001C6219"/>
    <w:p w:rsidR="001C6219" w:rsidRDefault="001C6219" w:rsidP="001C6219">
      <w:pPr>
        <w:pStyle w:val="P68B1DB1-Normal1"/>
      </w:pPr>
      <w:r>
        <w:t>Pregunta 4 — Sobre el supuesto de que el organismo de formación sea el beneficiario, al ser también un organismo que concede la ayuda, ¿se aplican los apartados 5 y 6 del artículo 91 a las ayudas concedidas por la agencia sujetas a las normas sobre ayudas estatales? ¿Y de minimis?</w:t>
      </w:r>
    </w:p>
    <w:p w:rsidR="001C6219" w:rsidRDefault="001C6219" w:rsidP="001C6219">
      <w:pPr>
        <w:pStyle w:val="P68B1DB1-Normal1"/>
      </w:pPr>
      <w:r>
        <w:t>Respuesta a la pregunta 4:</w:t>
      </w:r>
    </w:p>
    <w:p w:rsidR="001C6219" w:rsidRDefault="001C6219" w:rsidP="001C6219">
      <w:r>
        <w:t xml:space="preserve">Los artículos 91 (5) y (6) del RDC solo se aplican </w:t>
      </w:r>
      <w:r>
        <w:rPr>
          <w:b/>
        </w:rPr>
        <w:t xml:space="preserve">en caso de que la ayuda al beneficiario constituya ayuda estatal. </w:t>
      </w:r>
      <w:r w:rsidR="0001326E">
        <w:rPr>
          <w:b/>
        </w:rPr>
        <w:t xml:space="preserve">Por lo </w:t>
      </w:r>
      <w:r>
        <w:t>tanto, a menos que el apoyo al organismo de formación constituya ayuda estatal, el artículo 91, apartado 5, y (6) del RDC no son aplicables.</w:t>
      </w:r>
    </w:p>
    <w:p w:rsidR="001C6219" w:rsidRDefault="001C6219" w:rsidP="001C6219"/>
    <w:p w:rsidR="001C6219" w:rsidRDefault="001C6219" w:rsidP="001C6219"/>
    <w:p w:rsidR="001C6219" w:rsidRDefault="001C6219" w:rsidP="001C6219">
      <w:pPr>
        <w:pStyle w:val="Ttulo1"/>
      </w:pPr>
      <w:bookmarkStart w:id="357" w:name="scroll-bookmark-391"/>
      <w:bookmarkStart w:id="358" w:name="scroll-bookmark-392"/>
      <w:bookmarkEnd w:id="357"/>
      <w:r>
        <w:lastRenderedPageBreak/>
        <w:t>QA00200 — OCS — campos de datos 23 y 24 del anexo XVII y cumplimiento de la duración máxima del tiempo de trabajo en caso de costes unitarios</w:t>
      </w:r>
      <w:bookmarkEnd w:id="358"/>
    </w:p>
    <w:p w:rsidR="001C6219" w:rsidRDefault="001C6219" w:rsidP="001C6219">
      <w:r>
        <w:rPr>
          <w:noProof/>
          <w:lang w:val="es-ES"/>
        </w:rPr>
        <w:drawing>
          <wp:inline distT="0" distB="0" distL="0" distR="0" wp14:anchorId="0184B343" wp14:editId="5ADDC1AB">
            <wp:extent cx="152435" cy="152435"/>
            <wp:effectExtent l="0" t="0" r="0" b="0"/>
            <wp:docPr id="100723" name="Imagen 1007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53 del RDC</w:t>
      </w:r>
    </w:p>
    <w:p w:rsidR="001C6219" w:rsidRDefault="001C6219" w:rsidP="001C6219">
      <w:r>
        <w:t>Artículo 72 del RDC</w:t>
      </w:r>
    </w:p>
    <w:p w:rsidR="001C6219" w:rsidRDefault="001C6219" w:rsidP="001C6219">
      <w:r>
        <w:t>Artículo 74 del RDC</w:t>
      </w:r>
    </w:p>
    <w:p w:rsidR="001C6219" w:rsidRDefault="001C6219" w:rsidP="001C6219">
      <w:r>
        <w:t>Anexo XVII del RDC</w:t>
      </w:r>
    </w:p>
    <w:p w:rsidR="001C6219" w:rsidRDefault="001C6219" w:rsidP="001C6219">
      <w:r>
        <w:rPr>
          <w:noProof/>
          <w:lang w:val="es-ES"/>
        </w:rPr>
        <w:drawing>
          <wp:inline distT="0" distB="0" distL="0" distR="0" wp14:anchorId="085B9D09" wp14:editId="3DA40E07">
            <wp:extent cx="152435" cy="152435"/>
            <wp:effectExtent l="0" t="0" r="0" b="0"/>
            <wp:docPr id="100725" name="Imagen 1007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Nos gustaría obtener garantías sobre nuestra interpretación de la obligación de las autoridades de gestión de registrar y almacenar electrónicamente los datos de cada operación necesarios para el seguimiento, la evaluación, la gestión financiera, las verificaciones y las auditorías de conformidad con el anexo XVII del RDC [véase el artículo 72, apartado 1, letra e), del RDC], prestando especial atención a las operaciones, cuyos costes se financian a través de OCS.</w:t>
      </w:r>
    </w:p>
    <w:p w:rsidR="001C6219" w:rsidRDefault="001C6219" w:rsidP="001C6219">
      <w:r>
        <w:t>Nuestra pregunta se refiere a la obligación de registrar y almacenar datos establecida en las filas 23 y 24 del anexo XVII, es decir, datos sobre contratistas, sus titulares reales, contratos y subcontratistas en caso de procedimientos de contratación pública por encima de los umbrales de la Unión. Aunque las OCS cubren principalmente gastos que son marginales en su volumen, puede ocurrir que puedan financiarse a través de contrataciones públicas por encima de los umbrales de la Unión o formar parte de dichas contrataciones públicas, aunque constituyan la parte insignificante de la misma.</w:t>
      </w:r>
    </w:p>
    <w:p w:rsidR="001C6219" w:rsidRDefault="001C6219" w:rsidP="001C6219">
      <w:r>
        <w:t>Entendemos que las OCS existen para simplificar la administración, es decir, reducir tanto la carga administrativa para los beneficiarios como los costes para los organismos de ejecución y, por tanto, se rigen por normas especiales distintas de las que rigen la financiación basada en los costes reales.</w:t>
      </w:r>
    </w:p>
    <w:p w:rsidR="001C6219" w:rsidRDefault="001C6219" w:rsidP="001C6219">
      <w:r>
        <w:t>Tras una evaluación detallada, llegamos a la conclusión de que los campos de datos 23 y 24 no deben aplicarse a los gastos adquiridos y financiados a través de las OCS. La razón principal que nos llevó a esta conclusión es la siguiente.</w:t>
      </w:r>
    </w:p>
    <w:p w:rsidR="001C6219" w:rsidRDefault="001C6219" w:rsidP="001C6219">
      <w:r>
        <w:t xml:space="preserve">Aunque deban respetarse las normas de contratación pública, los documentos financieros o de contratación pública subyacentes no están sujetos a verificaciones y los importes (gastos) contraídos por el beneficiario y pagados no se exigirán que comprueben. Además, según la Decisión de la Comisión de 14. (5) 2019 por el que se establecen las directrices para la determinación de las correcciones financieras que deben aplicarse a los gastos financiados por la Unión en caso de incumplimiento de las normas aplicables en materia de contratación pública, las directrices no se aplican a las irregularidades que afecten a los gastos con arreglo a las normas sobre el uso de OCS. </w:t>
      </w:r>
      <w:r>
        <w:lastRenderedPageBreak/>
        <w:t>Además, no tenemos ninguna idea de cuál sería la finalidad de la recopilación de dichos datos y cómo posiblemente trabajar con estos datos en caso de gastos financiados a través de OCS a la hora de tener en cuenta las normas especiales que rigen las OCS.</w:t>
      </w:r>
    </w:p>
    <w:p w:rsidR="001C6219" w:rsidRDefault="001C6219" w:rsidP="001C6219">
      <w:r>
        <w:t>Por lo tanto, es evidente que no existe ninguna necesidad o razón para recopilar datos sobre las contrataciones públicas en el caso de los gastos, que se financian a través de las OCS, o no hemos encontrado ningún argumento que respalde el enfoque contrario. Esta es la razón por la que llegamos a la conclusión de que la obligación establecida en el artículo 72, apartado 1, letra e), del RDC en relación con los datos presentados 23 y 24 del anexo XVII no es pertinente para los gastos financiados a través de OCS.</w:t>
      </w:r>
    </w:p>
    <w:p w:rsidR="001C6219" w:rsidRDefault="001C6219" w:rsidP="001C6219">
      <w:r>
        <w:t>¿Podría confirmar o comentar nuestra comprensión?</w:t>
      </w:r>
    </w:p>
    <w:p w:rsidR="001C6219" w:rsidRDefault="001C6219" w:rsidP="001C6219">
      <w:pPr>
        <w:pStyle w:val="P68B1DB1-Normal1"/>
      </w:pPr>
      <w:r>
        <w:t>Respuesta a la pregunta 1:</w:t>
      </w:r>
    </w:p>
    <w:p w:rsidR="001C6219" w:rsidRDefault="001C6219" w:rsidP="001C6219"/>
    <w:p w:rsidR="001C6219" w:rsidRDefault="001C6219" w:rsidP="001C6219">
      <w:pPr>
        <w:pStyle w:val="P68B1DB1-Normal1"/>
      </w:pPr>
      <w:r>
        <w:t>La respuesta a esta pregunta se ha modificado en profundidad, reflejando el resultado de los debates en la reunión de la RET de REGIO sobre la simplificación.</w:t>
      </w:r>
    </w:p>
    <w:p w:rsidR="001C6219" w:rsidRDefault="001C6219" w:rsidP="001C6219">
      <w:pPr>
        <w:pStyle w:val="P68B1DB1-Normal1"/>
      </w:pPr>
      <w:r>
        <w:t>Consulte la respuesta revisada aquí:</w:t>
      </w:r>
    </w:p>
    <w:p w:rsidR="001C6219" w:rsidRDefault="00FC0FB1" w:rsidP="001C6219">
      <w:hyperlink w:anchor="scroll-bookmark-393" w:history="1">
        <w:r w:rsidR="001C6219">
          <w:rPr>
            <w:rStyle w:val="Hipervnculo"/>
          </w:rPr>
          <w:t>QA00270 — Respuesta revisada a la pregunta 1 de la QA00200 sobre OCS — Anexo XVII, campos de datos 23 y 24 (cumplimiento máximo del tiempo de trabajo en caso de costes unitarios)</w:t>
        </w:r>
      </w:hyperlink>
    </w:p>
    <w:p w:rsidR="001C6219" w:rsidRDefault="001C6219" w:rsidP="001C6219"/>
    <w:p w:rsidR="001C6219" w:rsidRDefault="001C6219" w:rsidP="001C6219">
      <w:pPr>
        <w:pStyle w:val="P68B1DB1-Normal7"/>
      </w:pPr>
      <w:r>
        <w:t xml:space="preserve">Las operaciones cubiertas por el reembolso de la contribución de la Unión por parte de la Comisión a un programa en forma de costes unitarios, sumarios a tanto alzado o tipos fijos de conformidad con el artículo 51 y 94 del RDC, </w:t>
      </w:r>
      <w:r w:rsidR="00637682">
        <w:t>u</w:t>
      </w:r>
      <w:r>
        <w:t xml:space="preserve"> operaciones en las que el Estado miembro preste ayuda a los beneficiarios en forma de costes unitarios, sumarios a tanto alzado o tipos fijos con arreglo al artículo 53 del RDC, no están excluidas de la obligación legal de la autoridad de gestión de registrar y almacenar electrónicamente los datos sobre cada operación establecidos en el anexo XVII del RDC, incluidos los campos 23 y 24 del presente anexo.</w:t>
      </w:r>
    </w:p>
    <w:p w:rsidR="001C6219" w:rsidRDefault="001C6219" w:rsidP="001C6219">
      <w:pPr>
        <w:pStyle w:val="P68B1DB1-Normal7"/>
      </w:pPr>
      <w:r>
        <w:t>Los costes subyacentes de las operaciones que utilizan opciones de costes simplificados no están sujetos a verificaciones y auditorías de gestión. Sin embargo, el registro y almacenamiento electrónico de los datos sobre contratistas, titulares reales de contratistas y subcontratistas no es incompatible con este enfoque. Esta información es necesaria para captar a todas las personas físicas o jurídicas que reciben ayuda de los fondos del RDC.</w:t>
      </w:r>
    </w:p>
    <w:p w:rsidR="001C6219" w:rsidRDefault="001C6219" w:rsidP="001C6219">
      <w:pPr>
        <w:pStyle w:val="P68B1DB1-Normal7"/>
      </w:pPr>
      <w:r>
        <w:t>Los datos sobre contratistas, titulares reales de contratistas o subcontratistas solo serán necesarios en caso de que el beneficiario u otras entidades que ejecuten la operación (aunque utilicen opciones de costes simplificados) la hagan (o parte de ella) de conformidad con las normas de contratación pública de la Unión y, en el caso de los subcontratistas del campo 24, solo cuando la información se registre sobre un contratista en el campo 23, y solo para los subcontratos que superen un valor total de 50 000 EUR (y solo el primer nivel de subcontratación).</w:t>
      </w:r>
    </w:p>
    <w:p w:rsidR="001C6219" w:rsidRDefault="001C6219" w:rsidP="001C6219"/>
    <w:p w:rsidR="001C6219" w:rsidRDefault="001C6219" w:rsidP="001C6219">
      <w:pPr>
        <w:pStyle w:val="P68B1DB1-Normal1"/>
      </w:pPr>
      <w:r>
        <w:t>Pregunta 2:</w:t>
      </w:r>
    </w:p>
    <w:p w:rsidR="001C6219" w:rsidRDefault="001C6219" w:rsidP="001C6219">
      <w:r>
        <w:lastRenderedPageBreak/>
        <w:t>Los costes unitarios se utilizarán para cubrir los costes salariales en el nuevo período de programación con arreglo al artículo 53, apartado 1, letra b), del Reglamento (UE) 2021/1060.</w:t>
      </w:r>
    </w:p>
    <w:p w:rsidR="001C6219" w:rsidRDefault="001C6219" w:rsidP="001C6219">
      <w:r>
        <w:t>Quisiéramos preguntarnos si es necesario, antes del pago de la subvención, verificar el cumplimiento de la duración máxima del tiempo de trabajo semanal que no exceda de 48 horas (1,2 equivalentes a tiempo completo, respectivamente), el artículo 6 y otros artículos de la Directiva 2003/88/CE relativa a determinados aspectos de la ordenación del tiempo de trabajo u otras legislaciones nacionales y de la UE.</w:t>
      </w:r>
    </w:p>
    <w:p w:rsidR="001C6219" w:rsidRDefault="001C6219" w:rsidP="001C6219">
      <w:pPr>
        <w:pStyle w:val="P68B1DB1-Normal1"/>
      </w:pPr>
      <w:r>
        <w:t> </w:t>
      </w:r>
    </w:p>
    <w:p w:rsidR="001C6219" w:rsidRDefault="001C6219" w:rsidP="001C6219">
      <w:r>
        <w:rPr>
          <w:i/>
        </w:rPr>
        <w:t> </w:t>
      </w:r>
      <w:r>
        <w:rPr>
          <w:b/>
        </w:rPr>
        <w:t>Respuesta a la pregunta 2:</w:t>
      </w:r>
    </w:p>
    <w:p w:rsidR="001C6219" w:rsidRDefault="001C6219" w:rsidP="001C6219">
      <w:r>
        <w:t>De conformidad con el artículo 74, apartado 1, letra a), y además con el artículo 74 (1) (a) (ii) del RDC, al llevar a cabo las verificaciones de la gestión, la autoridad de gestión debe verificar que se han entregado los productos y servicios cofinanciados, que la operación cumple la legislación aplicable, el programa y las condiciones para el apoyo de la operación, y, cuando los costes deban reembolsarse con arreglo al artículo 53, apartado 1, letras b), c) y d), del RDC, que se han cumplido las condiciones para el reembolso del gasto al beneficiario.</w:t>
      </w:r>
    </w:p>
    <w:p w:rsidR="001C6219" w:rsidRDefault="001C6219" w:rsidP="001C6219">
      <w:r>
        <w:t>Cuando se apliquen los costes unitarios establecidos de conformidad con el artículo 53, apartado 1, letra b), del RDC para el reembolso de los costes de personal de la operación, tal como se pide en la pregunta, el artículo 74, apartado 1, del RDC se aplicará a dicha operación y, en consecuencia, las verificaciones de gestión deben incluir la conformidad de la operación con la Directiva mencionada en la pregunta.</w:t>
      </w:r>
    </w:p>
    <w:p w:rsidR="001C6219" w:rsidRDefault="001C6219" w:rsidP="001C6219"/>
    <w:p w:rsidR="001C6219" w:rsidRDefault="001C6219" w:rsidP="001C6219">
      <w:r>
        <w:t>El alcance y el calendario de las verificaciones se establecen en el artículo 74, apartado 2, del RDC.</w:t>
      </w:r>
    </w:p>
    <w:p w:rsidR="001C6219" w:rsidRDefault="001C6219" w:rsidP="001C6219"/>
    <w:p w:rsidR="001C6219" w:rsidRDefault="001C6219" w:rsidP="001C6219"/>
    <w:p w:rsidR="001C6219" w:rsidRDefault="001C6219" w:rsidP="001C6219">
      <w:pPr>
        <w:pStyle w:val="Ttulo1"/>
      </w:pPr>
      <w:bookmarkStart w:id="359" w:name="scroll-bookmark-394"/>
      <w:bookmarkStart w:id="360" w:name="scroll-bookmark-395"/>
      <w:bookmarkEnd w:id="359"/>
      <w:r>
        <w:t>QA00201 — Utilización de instrumentos financieros para la cofinanciación de proyectos en 2021-2027 y la defensa contra el cambio climático</w:t>
      </w:r>
      <w:bookmarkEnd w:id="360"/>
    </w:p>
    <w:p w:rsidR="001C6219" w:rsidRDefault="001C6219" w:rsidP="001C6219">
      <w:r>
        <w:rPr>
          <w:noProof/>
          <w:lang w:val="es-ES"/>
        </w:rPr>
        <w:drawing>
          <wp:inline distT="0" distB="0" distL="0" distR="0" wp14:anchorId="59BAFF61" wp14:editId="75E40819">
            <wp:extent cx="152435" cy="152435"/>
            <wp:effectExtent l="0" t="0" r="0" b="0"/>
            <wp:docPr id="100727" name="Imagen 1007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58 (4) y 73 (2) (j) del RDC</w:t>
      </w:r>
    </w:p>
    <w:p w:rsidR="001C6219" w:rsidRDefault="001C6219" w:rsidP="001C6219">
      <w:r>
        <w:rPr>
          <w:noProof/>
          <w:lang w:val="es-ES"/>
        </w:rPr>
        <w:drawing>
          <wp:inline distT="0" distB="0" distL="0" distR="0" wp14:anchorId="48179B72" wp14:editId="4CB341B3">
            <wp:extent cx="152435" cy="152435"/>
            <wp:effectExtent l="0" t="0" r="0" b="0"/>
            <wp:docPr id="100729" name="Imagen 1007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Nos gustaría obtener sus garantías sobre la posibilidad de utilizar instrumentos financieros (FI) para cofinanciar proyectos de subvenciones que estén experimentando </w:t>
      </w:r>
      <w:r>
        <w:lastRenderedPageBreak/>
        <w:t>dificultades derivadas de los elevados tipos de interés y del aumento de los costes de los materiales, las energías, etc.</w:t>
      </w:r>
    </w:p>
    <w:p w:rsidR="001C6219" w:rsidRDefault="001C6219" w:rsidP="001C6219">
      <w:r>
        <w:t>Crearíamos un instrumento financiero financiado con recursos de los Fondos 2021-2027 que proporcionaría recursos adicionales a los proyectos que reciben subvenciones financiadas con cargo a los Fondos 2021-2027.</w:t>
      </w:r>
    </w:p>
    <w:p w:rsidR="001C6219" w:rsidRDefault="001C6219" w:rsidP="001C6219">
      <w:r>
        <w:t xml:space="preserve">La cofinanciación de un instrumento financiero no constituirá una doble financiación, </w:t>
      </w:r>
      <w:r w:rsidR="002F3719">
        <w:t xml:space="preserve">ya que, </w:t>
      </w:r>
      <w:r>
        <w:t>en todos los casos el gasto del proyecto financiado mediante subvenciones sería diferente del gasto cofinanciado por el instrumento financiero. ¿Es posible crear un instrumento financiero de este tipo que, en la estrategia de inversión, se limite a proporcionar cofinanciación a estos proyectos de subvención?</w:t>
      </w:r>
    </w:p>
    <w:p w:rsidR="001C6219" w:rsidRDefault="001C6219" w:rsidP="001C6219"/>
    <w:p w:rsidR="001C6219" w:rsidRDefault="001C6219" w:rsidP="001C6219">
      <w:pPr>
        <w:pStyle w:val="P68B1DB1-Normal1"/>
      </w:pPr>
      <w:r>
        <w:t>Respuesta a la pregunta 1:</w:t>
      </w:r>
    </w:p>
    <w:p w:rsidR="001C6219" w:rsidRDefault="001C6219" w:rsidP="001C6219">
      <w:r>
        <w:t>Entendemos que la cuestión es si es posible crear un instrumento financiero destinado específicamente a beneficiarios que hayan recibido una subvención para una operación. También entendemos que la ayuda de los instrumentos financieros no está destinada a cubrir el mismo gasto que el cubierto por la subvención y que esto se realizaría en dos operaciones separadas de conformidad con el artículo 58, apartado 4, del RDC (una operación de subvención seleccionada por la autoridad de gestión y una ayuda separada a través de instrumentos financieros). En primer lugar, debe aclararse que el instrumento financiero es una forma de apoyo en sí misma y, por lo tanto, no se utiliza como cofinanciación de otras formas de ayuda.</w:t>
      </w:r>
    </w:p>
    <w:p w:rsidR="001C6219" w:rsidRDefault="001C6219" w:rsidP="001C6219">
      <w:r>
        <w:t>Tenga en cuenta el siguiente ejemplo a efectos informativos. El porcentaje de cofinanciación nacional es del 25 % al nivel de la operación de subvención. Si el coste inicial de la operación era de 100 y aumenta a 160, los 60 adicionales pueden financiarse con cargo al instrumento financiero siempre que la operación inicial no se ejecute plenamente.  Esto significa que el gasto subvencionable que debe declararse a la CE sería: subvención: 75 FEDER + 25 cofinanciación nacional (que no puede proceder del FI) + FI: 45 FEDER + 15 cofinanciación nacional para el instrumento financiero.</w:t>
      </w:r>
    </w:p>
    <w:p w:rsidR="001C6219" w:rsidRDefault="001C6219" w:rsidP="001C6219">
      <w:r>
        <w:t>También significa que parte de la inversión apoyada por FI debe ser capaz de generar ahorros de costes o ingresos para reembolsar los recursos tomados en préstamo. La ayuda a través de instrumentos financieros debe abordar las necesidades de inversión identificadas en el programa, así como el apoyo adecuado de los Fondos a través de instrumentos financieros debe basarse en una evaluación ex ante (artículo 58, apartado 3, del RDC). La ayuda a través de instrumentos financieros debe prestarse únicamente para los elementos de las inversiones que no se hayan completado físicamente o no se hayan ejecutado íntegramente en la fecha de la decisión de inversión (artículo </w:t>
      </w:r>
      <w:r w:rsidR="00637682">
        <w:t>58,</w:t>
      </w:r>
      <w:r w:rsidR="00637682" w:rsidRPr="00767CF5">
        <w:t xml:space="preserve"> apartado</w:t>
      </w:r>
      <w:r>
        <w:t xml:space="preserve"> 2, párrafo 2).</w:t>
      </w:r>
    </w:p>
    <w:p w:rsidR="001C6219" w:rsidRDefault="001C6219" w:rsidP="001C6219"/>
    <w:p w:rsidR="001C6219" w:rsidRDefault="001C6219" w:rsidP="001C6219">
      <w:pPr>
        <w:pStyle w:val="P68B1DB1-Normal1"/>
      </w:pPr>
      <w:r>
        <w:t>Pregunta 2:</w:t>
      </w:r>
    </w:p>
    <w:p w:rsidR="001C6219" w:rsidRDefault="001C6219" w:rsidP="001C6219">
      <w:r>
        <w:t xml:space="preserve">Suponemos que la defensa contra el cambio climático de conformidad con el artículo 73, apartado 2, letra j), del RDC no es necesaria para los proyectos de infraestructuras a nivel de los destinatarios finales que reciben ayuda de un instrumento financiero. Si existe un proyecto de infraestructura de un destinatario final, los requisitos de defensa </w:t>
      </w:r>
      <w:r>
        <w:lastRenderedPageBreak/>
        <w:t>contra el cambio climático solo se verificarán a nivel del organismo que ejecute el instrumento financiero (el nivel de beneficiario) de conformidad con el RDC.</w:t>
      </w:r>
    </w:p>
    <w:p w:rsidR="001C6219" w:rsidRDefault="001C6219" w:rsidP="001C6219">
      <w:r>
        <w:t>Los procedimientos internos del organismo que ejecuta el instrumento financiero (normalmente bancos comerciales u otras instituciones públicas y privadas que, de todos modos, están expuestos a los requisitos reglamentarios de la taxonomía) deben garantizar que los proyectos de infraestructura de los destinatarios finales cumplan el RDC y que no sea necesario verificar el cumplimiento de la defensa contra el cambio climático a nivel del destinatario final. Si el requisito se trasladara al nivel de destinatario final, sería redundante, supondría una carga innecesaria para los beneficiarios finales y haría que los instrumentos financieros resultaran menos atractivos.</w:t>
      </w:r>
    </w:p>
    <w:p w:rsidR="001C6219" w:rsidRDefault="001C6219" w:rsidP="001C6219">
      <w:r>
        <w:t>Tenemos la intención de introducir el enfoque mencionado en las próximas orientaciones nacionales sobre el principio DNSH y la defensa contra el cambio climático. Indique si el enfoque no está en consonancia con el RDC.</w:t>
      </w:r>
    </w:p>
    <w:p w:rsidR="001C6219" w:rsidRDefault="001C6219" w:rsidP="001C6219"/>
    <w:p w:rsidR="001C6219" w:rsidRDefault="001C6219" w:rsidP="001C6219">
      <w:pPr>
        <w:pStyle w:val="P68B1DB1-Normal1"/>
      </w:pPr>
      <w:r>
        <w:t>Respuesta a la pregunta 2:</w:t>
      </w:r>
    </w:p>
    <w:p w:rsidR="001C6219" w:rsidRDefault="001C6219" w:rsidP="001C6219">
      <w:r>
        <w:t>El artículo 73, apartado 2, letra j), del RDC establece que, al seleccionar las operaciones, la autoridad de gestión debe garantizar la defensa contra el cambio climático de las inversiones en infraestructuras que tengan una vida útil prevista de al menos 5 años.</w:t>
      </w:r>
    </w:p>
    <w:p w:rsidR="001C6219" w:rsidRDefault="001C6219" w:rsidP="001C6219">
      <w:r>
        <w:t>En el contexto de los instrumentos financieros, por operación se entiende la contribución del programa a un instrumento financiero y la subsiguiente ayuda financiera proporcionada a los destinatarios finales por dicho instrumento financiero [artículo 2, apartado 4, letra b), del RDC].</w:t>
      </w:r>
    </w:p>
    <w:p w:rsidR="001C6219" w:rsidRDefault="001C6219" w:rsidP="001C6219">
      <w:r>
        <w:t>De conformidad con el artículo 2, apartado 42, del RDC, «defensa contra el cambio climático» es un proceso para evitar que las infraestructuras sean vulnerables a posibles impactos climáticos a largo plazo, garantizando al mismo tiempo que se respete el principio de «primero, la eficiencia energética» y que el nivel de emisiones de gases de efecto invernadero derivadas del proyecto sea coherente con el objetivo de neutralidad climática en 2050.</w:t>
      </w:r>
    </w:p>
    <w:p w:rsidR="001C6219" w:rsidRDefault="001C6219" w:rsidP="001C6219">
      <w:r>
        <w:t>Los requisitos derivados de la defensa contra el cambio climático también se aplican a los proyectos de infraestructura apoyados por instrumentos financieros. En el contexto de los instrumentos financieros, la autoridad de gestión puede, por ejemplo, exigir a los organismos que ejecutan instrumentos financieros con arreglo a las condiciones del acuerdo de financiación (artículo 59, apartado 5, del RDC) que apliquen los requisitos de defensa contra el cambio climático en sus inversiones cofinanciadas (por ejemplo, incorporándolos a los criterios de selección).</w:t>
      </w:r>
    </w:p>
    <w:p w:rsidR="001C6219" w:rsidRDefault="001C6219" w:rsidP="001C6219">
      <w:r>
        <w:t>Con sujeción a las condiciones del acuerdo de financiación, dichos organismos deben supervisar la ejecución de las inversiones, incluido el cumplimiento de los requisitos en materia de defensa contra el cambio climático.</w:t>
      </w:r>
    </w:p>
    <w:p w:rsidR="001C6219" w:rsidRDefault="001C6219" w:rsidP="001C6219">
      <w:r>
        <w:t>El hecho de que los beneficiarios, como organismos que ejecutan el instrumento financiero, estén sujetos al Reglamento sobre la taxonomía no es en sí mismo una garantía de que sus operaciones financiadas sean conformes con la taxonomía.</w:t>
      </w:r>
    </w:p>
    <w:p w:rsidR="001C6219" w:rsidRDefault="001C6219" w:rsidP="001C6219">
      <w:r>
        <w:t>Véanse las orientaciones técnicas sobre la defensa contra el cambio climático en las inversiones en infraestructuras en 2022-27</w:t>
      </w:r>
      <w:hyperlink r:id="rId490" w:history="1">
        <w:r>
          <w:rPr>
            <w:rStyle w:val="Hipervnculo"/>
          </w:rPr>
          <w:t>.</w:t>
        </w:r>
      </w:hyperlink>
    </w:p>
    <w:p w:rsidR="001C6219" w:rsidRDefault="001C6219" w:rsidP="001C6219">
      <w:r>
        <w:lastRenderedPageBreak/>
        <w:t xml:space="preserve">Véase también la pregunta Q, A: </w:t>
      </w:r>
      <w:hyperlink r:id="rId491" w:history="1">
        <w:r>
          <w:rPr>
            <w:rStyle w:val="Hipervnculo"/>
          </w:rPr>
          <w:t>QA00093</w:t>
        </w:r>
      </w:hyperlink>
    </w:p>
    <w:p w:rsidR="001C6219" w:rsidRDefault="001C6219" w:rsidP="001C6219"/>
    <w:p w:rsidR="001C6219" w:rsidRDefault="001C6219" w:rsidP="001C6219"/>
    <w:p w:rsidR="001C6219" w:rsidRDefault="001C6219" w:rsidP="001C6219">
      <w:pPr>
        <w:pStyle w:val="Ttulo1"/>
      </w:pPr>
      <w:bookmarkStart w:id="361" w:name="scroll-bookmark-396"/>
      <w:bookmarkStart w:id="362" w:name="scroll-bookmark-397"/>
      <w:bookmarkEnd w:id="361"/>
      <w:r>
        <w:t>QA00202 — Admisibilidad del apoyo combinado del pilar III del Mecanismo de Transición Justa y del Fondo de Modernización</w:t>
      </w:r>
      <w:bookmarkEnd w:id="362"/>
    </w:p>
    <w:p w:rsidR="001C6219" w:rsidRDefault="001C6219" w:rsidP="001C6219">
      <w:r>
        <w:rPr>
          <w:noProof/>
          <w:lang w:val="es-ES"/>
        </w:rPr>
        <w:drawing>
          <wp:inline distT="0" distB="0" distL="0" distR="0" wp14:anchorId="13EC4F57" wp14:editId="6BAC71E1">
            <wp:extent cx="152435" cy="152435"/>
            <wp:effectExtent l="0" t="0" r="0" b="0"/>
            <wp:docPr id="100731" name="Imagen 1007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p>
    <w:p w:rsidR="001C6219" w:rsidRDefault="001C6219" w:rsidP="001C6219">
      <w:r>
        <w:t>Artículo 9 del Reglamento (UE) 2021/1229 (Reglamento PSLF)</w:t>
      </w:r>
    </w:p>
    <w:p w:rsidR="001C6219" w:rsidRDefault="001C6219" w:rsidP="001C6219">
      <w:r>
        <w:t>Artículo 10 quinquies de la Directiva 2003/87/CE («Objetivo 55»)</w:t>
      </w:r>
    </w:p>
    <w:p w:rsidR="001C6219" w:rsidRDefault="001C6219" w:rsidP="001C6219">
      <w:r>
        <w:rPr>
          <w:noProof/>
          <w:lang w:val="es-ES"/>
        </w:rPr>
        <w:drawing>
          <wp:inline distT="0" distB="0" distL="0" distR="0" wp14:anchorId="5199A432" wp14:editId="0E3CFBE4">
            <wp:extent cx="152435" cy="152435"/>
            <wp:effectExtent l="0" t="0" r="0" b="0"/>
            <wp:docPr id="100733" name="Imagen 1007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La región de Moravia-Silesia es una de las regiones carboníferas de Chequia que trabaja activamente en inversiones eficientes del Fondo de Transición Justa (FTJ). Tras iniciar la fase de ejecución del FTJ en Chequia, tenemos la intención de centrarse más en los recursos del segundo y tercer pilar del Mecanismo para una Transición Justa y de utilizarlos. En el contexto del tercer pilar — Instrumento de préstamo al sector público, nos gustaría saber más sobre su combinación con otros recursos financieros más allá del presupuesto de la UE (es decir, más allá de los Fondos Estructurales y de Inversión Europeos tradicionales). Vemos una oportunidad muy interesante en combinación con el Fondo de Modernización que podemos utilizar en la República Checa para fuentes de energía renovables, ahorro de energía y eficiencia energética, abiertos al sector público, entre otros beneficiarios.</w:t>
      </w:r>
    </w:p>
    <w:p w:rsidR="001C6219" w:rsidRDefault="001C6219" w:rsidP="001C6219">
      <w:r>
        <w:t>Nuestra pregunta es si el apoyo del Instrumento de Préstamo al Sector Público puede combinarse con el apoyo del Fondo de Modernización, teniendo en cuenta la exclusión de la ayuda de otros programas de la Unión establecida en el artículo 9 del Reglamento sobre el Instrumento.</w:t>
      </w:r>
    </w:p>
    <w:p w:rsidR="001C6219" w:rsidRDefault="001C6219" w:rsidP="001C6219"/>
    <w:p w:rsidR="001C6219" w:rsidRDefault="001C6219" w:rsidP="001C6219">
      <w:pPr>
        <w:pStyle w:val="P68B1DB1-Normal1"/>
      </w:pPr>
      <w:r>
        <w:t>Respuesta.</w:t>
      </w:r>
    </w:p>
    <w:p w:rsidR="001C6219" w:rsidRDefault="001C6219" w:rsidP="001C6219">
      <w:r>
        <w:t xml:space="preserve">El Instrumento de Préstamo al Sector Público (además, el Mecanismo) constituye el tercer pilar del Mecanismo para una Transición Justa (MTJ), cuyo objetivo es apoyar las inversiones de las entidades del sector público, dado el papel clave del sector público en la consecución del Mecanismo para una Transición Justa. Dichas inversiones deben responder a las necesidades de desarrollo derivadas de los desafíos de la transición, según lo descrito en los planes territoriales de transición justa aprobados por la Comisión. Las actividades que se prevea apoyar en el marco del Instrumento deben ser coherentes con las que reciben apoyo en el marco de los otros dos pilares del </w:t>
      </w:r>
      <w:r>
        <w:lastRenderedPageBreak/>
        <w:t>Mecanismo para una Transición Justa y complementarlas. Con el fin de optimizar el impacto del Mecanismo, los proyectos individuales apoyados en el marco del Mecanismo no deben recibir apoyo de otros programas de la Unión, excepto en relación con la preparación, el desarrollo y la ejecución de proyectos</w:t>
      </w:r>
      <w:hyperlink w:anchor="scroll-bookmark-398" w:history="1">
        <w:r>
          <w:rPr>
            <w:rStyle w:val="Hipervnculo"/>
          </w:rPr>
          <w:t>[1]</w:t>
        </w:r>
      </w:hyperlink>
      <w:r>
        <w:t>. No obstante, las operaciones compuestas por proyectos independientes identificables pueden recibir apoyo de diferentes programas de la Unión, de conformidad con las normas de subvencionabilidad aplicables.</w:t>
      </w:r>
    </w:p>
    <w:p w:rsidR="001C6219" w:rsidRDefault="001C6219" w:rsidP="001C6219">
      <w:r>
        <w:t>El Fondo de Modernización</w:t>
      </w:r>
      <w:hyperlink w:anchor="scroll-bookmark-399" w:history="1">
        <w:r>
          <w:rPr>
            <w:rStyle w:val="Hipervnculo"/>
          </w:rPr>
          <w:t>[2]</w:t>
        </w:r>
      </w:hyperlink>
      <w:r>
        <w:t xml:space="preserve"> apoya inversiones coherentes con los objetivos climáticos y energéticos de la Unión para 2030, así como con el Acuerdo de París. Actúa bajo la responsabilidad de los </w:t>
      </w:r>
      <w:hyperlink r:id="rId492" w:history="1">
        <w:r>
          <w:rPr>
            <w:rStyle w:val="Hipervnculo"/>
          </w:rPr>
          <w:t>Estados miembros beneficiarios</w:t>
        </w:r>
      </w:hyperlink>
      <w:r>
        <w:t xml:space="preserve"> en estrecha cooperación con la </w:t>
      </w:r>
      <w:hyperlink r:id="rId493" w:history="1">
        <w:r>
          <w:rPr>
            <w:rStyle w:val="Hipervnculo"/>
          </w:rPr>
          <w:t>Comisión Europea</w:t>
        </w:r>
      </w:hyperlink>
      <w:r>
        <w:t xml:space="preserve"> y el </w:t>
      </w:r>
      <w:hyperlink r:id="rId494" w:history="1">
        <w:r>
          <w:rPr>
            <w:rStyle w:val="Hipervnculo"/>
          </w:rPr>
          <w:t>Banco Europeo de Inversiones</w:t>
        </w:r>
      </w:hyperlink>
      <w:r>
        <w:t xml:space="preserve">. El Fondo de Modernización no forma parte del presupuesto de la UE ni de NextGenerationEU. Se financia con los ingresos procedentes de la subasta del 2 % del total de derechos de emisión para el período 2021-30 en el marco del régimen de comercio de derechos de </w:t>
      </w:r>
      <w:hyperlink r:id="rId495" w:history="1">
        <w:r>
          <w:rPr>
            <w:rStyle w:val="Hipervnculo"/>
          </w:rPr>
          <w:t>emisión de la UE (RCDE UE)</w:t>
        </w:r>
      </w:hyperlink>
      <w:hyperlink w:anchor="scroll-bookmark-400" w:history="1">
        <w:r>
          <w:rPr>
            <w:rStyle w:val="Hipervnculo"/>
          </w:rPr>
          <w:t>[3]</w:t>
        </w:r>
      </w:hyperlink>
      <w:r>
        <w:t>. Por lo tanto, el Fondo de Modernización no debe considerarse un programa de la Unión en el sentido del artículo 9 del Reglamento sobre el Instrumento y puede combinarse con el Mecanismo.</w:t>
      </w:r>
    </w:p>
    <w:p w:rsidR="001C6219" w:rsidRDefault="001C6219" w:rsidP="001C6219">
      <w:r>
        <w:t>Por lo que se refiere al marco jurídico que rige el Fondo de Modernización, permite combinar la financiación del Fondo de Modernización con la financiación de otros instrumentos nacionales o de la UE, excluyendo la doble financiación de los mismos costes. Esta posibilidad se menciona explícitamente en el artículo 6, apartado 7, letra e), y en el artículo 7, apartado 7, letra g), del Reglamento de Ejecución (UE) 2020/1001. El anexo I, sección 1.7, de dicho Reglamento exige a los Estados miembros que faciliten información sobre las demás fuentes de financiación en sus solicitudes en el marco del Fondo de Modernización.</w:t>
      </w:r>
    </w:p>
    <w:p w:rsidR="001C6219" w:rsidRDefault="001C6219" w:rsidP="001C6219">
      <w:r>
        <w:t>Así pues, los beneficiarios pueden obtener financiación para proyectos subvencionables de ambas fuentes de financiación, siempre que se respete la legislación pertinente, incluidas las normas sobre ayudas estatales, y que los mismos costes no estén ya financiados por otro instrumento nacional o de la Unión.</w:t>
      </w:r>
    </w:p>
    <w:p w:rsidR="001C6219" w:rsidRDefault="001C6219" w:rsidP="001C6219">
      <w:r>
        <w:t>TIERNA _</w:t>
      </w:r>
    </w:p>
    <w:p w:rsidR="001C6219" w:rsidRDefault="00FC0FB1" w:rsidP="001C6219">
      <w:hyperlink w:anchor="scroll-bookmark-401" w:history="1">
        <w:r w:rsidR="001C6219">
          <w:rPr>
            <w:rStyle w:val="Hipervnculo"/>
          </w:rPr>
          <w:t>[1]</w:t>
        </w:r>
      </w:hyperlink>
      <w:r w:rsidR="001C6219">
        <w:t xml:space="preserve"> Véase el artículo 9 del Reglamento (UE) 2021/1229 del Parlamento Europeo y del Consejo, de 14 de julio de 2021, relativo al instrumento de préstamo al sector público en el marco del Mecanismo para una Transición Justa, DO L 274/1.</w:t>
      </w:r>
    </w:p>
    <w:p w:rsidR="001C6219" w:rsidRDefault="00FC0FB1" w:rsidP="001C6219">
      <w:hyperlink w:anchor="scroll-bookmark-402" w:history="1">
        <w:r w:rsidR="001C6219">
          <w:rPr>
            <w:rStyle w:val="Hipervnculo"/>
          </w:rPr>
          <w:t>[2]</w:t>
        </w:r>
      </w:hyperlink>
      <w:r w:rsidR="001C6219">
        <w:t xml:space="preserve"> Reglamento de Ejecución (UE) 2020/1001 de la Comisión, de 9 de julio de 2020, por el que se establecen disposiciones de aplicación de la Directiva 2003/87/CE del Parlamento Europeo y del Consejo en lo que respecta al funcionamiento del Fondo de Modernización en apoyo de las inversiones para modernizar los sistemas energéticos y mejorar la eficiencia energética de determinados Estados miembros (DO L 221/107).</w:t>
      </w:r>
    </w:p>
    <w:p w:rsidR="001C6219" w:rsidRDefault="00637682" w:rsidP="001C6219">
      <w:r>
        <w:t>véase el</w:t>
      </w:r>
      <w:r w:rsidR="001C6219">
        <w:t xml:space="preserve"> artículo 10 quinquies de la Directiva 2003/87/CE del Parlamento Europeo y del Consejo, de 13 de octubre de 2003, por la que se establece un régimen para el comercio de derechos de emisión de gases de efecto invernadero en la Comunidad y por la que se modifica la Directiva 96/61/CE del Consejo (DO L 275 25.10.2003).</w:t>
      </w:r>
    </w:p>
    <w:p w:rsidR="001C6219" w:rsidRDefault="001C6219" w:rsidP="001C6219"/>
    <w:p w:rsidR="001C6219" w:rsidRDefault="001C6219" w:rsidP="001C6219"/>
    <w:p w:rsidR="001C6219" w:rsidRDefault="001C6219" w:rsidP="001C6219">
      <w:pPr>
        <w:pStyle w:val="Ttulo1"/>
      </w:pPr>
      <w:bookmarkStart w:id="363" w:name="scroll-bookmark-404"/>
      <w:bookmarkStart w:id="364" w:name="scroll-bookmark-405"/>
      <w:bookmarkEnd w:id="363"/>
      <w:r>
        <w:lastRenderedPageBreak/>
        <w:t>QA00203 — Aplicación del artículo 118 bis y cofinanciación de la segunda fase también con cargo a los demás Fondos (FTJ, FAMI, FSI)</w:t>
      </w:r>
      <w:bookmarkEnd w:id="364"/>
    </w:p>
    <w:p w:rsidR="001C6219" w:rsidRDefault="001C6219" w:rsidP="001C6219">
      <w:r>
        <w:rPr>
          <w:noProof/>
          <w:lang w:val="es-ES"/>
        </w:rPr>
        <w:drawing>
          <wp:inline distT="0" distB="0" distL="0" distR="0" wp14:anchorId="5498189E" wp14:editId="69F5477A">
            <wp:extent cx="152435" cy="152435"/>
            <wp:effectExtent l="0" t="0" r="0" b="0"/>
            <wp:docPr id="100735" name="Imagen 1007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118 bis del RDC</w:t>
      </w:r>
    </w:p>
    <w:p w:rsidR="001C6219" w:rsidRDefault="001C6219" w:rsidP="001C6219">
      <w:r>
        <w:rPr>
          <w:noProof/>
          <w:lang w:val="es-ES"/>
        </w:rPr>
        <w:drawing>
          <wp:inline distT="0" distB="0" distL="0" distR="0" wp14:anchorId="01C40A9C" wp14:editId="58D7BCBD">
            <wp:extent cx="152435" cy="152435"/>
            <wp:effectExtent l="0" t="0" r="0" b="0"/>
            <wp:docPr id="100737" name="Imagen 1007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Nos gustaría pedirle que aclare si es posible cofinanciar la segunda fase de las operaciones también con cargo a otros Fondos en el marco del período de programación 2021-2027 (por ejemplo, del FTJ, el FAMI, el FSI, etc.) de conformidad con el artículo 118 bis. Contrariamente a lo dispuesto en el artículo 118, no hay fondos expresamente mencionados en el artículo 118 bis, y solo se establece que la operación se considerará subvencionable con arreglo al presente Reglamento y a los correspondientes Reglamentos específicos de cada Fondo en el período de programación 2021-2027. ¿Podría especificar esta información en las Directrices sobre el cierre de los programas operativos?</w:t>
      </w:r>
    </w:p>
    <w:p w:rsidR="001C6219" w:rsidRDefault="001C6219" w:rsidP="001C6219">
      <w:pPr>
        <w:pStyle w:val="P68B1DB1-Normal3"/>
      </w:pPr>
      <w:r>
        <w:t> </w:t>
      </w:r>
    </w:p>
    <w:p w:rsidR="001C6219" w:rsidRDefault="001C6219" w:rsidP="001C6219">
      <w:pPr>
        <w:pStyle w:val="P68B1DB1-Normal1"/>
      </w:pPr>
      <w:r>
        <w:t>Respuesta.</w:t>
      </w:r>
    </w:p>
    <w:p w:rsidR="001C6219" w:rsidRDefault="001C6219" w:rsidP="001C6219">
      <w:r>
        <w:t>El artículo 118 bis, apartado 1, del RDC 2021-2027 establece que determinadas operaciones seleccionadas para recibir ayuda en virtud del RDC 2014-2020 y de los Reglamentos específicos de cada Fondo enumerados en dicho artículo, a saber, el FEDER, el FSE, el FC, la CTE y el FEMP, se considerarán subvencionables en virtud del RDC 2021-2027 y de los Reglamentos específicos de cada Fondo en el período de programación 2021-2027 correspondientes a las enumeradas anteriormente. Por lo tanto, los Fondos que pueden apoyar la segunda fase de las operaciones escalonadas de conformidad con el artículo 118 bis del RDC 2021-2027 son el FEDER, el FC, el FSE + y el FEMPA.</w:t>
      </w:r>
    </w:p>
    <w:p w:rsidR="001C6219" w:rsidRDefault="001C6219" w:rsidP="001C6219"/>
    <w:p w:rsidR="001C6219" w:rsidRDefault="001C6219" w:rsidP="001C6219"/>
    <w:p w:rsidR="001C6219" w:rsidRDefault="001C6219" w:rsidP="001C6219">
      <w:pPr>
        <w:pStyle w:val="Ttulo1"/>
      </w:pPr>
      <w:bookmarkStart w:id="365" w:name="scroll-bookmark-406"/>
      <w:bookmarkStart w:id="366" w:name="scroll-bookmark-407"/>
      <w:bookmarkEnd w:id="365"/>
      <w:r>
        <w:t>QA00204 — Selección de operaciones escalonadas</w:t>
      </w:r>
      <w:bookmarkEnd w:id="366"/>
    </w:p>
    <w:p w:rsidR="001C6219" w:rsidRDefault="001C6219" w:rsidP="001C6219">
      <w:r>
        <w:rPr>
          <w:noProof/>
          <w:lang w:val="es-ES"/>
        </w:rPr>
        <w:drawing>
          <wp:inline distT="0" distB="0" distL="0" distR="0" wp14:anchorId="67709619" wp14:editId="653B1C17">
            <wp:extent cx="152435" cy="152435"/>
            <wp:effectExtent l="0" t="0" r="0" b="0"/>
            <wp:docPr id="100739" name="Imagen 1007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118 bis del RDC</w:t>
      </w:r>
    </w:p>
    <w:p w:rsidR="001C6219" w:rsidRDefault="001C6219" w:rsidP="001C6219">
      <w:r>
        <w:t>Artículo 73 del RDC</w:t>
      </w:r>
    </w:p>
    <w:p w:rsidR="001C6219" w:rsidRDefault="001C6219" w:rsidP="001C6219">
      <w:r>
        <w:rPr>
          <w:noProof/>
          <w:lang w:val="es-ES"/>
        </w:rPr>
        <w:drawing>
          <wp:inline distT="0" distB="0" distL="0" distR="0" wp14:anchorId="27B1847C" wp14:editId="603452A0">
            <wp:extent cx="152435" cy="152435"/>
            <wp:effectExtent l="0" t="0" r="0" b="0"/>
            <wp:docPr id="100741" name="Imagen 1007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lastRenderedPageBreak/>
        <w:br/>
        <w:t>Pregunta 1 (incluidos los hechos e información pertinentes):</w:t>
      </w:r>
    </w:p>
    <w:p w:rsidR="001C6219" w:rsidRDefault="001C6219" w:rsidP="001C6219">
      <w:r>
        <w:t>¿Qué período se aplica a la segunda fase de la operación escalonada seleccionada de conformidad con el artículo 118 o 118 bis del RDC?</w:t>
      </w:r>
    </w:p>
    <w:p w:rsidR="001C6219" w:rsidRDefault="001C6219" w:rsidP="001C6219">
      <w:pPr>
        <w:pStyle w:val="P68B1DB1-Normal1"/>
      </w:pPr>
      <w:r>
        <w:t>Respuesta.</w:t>
      </w:r>
    </w:p>
    <w:p w:rsidR="001C6219" w:rsidRDefault="001C6219" w:rsidP="001C6219">
      <w:r>
        <w:t>Las normas que se aplican a la segunda fase de las operaciones escalonadas seleccionadas con arreglo a los artículos 118 y 118 bis del RDC 2021-2027 son las del período de programación 2021-2027, excepto en el caso de las operaciones seleccionadas con arreglo al artículo 118 bis del RDC 2021-2027 en lo que respecta al alcance de la subvencionabilidad, que es el del RDC 2014-2020 y de los Reglamentos pertinentes específicos de los Fondos para el período 2014-2020, y con respecto al artículo 73, apartado 1, y (2) del RDC 2021-2027, a los que no se aplica.</w:t>
      </w:r>
    </w:p>
    <w:p w:rsidR="001C6219" w:rsidRDefault="001C6219" w:rsidP="001C6219">
      <w:pPr>
        <w:pStyle w:val="P68B1DB1-Normal1"/>
      </w:pPr>
      <w:r>
        <w:t> </w:t>
      </w:r>
    </w:p>
    <w:p w:rsidR="001C6219" w:rsidRDefault="001C6219" w:rsidP="001C6219">
      <w:pPr>
        <w:pStyle w:val="P68B1DB1-Normal1"/>
      </w:pPr>
      <w:r>
        <w:t>Pregunta 2 (incluidos los hechos e información pertinentes):</w:t>
      </w:r>
    </w:p>
    <w:p w:rsidR="001C6219" w:rsidRDefault="001C6219" w:rsidP="001C6219">
      <w:r>
        <w:t>En relación con las operaciones escalonadas seleccionadas sobre la base del artículo 118 bis del RDC:</w:t>
      </w:r>
    </w:p>
    <w:p w:rsidR="001C6219" w:rsidRDefault="001C6219" w:rsidP="001C6219">
      <w:r>
        <w:t>Cuando una operación escalonada entra en el ámbito de aplicación del objetivo específico del período 2021-27, pero un programa determinado no prevé acciones concretas para tipos de operaciones escalonadas subvencionables con arreglo a las normas de 2014-20, ¿es necesario modificar un programa? En caso afirmativo, ¿cuál es la fecha de inicio de la subvencionabilidad (¿se aplica el artículo 63, apartado 7,?)</w:t>
      </w:r>
    </w:p>
    <w:p w:rsidR="001C6219" w:rsidRDefault="001C6219" w:rsidP="001C6219">
      <w:pPr>
        <w:pStyle w:val="P68B1DB1-Normal1"/>
      </w:pPr>
      <w:r>
        <w:t>Respuesta.</w:t>
      </w:r>
    </w:p>
    <w:p w:rsidR="001C6219" w:rsidRDefault="001C6219" w:rsidP="001C6219">
      <w:pPr>
        <w:pStyle w:val="P68B1DB1-Normal6"/>
      </w:pPr>
      <w:r>
        <w:t>Esta respuesta se actualizó el 28 de marzo de 2023. El texto añadido figura subrayado.</w:t>
      </w:r>
    </w:p>
    <w:p w:rsidR="001C6219" w:rsidRDefault="001C6219" w:rsidP="001C6219">
      <w:r>
        <w:t>De conformidad con el artículo 118 bis, apartado 1, letra b), del RDC, la operación escalonada debe incluirse en «acciones programadas en el marco de un objetivo específico pertinente». De no ser así, es necesario modificar un programa para establecer los tipos de acciones que recibirán apoyo de dicho programa en las que se inscribiría la operación escalonada.</w:t>
      </w:r>
    </w:p>
    <w:p w:rsidR="001C6219" w:rsidRDefault="001C6219" w:rsidP="001C6219">
      <w:r>
        <w:t>Si, además, la modificación correspondiente de un programa da lugar a la adición de un nuevo tipo de intervención en el programa (</w:t>
      </w:r>
      <w:r w:rsidR="00E22099">
        <w:t xml:space="preserve">En el </w:t>
      </w:r>
      <w:r>
        <w:rPr>
          <w:u w:val="single"/>
        </w:rPr>
        <w:t>caso del FEDER, el Fondo de Cohesión y el FTJ</w:t>
      </w:r>
      <w:r>
        <w:t xml:space="preserve"> a que se refiere el cuadro 1 del anexo I del RDC o, en el caso del FEMPA, el FAMI, el FSI y el IGFV, en los Reglamentos específicos de cada Fondo), se aplica el artículo 63, apartado 7, del RDC y la fecha de subvencionabilidad de inicio es la fecha de presentación de una solicitud de modificación.</w:t>
      </w:r>
    </w:p>
    <w:p w:rsidR="001C6219" w:rsidRDefault="001C6219" w:rsidP="001C6219">
      <w:r>
        <w:t>Las operaciones escalonadas seleccionadas con arreglo al artículo 118 bis que entren en el ámbito de aplicación de los códigos de intervención establecidos en el artículo 2, apartado 5, del Reglamento (CE) no</w:t>
      </w:r>
      <w:hyperlink w:anchor="scroll-bookmark-408" w:history="1">
        <w:r>
          <w:rPr>
            <w:rStyle w:val="Hipervnculo"/>
          </w:rPr>
          <w:t>2022/2039 (FAST-CARE</w:t>
        </w:r>
      </w:hyperlink>
      <w:r>
        <w:t>) [1], por el que se modifica el RDC 21-27 a tal efecto, requerirán en cualquier caso añadir este nuevo tipo de intervención al programa.</w:t>
      </w:r>
    </w:p>
    <w:p w:rsidR="001C6219" w:rsidRDefault="001C6219" w:rsidP="001C6219"/>
    <w:p w:rsidR="001C6219" w:rsidRDefault="001C6219" w:rsidP="001C6219">
      <w:pPr>
        <w:pStyle w:val="P68B1DB1-Normal1"/>
      </w:pPr>
      <w:r>
        <w:t>Pregunta 3 (incluidos los hechos e información pertinentes):</w:t>
      </w:r>
    </w:p>
    <w:p w:rsidR="001C6219" w:rsidRDefault="001C6219" w:rsidP="001C6219">
      <w:r>
        <w:lastRenderedPageBreak/>
        <w:t>¿Qué normas de selección de operaciones se aplican? ¿Qué significa que «la autoridad de gestión puede decidir conceder ayudas a una operación de este tipo en virtud del presente Reglamento»?</w:t>
      </w:r>
    </w:p>
    <w:p w:rsidR="001C6219" w:rsidRDefault="001C6219" w:rsidP="001C6219">
      <w:pPr>
        <w:pStyle w:val="P68B1DB1-Normal1"/>
      </w:pPr>
      <w:r>
        <w:t>Respuesta.</w:t>
      </w:r>
    </w:p>
    <w:p w:rsidR="001C6219" w:rsidRDefault="001C6219" w:rsidP="001C6219">
      <w:r>
        <w:t>El artículo 118 bis, apartado 1, del RDC 2021-2027 permite seleccionar las segundas fases de las operaciones en el período de programación 2021-2027, en las condiciones previstas en el mismo, que hayan sido seleccionadas para recibir ayuda e iniciadas antes del 29 de junio de 2022 en virtud del RDC 2014-2020 y de los Reglamentos específicos de cada Fondo para el período de programación 2014-2020. Estas operaciones, de conformidad con el mismo artículo 118 bis, apartado 1, del RDC, se considerarán subvencionables en virtud del RDC 2021-2027 y de los Reglamentos específicos de cada Fondo correspondientes en el período de programación 2021-2027.</w:t>
      </w:r>
    </w:p>
    <w:p w:rsidR="001C6219" w:rsidRDefault="001C6219" w:rsidP="001C6219">
      <w:r>
        <w:t xml:space="preserve">Como se explica en el considerando 10 del Reglamento FAST CARE, </w:t>
      </w:r>
      <w:r>
        <w:rPr>
          <w:i/>
        </w:rPr>
        <w:t>«[...] también debe preverse una flexibilidad adicional para permitir la concesión directa de ayuda y la finalización de operaciones cuya ejecución haya comenzado de conformidad con el marco legislativo 2014-2020 antes de la fecha de la propuesta legislativa del presente Reglamento, incluso cuando dichas operaciones no entren en el ámbito de aplicación del Fondo de que se trate en el período de programación 2021-2027, con excepción de los casos en que los Fondos se hayan utilizado con arreglo al artículo 98, apartado 4, párrafos primero y segundo, del Reglamento (UE) n.º 1303/2013</w:t>
      </w:r>
      <w:r>
        <w:t>».</w:t>
      </w:r>
    </w:p>
    <w:p w:rsidR="001C6219" w:rsidRDefault="001C6219" w:rsidP="001C6219">
      <w:r>
        <w:t>Sobre la base de lo anterior, las operaciones escalonadas que entran en el ámbito de aplicación del artículo 118 bis del</w:t>
      </w:r>
      <w:r w:rsidR="00637682">
        <w:t xml:space="preserve"> </w:t>
      </w:r>
      <w:hyperlink w:anchor="scroll-bookmark-409" w:history="1">
        <w:r>
          <w:rPr>
            <w:rStyle w:val="Hipervnculo"/>
          </w:rPr>
          <w:t>RDC 2021-2027 [</w:t>
        </w:r>
      </w:hyperlink>
      <w:r>
        <w:t>2] deberían haberse seleccionado de conformidad con la legislación aplicable en virtud del</w:t>
      </w:r>
      <w:r w:rsidR="00637682">
        <w:t xml:space="preserve"> </w:t>
      </w:r>
      <w:hyperlink w:anchor="scroll-bookmark-410" w:history="1">
        <w:r>
          <w:rPr>
            <w:rStyle w:val="Hipervnculo"/>
          </w:rPr>
          <w:t>RDC 2014-2020 [</w:t>
        </w:r>
      </w:hyperlink>
      <w:r>
        <w:t>3] y de los Reglamentos específicos de cada Fondo para el período de</w:t>
      </w:r>
      <w:r w:rsidR="00637682">
        <w:t xml:space="preserve"> </w:t>
      </w:r>
      <w:hyperlink w:anchor="scroll-bookmark-411" w:history="1">
        <w:r>
          <w:rPr>
            <w:rStyle w:val="Hipervnculo"/>
          </w:rPr>
          <w:t>programación 2014-2020 [</w:t>
        </w:r>
      </w:hyperlink>
      <w:r>
        <w:t>4].</w:t>
      </w:r>
    </w:p>
    <w:p w:rsidR="001C6219" w:rsidRDefault="001C6219" w:rsidP="001C6219">
      <w:r>
        <w:t>El artículo 118 bis, apartado 1, párrafo segundo, del RDC 2021-2027 establece una excepción a lo dispuesto en el artículo 73, apartado 1, y (2) del mismo RDC, de modo que la autoridad de gestión podrá conceder la ayuda a dichas operaciones directamente siempre que las operaciones cumplan todas las condiciones establecidas en el artículo 118 bis del RDC 2021-2027. En otras palabras, en el caso de las operaciones que se han seleccionado con arreglo a las normas del período de programación 2014-2020 y que deben escalonarse de conformidad con el artículo 118 bis del RDC 2021-2027, la autoridad de gestión no necesita establecer criterios de selección y aplicar procedimientos de selección de conformidad con el artículo 73, apartado 1, y (2) el RDC 2021-2027, y debe realizar una selección formal basada únicamente en las condiciones establecidas en el artículo 118 bis del RDC 2021-2027.</w:t>
      </w:r>
    </w:p>
    <w:p w:rsidR="001C6219" w:rsidRDefault="001C6219" w:rsidP="001C6219">
      <w:pPr>
        <w:pStyle w:val="P68B1DB1-Normal1"/>
      </w:pPr>
      <w:r>
        <w:t> </w:t>
      </w:r>
    </w:p>
    <w:p w:rsidR="001C6219" w:rsidRDefault="001C6219" w:rsidP="001C6219">
      <w:pPr>
        <w:pStyle w:val="P68B1DB1-Normal1"/>
      </w:pPr>
      <w:r>
        <w:t>Pregunta 4 (incluidos los hechos e información pertinentes):</w:t>
      </w:r>
    </w:p>
    <w:p w:rsidR="001C6219" w:rsidRDefault="001C6219" w:rsidP="001C6219">
      <w:r>
        <w:t>(4) ¿Cuáles son las consecuencias de las normas de selección para la aplicación de las disposiciones sobre:</w:t>
      </w:r>
    </w:p>
    <w:p w:rsidR="001C6219" w:rsidRDefault="001C6219" w:rsidP="001C6219">
      <w:r>
        <w:t> A. defensa contra el cambio climático,</w:t>
      </w:r>
    </w:p>
    <w:p w:rsidR="001C6219" w:rsidRDefault="001C6219" w:rsidP="001C6219">
      <w:r>
        <w:t> B. DNSH,</w:t>
      </w:r>
    </w:p>
    <w:p w:rsidR="001C6219" w:rsidRDefault="001C6219" w:rsidP="001C6219">
      <w:r>
        <w:t> C. generación de ingresos?</w:t>
      </w:r>
    </w:p>
    <w:p w:rsidR="001C6219" w:rsidRDefault="001C6219" w:rsidP="001C6219"/>
    <w:p w:rsidR="001C6219" w:rsidRDefault="001C6219" w:rsidP="001C6219">
      <w:pPr>
        <w:pStyle w:val="P68B1DB1-Normal1"/>
      </w:pPr>
      <w:r>
        <w:t>Respuestas:</w:t>
      </w:r>
    </w:p>
    <w:p w:rsidR="001C6219" w:rsidRDefault="001C6219" w:rsidP="001C6219">
      <w:pPr>
        <w:pStyle w:val="P68B1DB1-Normal1"/>
      </w:pPr>
      <w:r>
        <w:t>Pregunta 4.a (defensa contra el cambio climático):</w:t>
      </w:r>
    </w:p>
    <w:p w:rsidR="001C6219" w:rsidRDefault="001C6219" w:rsidP="001C6219">
      <w:r>
        <w:t>Teniendo en cuenta que la obligación de garantizar la defensa contra el cambio climático de las inversiones en infraestructuras que tengan una vida útil prevista de al menos 5 años se basa en el artículo 73, apartado 2, letra j), del RDC 2021-2027, y teniendo en cuenta que el artículo 118 bis, apartado 1, párrafo segundo, del RDC 2021-2027 establece una excepción a lo dispuesto en el artículo 73, apartado 1, y (2) del mismo RDC, esta obligación no se aplica a las operaciones escalonadas con arreglo al artículo 118 bis del RDC 2021-2027.</w:t>
      </w:r>
    </w:p>
    <w:p w:rsidR="001C6219" w:rsidRDefault="001C6219" w:rsidP="001C6219">
      <w:pPr>
        <w:pStyle w:val="P68B1DB1-Normal1"/>
      </w:pPr>
      <w:r>
        <w:t>Pregunta 4b (principio DNSH):</w:t>
      </w:r>
    </w:p>
    <w:p w:rsidR="001C6219" w:rsidRDefault="001C6219" w:rsidP="001C6219">
      <w:r>
        <w:t>El principio DNSH es un principio horizontal que, de conformidad con el artículo 9 del RDC 2021-2027, debe tenerse en cuenta al perseguir los objetivos de los Fondos. Por lo tanto, el principio DNSH también debe tenerse en cuenta en los programas con operaciones escalonadas de conformidad con el artículo 118 bis del RDC 2021-2027.</w:t>
      </w:r>
    </w:p>
    <w:p w:rsidR="001C6219" w:rsidRDefault="001C6219" w:rsidP="001C6219">
      <w:r>
        <w:t>Como se establece en la nota explicativa de la Comisión sobre la aplicación del principio de «no causar un perjuicio significativo» en el marco de la política de cohesión, la compatibilidad ex ante con el principio DNSH en el marco de la política de cohesión debe garantizarse al nivel de la definición de los tipos de acciones de los programas. Cuando sea necesario, lo que probablemente ocurra en el caso de las operaciones escalonadas con arreglo al artículo 118 bis del RDC que entren dentro de los tipos de intervención establecidos en el artículo 2, apartado 5, de FAST-CARE debido a las normas de subvencionabilidad específicas establecidas en el mismo, deben preverse medidas de mitigación adecuadas a nivel del programa (medidas de mitigación identificadas en la evaluación de DNSH de las acciones de los programas que prevengan, reduzcan y compensen lo más plenamente posible cualquier efecto adverso significativo en el medio ambiente).</w:t>
      </w:r>
    </w:p>
    <w:p w:rsidR="001C6219" w:rsidRDefault="001C6219" w:rsidP="001C6219">
      <w:pPr>
        <w:pStyle w:val="P68B1DB1-Normal1"/>
      </w:pPr>
      <w:r>
        <w:t>Pregunta 4c (generación de ingresos):</w:t>
      </w:r>
    </w:p>
    <w:p w:rsidR="001C6219" w:rsidRDefault="001C6219" w:rsidP="001C6219">
      <w:pPr>
        <w:pStyle w:val="P68B1DB1-Normal6"/>
      </w:pPr>
      <w:r>
        <w:t>Esta respuesta se actualizó el 27 de septiembre de 2023. El texto modificado es de color azul.</w:t>
      </w:r>
    </w:p>
    <w:p w:rsidR="001C6219" w:rsidRDefault="001C6219" w:rsidP="001C6219">
      <w:r>
        <w:rPr>
          <w:color w:val="4472C4"/>
        </w:rPr>
        <w:t>El RDC 2021-2027, que es aplicable a la segunda fase de las operaciones escalonadas en 2021-2027 (con las excepciones mencionadas en el artículo 118 bis del RDC 2021-2 027 en relación con las operaciones escalonadas con arreglo al artículo 118 bis del RDC 2021-2027), no contiene disposiciones sobre las operaciones generadoras de ingresos [5].</w:t>
      </w:r>
      <w:hyperlink w:anchor="scroll-bookmark-412" w:history="1"/>
    </w:p>
    <w:p w:rsidR="001C6219" w:rsidRDefault="001C6219" w:rsidP="001C6219">
      <w:r>
        <w:t>Sin embargo, aunque se aplica en dos períodos de programación (2014-2020 y 2021-2027), una operación escalonada es una operación que consta de dos fases. Esta operación se seleccionó para recibir ayuda y se inició en el marco del RDC 2014-2020.</w:t>
      </w:r>
    </w:p>
    <w:p w:rsidR="001C6219" w:rsidRDefault="001C6219" w:rsidP="001C6219">
      <w:r>
        <w:t>El artículo 61, apartado 2, del RDC 2014-2020 establece que el gasto subvencionable de la operación que vaya a cofinanciarse con cargo a los Fondos EIE se reducirá por adelantado teniendo en cuenta el potencial de la operación para generar ingresos netos durante un período de referencia específico que abarque tanto la ejecución de la operación como el período posterior a su finalización.</w:t>
      </w:r>
    </w:p>
    <w:p w:rsidR="001C6219" w:rsidRDefault="001C6219" w:rsidP="001C6219">
      <w:r>
        <w:lastRenderedPageBreak/>
        <w:t>Por lo tanto, de acuerdo con los requisitos reglamentarios anteriores, el potencial de la operación para generar ingresos netos debe tenerse en cuenta en ambas fases de la operación y los gastos subvencionables que deben cofinanciarse deben reducirse en consecuencia con antelación.</w:t>
      </w:r>
    </w:p>
    <w:p w:rsidR="001C6219" w:rsidRDefault="001C6219" w:rsidP="001C6219">
      <w:r>
        <w:t>Si objetivamente no es posible determinar por adelantado los posibles ingresos netos utilizando cualquiera de los métodos establecidos en el artículo 61, apartado 3,</w:t>
      </w:r>
      <w:r w:rsidR="005F289C">
        <w:t xml:space="preserve"> </w:t>
      </w:r>
      <w:r>
        <w:t>y (5) del RDC 2014-2020, y teniendo en cuenta que el RDC 2021-2027 no contiene disposiciones sobre operaciones generadoras de ingresos, los Estados miembros ejecutarán dichas operaciones de conformidad con las normas sobre ayudas estatales, así como con todas las demás normas aplicables de la UE, nacionales y de programas.</w:t>
      </w:r>
    </w:p>
    <w:p w:rsidR="001C6219" w:rsidRDefault="001C6219" w:rsidP="001C6219">
      <w:pPr>
        <w:pStyle w:val="P68B1DB1-Normal1"/>
      </w:pPr>
      <w:r>
        <w:t> </w:t>
      </w:r>
    </w:p>
    <w:p w:rsidR="001C6219" w:rsidRDefault="001C6219" w:rsidP="001C6219">
      <w:pPr>
        <w:pStyle w:val="P68B1DB1-Normal1"/>
      </w:pPr>
      <w:r>
        <w:t>Pregunta 5 (incluidos los hechos e información pertinentes):</w:t>
      </w:r>
    </w:p>
    <w:p w:rsidR="001C6219" w:rsidRDefault="001C6219" w:rsidP="001C6219">
      <w:r>
        <w:t>¿Qué significa que «comenzaron las operaciones»?</w:t>
      </w:r>
    </w:p>
    <w:p w:rsidR="001C6219" w:rsidRDefault="001C6219" w:rsidP="001C6219">
      <w:pPr>
        <w:pStyle w:val="P68B1DB1-Normal1"/>
      </w:pPr>
      <w:r>
        <w:t>Respuesta.</w:t>
      </w:r>
    </w:p>
    <w:p w:rsidR="001C6219" w:rsidRDefault="001C6219" w:rsidP="001C6219">
      <w:r>
        <w:t>Una de las condiciones relacionadas con el escalonamiento de las operaciones con arreglo al artículo 118 bis del RDC 2021-2027 es que hayan sido seleccionadas e iniciadas antes del 29 de junio de 2022 (véase el artículo 118 bis, apartado 1,). Como se explica en el considerando 10 del Reglamento FAST CARE, la ejecución de dichas operaciones debería haberse iniciado de conformidad con el marco legislativo 2014-2020, que, a falta de una definición, debería ser la fecha en la que comenzaron las operaciones y que se indicará en el documento que establece las condiciones de la ayuda y la autoridad de gestión registrará y almacenará en formato informatizado.</w:t>
      </w:r>
    </w:p>
    <w:p w:rsidR="001C6219" w:rsidRDefault="001C6219" w:rsidP="001C6219"/>
    <w:p w:rsidR="001C6219" w:rsidRDefault="001C6219" w:rsidP="001C6219"/>
    <w:p w:rsidR="001C6219" w:rsidRDefault="001C6219" w:rsidP="001C6219">
      <w:pPr>
        <w:pStyle w:val="P68B1DB1-Normal1"/>
      </w:pPr>
      <w:r>
        <w:t>Pregunta 6 (incluidos los hechos e información pertinentes):</w:t>
      </w:r>
    </w:p>
    <w:p w:rsidR="001C6219" w:rsidRDefault="001C6219" w:rsidP="001C6219">
      <w:r>
        <w:t>(6) ¿Qué significa «operación seleccionada»?</w:t>
      </w:r>
    </w:p>
    <w:p w:rsidR="001C6219" w:rsidRDefault="001C6219" w:rsidP="001C6219">
      <w:pPr>
        <w:pStyle w:val="P68B1DB1-Normal1"/>
      </w:pPr>
      <w:r>
        <w:t>Respuesta.</w:t>
      </w:r>
    </w:p>
    <w:p w:rsidR="001C6219" w:rsidRDefault="001C6219" w:rsidP="001C6219">
      <w:r>
        <w:t>El término «seleccionado» se refiere al procedimiento nacional de selección de operaciones por parte de la autoridad de gestión, de conformidad con las normas de la UE, nacionales y del programa aplicables, durante el cual se verifica la conformidad de las operaciones con los criterios definidos en las normas, los criterios de selección y la convocatoria pertinente. En relación con las operaciones escalonadas que entran en el ámbito de aplicación del artículo 118 bis del RDC 2021-2027, dichas operaciones deberían haberse seleccionado con arreglo a las normas del período de programación 2014-2020 tras un proceso de selección. El acuerdo de subvención (o documento equivalente) es una etapa posterior de la selección.</w:t>
      </w:r>
    </w:p>
    <w:p w:rsidR="001C6219" w:rsidRDefault="001C6219" w:rsidP="001C6219"/>
    <w:p w:rsidR="001C6219" w:rsidRDefault="001C6219" w:rsidP="001C6219">
      <w:r>
        <w:t>TIERNA _</w:t>
      </w:r>
    </w:p>
    <w:p w:rsidR="001C6219" w:rsidRDefault="001C6219" w:rsidP="001C6219">
      <w:bookmarkStart w:id="367" w:name="scroll-bookmark-412"/>
      <w:bookmarkEnd w:id="367"/>
    </w:p>
    <w:p w:rsidR="001C6219" w:rsidRDefault="00FC0FB1" w:rsidP="001C6219">
      <w:hyperlink w:anchor="scroll-bookmark-413" w:history="1">
        <w:r w:rsidR="001C6219">
          <w:rPr>
            <w:rStyle w:val="Hipervnculo"/>
          </w:rPr>
          <w:t>[1]</w:t>
        </w:r>
      </w:hyperlink>
      <w:r w:rsidR="001C6219">
        <w:t xml:space="preserve"> Reglamento (UE) 2022/2039 del Parlamento Europeo y del Consejo, de 19 de octubre de 2022, por el que se modifican los Reglamentos (UE) n.º 1303/2013 y (UE) 2021/1060 </w:t>
      </w:r>
      <w:r w:rsidR="001C6219">
        <w:lastRenderedPageBreak/>
        <w:t>en lo que respecta a una mayor flexibilidad para hacer frente a las consecuencias de la agresión militar de la Federación de Rusia FAST (Asistencia Flexible para los Territorios) — CARE</w:t>
      </w:r>
    </w:p>
    <w:p w:rsidR="001C6219" w:rsidRDefault="00FC0FB1" w:rsidP="001C6219">
      <w:hyperlink w:anchor="scroll-bookmark-414" w:history="1">
        <w:r w:rsidR="001C6219">
          <w:rPr>
            <w:rStyle w:val="Hipervnculo"/>
          </w:rPr>
          <w:t>[2]</w:t>
        </w:r>
      </w:hyperlink>
      <w:r w:rsidR="001C6219">
        <w:t xml:space="preserve"> Reglamento (UE) 2021/1060</w:t>
      </w:r>
    </w:p>
    <w:p w:rsidR="001C6219" w:rsidRDefault="00FC0FB1" w:rsidP="001C6219">
      <w:hyperlink w:anchor="scroll-bookmark-415" w:history="1">
        <w:r w:rsidR="001C6219">
          <w:rPr>
            <w:rStyle w:val="Hipervnculo"/>
          </w:rPr>
          <w:t>[3]</w:t>
        </w:r>
      </w:hyperlink>
      <w:r w:rsidR="001C6219">
        <w:t xml:space="preserve"> Reglamento (UE) n.º 1303/2013</w:t>
      </w:r>
    </w:p>
    <w:p w:rsidR="001C6219" w:rsidRDefault="00FC0FB1" w:rsidP="001C6219">
      <w:hyperlink w:anchor="scroll-bookmark-416" w:history="1">
        <w:r w:rsidR="001C6219">
          <w:rPr>
            <w:rStyle w:val="Hipervnculo"/>
          </w:rPr>
          <w:t>[4]</w:t>
        </w:r>
      </w:hyperlink>
      <w:r w:rsidR="001C6219">
        <w:t xml:space="preserve"> Reglamento (UE) n.º 1301/2013; Reglamento (UE) n.º 1300/2013; Reglamento (UE) n.º 1304/2013; Reglamento (UE) n.º 1299/2013</w:t>
      </w:r>
    </w:p>
    <w:p w:rsidR="001C6219" w:rsidRDefault="00FC0FB1" w:rsidP="001C6219">
      <w:hyperlink r:id="rId496" w:anchor="_ftnref5" w:history="1">
        <w:r w:rsidR="001C6219">
          <w:rPr>
            <w:rStyle w:val="Hipervnculo"/>
          </w:rPr>
          <w:t>[5]</w:t>
        </w:r>
      </w:hyperlink>
      <w:r w:rsidR="001C6219">
        <w:t xml:space="preserve"> </w:t>
      </w:r>
      <w:r w:rsidR="001C6219">
        <w:rPr>
          <w:color w:val="000000"/>
        </w:rPr>
        <w:t>Como también se explica en las respuestas a las preguntas 107 y 108 del documento «Member State questions within the framework of the EGESIF Debate on the draft Closure Guidelines» (preguntas de los Estados miembros en el marco del debate del EGESIF sobre el proyecto de directrices de cierre) (EGESIF 21-0012-05).</w:t>
      </w:r>
    </w:p>
    <w:p w:rsidR="001C6219" w:rsidRDefault="001C6219" w:rsidP="001C6219"/>
    <w:p w:rsidR="001C6219" w:rsidRDefault="001C6219" w:rsidP="001C6219"/>
    <w:p w:rsidR="001C6219" w:rsidRDefault="001C6219" w:rsidP="001C6219">
      <w:pPr>
        <w:pStyle w:val="Ttulo1"/>
      </w:pPr>
      <w:bookmarkStart w:id="368" w:name="scroll-bookmark-417"/>
      <w:bookmarkStart w:id="369" w:name="scroll-bookmark-418"/>
      <w:bookmarkEnd w:id="368"/>
      <w:r>
        <w:t>QA00205 — Plazo del FTJ NGEU y consecuencias para los instrumentos financieros</w:t>
      </w:r>
      <w:bookmarkEnd w:id="369"/>
    </w:p>
    <w:p w:rsidR="001C6219" w:rsidRDefault="001C6219" w:rsidP="001C6219">
      <w:r>
        <w:rPr>
          <w:noProof/>
          <w:lang w:val="es-ES"/>
        </w:rPr>
        <w:drawing>
          <wp:inline distT="0" distB="0" distL="0" distR="0" wp14:anchorId="5252AC33" wp14:editId="48A505D5">
            <wp:extent cx="152435" cy="152435"/>
            <wp:effectExtent l="0" t="0" r="0" b="0"/>
            <wp:docPr id="100743" name="Imagen 1007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91, 92, 105 a 107 del RDC</w:t>
      </w:r>
    </w:p>
    <w:p w:rsidR="001C6219" w:rsidRDefault="001C6219" w:rsidP="001C6219">
      <w:r>
        <w:rPr>
          <w:noProof/>
          <w:lang w:val="es-ES"/>
        </w:rPr>
        <w:drawing>
          <wp:inline distT="0" distB="0" distL="0" distR="0" wp14:anchorId="7DDD8608" wp14:editId="366BCFF3">
            <wp:extent cx="152435" cy="152435"/>
            <wp:effectExtent l="0" t="0" r="0" b="0"/>
            <wp:docPr id="100745" name="Imagen 1007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HU</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¿Cuáles son los plazos aplicables a los pagos de los instrumentos financieros ejecutados con cargo a los fondos del Instrumento Europeo de Recuperación en el marco del FTJ? Los fondos del Instrumento Europeo de Recuperación deben consumirse de aquí a 2026. ¿Cuál es la consecuencia de este plazo en el FI?</w:t>
      </w:r>
    </w:p>
    <w:p w:rsidR="001C6219" w:rsidRDefault="001C6219" w:rsidP="001C6219"/>
    <w:p w:rsidR="001C6219" w:rsidRDefault="001C6219" w:rsidP="001C6219">
      <w:pPr>
        <w:pStyle w:val="P68B1DB1-Normal1"/>
      </w:pPr>
      <w:r>
        <w:t>Respuesta.</w:t>
      </w:r>
    </w:p>
    <w:p w:rsidR="001C6219" w:rsidRDefault="001C6219" w:rsidP="001C6219">
      <w:pPr>
        <w:pStyle w:val="P68B1DB1-Normal6"/>
      </w:pPr>
      <w:r>
        <w:t>Esta respuesta se actualizó el 19 de febrero de 2024. Los cambios se han tachado y el texto añadido aparece en azul y subrayado.</w:t>
      </w:r>
    </w:p>
    <w:p w:rsidR="001C6219" w:rsidRDefault="001C6219" w:rsidP="001C6219">
      <w:r>
        <w:t>La Comisión debe efectuar pagos con cargo a la fuente de financiación del FTJ de NextGenerationEU a los programas hasta el 31 de diciembre de 2026</w:t>
      </w:r>
      <w:hyperlink w:anchor="scroll-bookmark-419" w:history="1">
        <w:r>
          <w:rPr>
            <w:rStyle w:val="Hipervnculo"/>
          </w:rPr>
          <w:t>[1]</w:t>
        </w:r>
      </w:hyperlink>
      <w:r>
        <w:t>. La Comisión efectuará los pagos del FTJ a los programas con cargo a los compromisos abiertos contraídos con cargo a los recursos de NextGenerationEU hasta que se agoten. De conformidad con las normas establecidas en los artículos 105 a 107 del RDC, la Comisión liberará los recursos de NextGenerationEU que no se hayan utilizado para prefinanciación o para los que no se haya presentado una solicitud de pago de conformidad con los artículos 91 y 92 a más tardar el 31 de diciembre del tercer año civil siguiente al año de los compromisos presupuestarios para 2022 y 2023.</w:t>
      </w:r>
    </w:p>
    <w:p w:rsidR="001C6219" w:rsidRDefault="001C6219" w:rsidP="001C6219"/>
    <w:p w:rsidR="001C6219" w:rsidRDefault="001C6219" w:rsidP="001C6219">
      <w:r>
        <w:t>Los plazos para la absorción de los recursos de NextGenerationEU no tienen ningún efecto en el período de ejecución de las operaciones de los instrumentos financieros en apoyo de las acciones del FTJ y dichas operaciones pueden continuar después de 2026. De conformidad con los artículos 63 (2) y 68 (1) del RDC, el período de subvencionabilidad de las acciones ejecutadas en el marco del FTJ (también en forma de instrumentos financieros) se extiende hasta el 31 de diciembre de 2029. Por lo tanto, las solicitudes de pago para los años posteriores a</w:t>
      </w:r>
      <w:r>
        <w:rPr>
          <w:strike/>
        </w:rPr>
        <w:t>2023</w:t>
      </w:r>
      <w:r>
        <w:t xml:space="preserve"> de </w:t>
      </w:r>
      <w:r>
        <w:rPr>
          <w:color w:val="0000FF"/>
          <w:u w:val="single"/>
        </w:rPr>
        <w:t>2026</w:t>
      </w:r>
      <w:r>
        <w:t xml:space="preserve"> y hasta finales de 2029 (incluidos los gastos de los instrumentos financieros) seguirán siendo atendidas por la Comisión debido a los recursos del MFP en apoyo del programa o prioridad del FTJ [los recursos establecidos en el artículo 3 (2) del Reglamento del FTJ].</w:t>
      </w:r>
    </w:p>
    <w:p w:rsidR="001C6219" w:rsidRDefault="001C6219" w:rsidP="001C6219"/>
    <w:p w:rsidR="001C6219" w:rsidRDefault="001C6219" w:rsidP="001C6219">
      <w:r>
        <w:t>TIERNA _</w:t>
      </w:r>
    </w:p>
    <w:p w:rsidR="001C6219" w:rsidRDefault="00FC0FB1" w:rsidP="001C6219">
      <w:hyperlink w:anchor="scroll-bookmark-420" w:history="1">
        <w:r w:rsidR="001C6219">
          <w:rPr>
            <w:rStyle w:val="Hipervnculo"/>
          </w:rPr>
          <w:t>[1]</w:t>
        </w:r>
      </w:hyperlink>
      <w:r w:rsidR="001C6219">
        <w:t xml:space="preserve"> Artículo 3, apartado 4, y (9) del Reglamento (UE) 2020/2094 del Consejo, de 14 de diciembre de 2020, por el que se establece un Instrumento de Recuperación de la Unión Europea para apoyar la recuperación tras la crisis de la COVID-19.</w:t>
      </w:r>
    </w:p>
    <w:p w:rsidR="001C6219" w:rsidRDefault="001C6219" w:rsidP="001C6219"/>
    <w:p w:rsidR="001C6219" w:rsidRDefault="001C6219" w:rsidP="001C6219"/>
    <w:p w:rsidR="001C6219" w:rsidRDefault="001C6219" w:rsidP="001C6219">
      <w:pPr>
        <w:pStyle w:val="Ttulo1"/>
      </w:pPr>
      <w:bookmarkStart w:id="370" w:name="scroll-bookmark-421"/>
      <w:bookmarkStart w:id="371" w:name="scroll-bookmark-422"/>
      <w:bookmarkEnd w:id="370"/>
      <w:r>
        <w:t xml:space="preserve">QA00206 — Financiación </w:t>
      </w:r>
      <w:r w:rsidR="004A2608">
        <w:t>en cascada</w:t>
      </w:r>
      <w:r>
        <w:t xml:space="preserve"> — seguimiento del QA00132</w:t>
      </w:r>
      <w:bookmarkEnd w:id="371"/>
    </w:p>
    <w:p w:rsidR="001C6219" w:rsidRDefault="001C6219" w:rsidP="001C6219">
      <w:r>
        <w:rPr>
          <w:noProof/>
          <w:lang w:val="es-ES"/>
        </w:rPr>
        <w:drawing>
          <wp:inline distT="0" distB="0" distL="0" distR="0" wp14:anchorId="61157E9C" wp14:editId="10A6FEA4">
            <wp:extent cx="152435" cy="152435"/>
            <wp:effectExtent l="0" t="0" r="0" b="0"/>
            <wp:docPr id="100747" name="Imagen 1007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2 (9) y 63 del RDC</w:t>
      </w:r>
    </w:p>
    <w:p w:rsidR="001C6219" w:rsidRDefault="001C6219" w:rsidP="001C6219">
      <w:r>
        <w:rPr>
          <w:noProof/>
          <w:lang w:val="es-ES"/>
        </w:rPr>
        <w:drawing>
          <wp:inline distT="0" distB="0" distL="0" distR="0" wp14:anchorId="7183967E" wp14:editId="60315376">
            <wp:extent cx="152435" cy="152435"/>
            <wp:effectExtent l="0" t="0" r="0" b="0"/>
            <wp:docPr id="100749" name="Imagen 1007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la perspectiva de 2021-2027, Polonia está considerando la ejecución de operaciones consistentes en un grupo de proyectos, es decir, redistribuir la ayuda financiera del beneficiario a tipos predefinidos de organismos o personas físicas (destinatarios finales ajenos a los instrumentos financieros), sobre la base de parámetros predefinidos y claramente definidos (sin discrecionalidad alguna por parte del beneficiario). Estos parámetros se definirían antes de la selección de las operaciones y se reflejarían en documentos que establezcan las condiciones de la ayuda. El beneficiario sería responsable de la entrega de los productos y los resultados de la operación (incluidos los pequeños proyectos) y de la reasignación de ayudas a los beneficiarios finales que ejecuten estos pequeños proyectos.</w:t>
      </w:r>
    </w:p>
    <w:p w:rsidR="001C6219" w:rsidRDefault="001C6219" w:rsidP="001C6219">
      <w:r>
        <w:t xml:space="preserve">En opinión de las autoridades polacas, en este mecanismo de financiación en cascada, los gastos de los beneficiarios finales (es decir, las facturas pagadas por personas físicas u otros organismos predefinidos) son subvencionables y pueden ser reembolsados por la Comisión. Sin embargo, el beneficiario sigue siendo el único organismo pertinente que </w:t>
      </w:r>
      <w:r>
        <w:lastRenderedPageBreak/>
        <w:t>cumple todos los requisitos impuestos por el Reglamento a los beneficiarios. Las autoridades polacas solicitan la confirmación de que, en los mecanismos de financiación en cascada, los gastos efectuados por los beneficiarios finales (por ejemplo, pagos justificados mediante facturas o documentos de valor probatorio equivalente realizados por personas físicas u otros organismos predefinidos) son subvencionables y el importe total de estos gastos puede incluirse en las solicitudes de pago presentadas a la Comisión.</w:t>
      </w:r>
    </w:p>
    <w:p w:rsidR="001C6219" w:rsidRDefault="001C6219" w:rsidP="001C6219"/>
    <w:p w:rsidR="001C6219" w:rsidRDefault="001C6219" w:rsidP="001C6219">
      <w:pPr>
        <w:pStyle w:val="P68B1DB1-Normal1"/>
      </w:pPr>
      <w:r>
        <w:t>Respuesta.</w:t>
      </w:r>
    </w:p>
    <w:p w:rsidR="001C6219" w:rsidRDefault="001C6219" w:rsidP="001C6219">
      <w:r>
        <w:t>En primer lugar, la Comisión desea subrayar que los conceptos de «pequeños proyectos» y «fondos para pequeños proyectos» solo pueden utilizarse en el contexto del Reglamento Interreg [Reglamento (UE) 2021/1059], artículos 24 y 25 (2). El «destinatario final» puede utilizarse en el contexto de los instrumentos financieros y los fondos para pequeños proyectos (artículo 2, apartado 18, del RDC).</w:t>
      </w:r>
    </w:p>
    <w:p w:rsidR="001C6219" w:rsidRDefault="001C6219" w:rsidP="001C6219">
      <w:r>
        <w:t>De conformidad con el artículo 63, apartado 2, del RDC, los gastos podrán optar a una contribución de los Fondos si han sido contraídos por un beneficiario o el socio privado de una operación de APP y pagados en la ejecución de operaciones (...).</w:t>
      </w:r>
    </w:p>
    <w:p w:rsidR="001C6219" w:rsidRDefault="001C6219" w:rsidP="001C6219">
      <w:r>
        <w:t>Entendemos que la pregunta es una situación en la que todos los gastos son contraídos por el beneficiario y pagados en una operación, independientemente de si alguna ayuda se concede en cascada a otros beneficiarios, de conformidad con los acuerdos entre el beneficiario de la operación y los beneficiarios, dado que el beneficiario conserva la responsabilidad última de la ejecución de la operación.</w:t>
      </w:r>
    </w:p>
    <w:p w:rsidR="001C6219" w:rsidRDefault="001C6219" w:rsidP="001C6219">
      <w:r>
        <w:t>En este contexto, los gastos de los beneficiarios (es decir, facturas pagadas por personas físicas u otros organismos predefinidos) que serían reembolsados por el beneficiario (por tanto, contraídos por el beneficiario y pagados en la ejecución de la operación) pueden ser subvencionables. Podrían ser reembolsados por la AG (OI) al beneficiario y, posteriormente, por la Comisión al Estado miembro, a condición de que se garantice la obligación de la autoridad de gestión en lo que respecta a las verificaciones de la gestión y de que la pista de auditoría de todos los gastos efectuados y pagados en la ejecución de la operación se mantenga al nivel adecuado, es decir, (el</w:t>
      </w:r>
      <w:r>
        <w:rPr>
          <w:i/>
        </w:rPr>
        <w:t>beneficiario)</w:t>
      </w:r>
      <w:r>
        <w:t xml:space="preserve"> (artículo 82 del RDC), con independencia de que parte de la ayuda se destine en cascada a otros beneficiarios.</w:t>
      </w:r>
    </w:p>
    <w:p w:rsidR="001C6219" w:rsidRDefault="001C6219" w:rsidP="001C6219">
      <w:r>
        <w:t>Además, debe tenerse debidamente en cuenta lo siguiente:</w:t>
      </w:r>
    </w:p>
    <w:p w:rsidR="001C6219" w:rsidRDefault="001C6219" w:rsidP="001C6219">
      <w:pPr>
        <w:numPr>
          <w:ilvl w:val="0"/>
          <w:numId w:val="176"/>
        </w:numPr>
      </w:pPr>
      <w:r>
        <w:t>Debe mantenerse una pista de auditoría adecuada de los costes soportados por el beneficiario y pagados al ejecutar la operación en cascada con cargo a los fondos.</w:t>
      </w:r>
    </w:p>
    <w:p w:rsidR="001C6219" w:rsidRDefault="001C6219" w:rsidP="001C6219">
      <w:pPr>
        <w:numPr>
          <w:ilvl w:val="0"/>
          <w:numId w:val="176"/>
        </w:numPr>
      </w:pPr>
      <w:r>
        <w:t>Las verificaciones de la gestión siguen siendo responsabilidad de la AG o del OI por delegación.</w:t>
      </w:r>
    </w:p>
    <w:p w:rsidR="001C6219" w:rsidRDefault="001C6219" w:rsidP="001C6219">
      <w:pPr>
        <w:numPr>
          <w:ilvl w:val="0"/>
          <w:numId w:val="176"/>
        </w:numPr>
      </w:pPr>
      <w:r>
        <w:t>Se mantendrá una pista de auditoría de dichas verificaciones al nivel del organismo que lleve a cabo las verificaciones de la gestión (AG o OI); las subdelegaciones del OI a los beneficiarios no son posibles.</w:t>
      </w:r>
    </w:p>
    <w:p w:rsidR="001C6219" w:rsidRDefault="001C6219" w:rsidP="001C6219"/>
    <w:p w:rsidR="001C6219" w:rsidRDefault="001C6219" w:rsidP="001C6219">
      <w:r>
        <w:lastRenderedPageBreak/>
        <w:t xml:space="preserve">Para más información, consúltense las </w:t>
      </w:r>
      <w:hyperlink r:id="rId497" w:history="1">
        <w:r>
          <w:rPr>
            <w:rStyle w:val="Hipervnculo"/>
          </w:rPr>
          <w:t>respuestas</w:t>
        </w:r>
      </w:hyperlink>
      <w:r>
        <w:t xml:space="preserve"> a </w:t>
      </w:r>
      <w:hyperlink r:id="rId498" w:history="1">
        <w:r>
          <w:rPr>
            <w:rStyle w:val="Hipervnculo"/>
          </w:rPr>
          <w:t>los</w:t>
        </w:r>
      </w:hyperlink>
      <w:r>
        <w:t xml:space="preserve"> QA00132</w:t>
      </w:r>
      <w:hyperlink r:id="rId499" w:history="1">
        <w:r>
          <w:rPr>
            <w:rStyle w:val="Hipervnculo"/>
          </w:rPr>
          <w:t>,</w:t>
        </w:r>
      </w:hyperlink>
      <w:r>
        <w:t xml:space="preserve"> QA00133, </w:t>
      </w:r>
      <w:hyperlink r:id="rId500" w:history="1">
        <w:r>
          <w:rPr>
            <w:rStyle w:val="Hipervnculo"/>
          </w:rPr>
          <w:t>QA00199</w:t>
        </w:r>
      </w:hyperlink>
      <w:r>
        <w:t xml:space="preserve"> y QA00130.</w:t>
      </w:r>
    </w:p>
    <w:p w:rsidR="001C6219" w:rsidRDefault="001C6219" w:rsidP="001C6219"/>
    <w:p w:rsidR="001C6219" w:rsidRDefault="001C6219" w:rsidP="001C6219"/>
    <w:p w:rsidR="001C6219" w:rsidRDefault="001C6219" w:rsidP="001C6219">
      <w:pPr>
        <w:pStyle w:val="Ttulo1"/>
      </w:pPr>
      <w:bookmarkStart w:id="372" w:name="scroll-bookmark-423"/>
      <w:bookmarkStart w:id="373" w:name="scroll-bookmark-424"/>
      <w:bookmarkEnd w:id="372"/>
      <w:r>
        <w:t>QA00207 — Selección de estrategias de desarrollo local participativo</w:t>
      </w:r>
      <w:bookmarkEnd w:id="373"/>
    </w:p>
    <w:p w:rsidR="001C6219" w:rsidRDefault="001C6219" w:rsidP="001C6219">
      <w:r>
        <w:rPr>
          <w:noProof/>
          <w:lang w:val="es-ES"/>
        </w:rPr>
        <w:drawing>
          <wp:inline distT="0" distB="0" distL="0" distR="0" wp14:anchorId="5F5BC117" wp14:editId="5E0B666C">
            <wp:extent cx="152435" cy="152435"/>
            <wp:effectExtent l="0" t="0" r="0" b="0"/>
            <wp:docPr id="100751" name="Imagen 1007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32, apartado 3, del RDC</w:t>
      </w:r>
    </w:p>
    <w:p w:rsidR="001C6219" w:rsidRDefault="001C6219" w:rsidP="001C6219">
      <w:r>
        <w:rPr>
          <w:noProof/>
          <w:lang w:val="es-ES"/>
        </w:rPr>
        <w:drawing>
          <wp:inline distT="0" distB="0" distL="0" distR="0" wp14:anchorId="7665199E" wp14:editId="1F94C12E">
            <wp:extent cx="152435" cy="152435"/>
            <wp:effectExtent l="0" t="0" r="0" b="0"/>
            <wp:docPr id="100753" name="Imagen 1007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De conformidad con el artículo 32, apartado 3, del RDC, una autoridad de gestión debe completar la primera ronda de selección de estrategias y garantizar que los grupos de acción local seleccionados puedan cumplir las tareas establecidas en el artículo 33, apartado 3, del RDC en un plazo de 12 meses a partir de la fecha de la decisión por la que se apruebe el programa.</w:t>
      </w:r>
    </w:p>
    <w:p w:rsidR="001C6219" w:rsidRDefault="001C6219" w:rsidP="001C6219">
      <w:r>
        <w:t>Cuando una autoridad de gestión haya seleccionado la primera estrategia de DLP en un plazo de 12 meses a partir de la fecha de aprobación del programa, ¿puede seleccionar otras estrategias de DLP a más tardar un año después de la aprobación del programa?  </w:t>
      </w:r>
    </w:p>
    <w:p w:rsidR="001C6219" w:rsidRDefault="001C6219" w:rsidP="001C6219">
      <w:pPr>
        <w:pStyle w:val="P68B1DB1-Normal3"/>
      </w:pPr>
      <w:r>
        <w:t> </w:t>
      </w:r>
    </w:p>
    <w:p w:rsidR="001C6219" w:rsidRDefault="001C6219" w:rsidP="001C6219">
      <w:pPr>
        <w:pStyle w:val="P68B1DB1-Normal1"/>
      </w:pPr>
      <w:r>
        <w:t>Respuesta.</w:t>
      </w:r>
    </w:p>
    <w:p w:rsidR="001C6219" w:rsidRDefault="001C6219" w:rsidP="001C6219">
      <w:r>
        <w:t>El artículo 32, apartado 3, del RDC establece el calendario para la primera ronda de selección de estrategias. Se supone que este plazo debe garantizar una puesta en marcha fluida de la aplicación del DLP, así como tiempo suficiente para la aplicación de las estrategias. Sin embargo, no impide a las autoridades de gestión seleccionar otras estrategias de DLP después de este plazo.</w:t>
      </w:r>
    </w:p>
    <w:p w:rsidR="001C6219" w:rsidRDefault="001C6219" w:rsidP="001C6219"/>
    <w:p w:rsidR="001C6219" w:rsidRDefault="001C6219" w:rsidP="001C6219"/>
    <w:p w:rsidR="001C6219" w:rsidRDefault="001C6219" w:rsidP="001C6219">
      <w:pPr>
        <w:pStyle w:val="Ttulo1"/>
      </w:pPr>
      <w:bookmarkStart w:id="374" w:name="scroll-bookmark-425"/>
      <w:bookmarkStart w:id="375" w:name="scroll-bookmark-426"/>
      <w:bookmarkEnd w:id="374"/>
      <w:r>
        <w:t>QA00208 — Información a la Comisión sobre el cumplimiento de las condiciones favorables a lo largo del período de programación</w:t>
      </w:r>
      <w:bookmarkEnd w:id="375"/>
    </w:p>
    <w:p w:rsidR="001C6219" w:rsidRDefault="001C6219" w:rsidP="001C6219">
      <w:r>
        <w:rPr>
          <w:noProof/>
          <w:lang w:val="es-ES"/>
        </w:rPr>
        <w:drawing>
          <wp:inline distT="0" distB="0" distL="0" distR="0" wp14:anchorId="28C3C213" wp14:editId="78F92DDD">
            <wp:extent cx="152435" cy="152435"/>
            <wp:effectExtent l="0" t="0" r="0" b="0"/>
            <wp:docPr id="100755" name="Imagen 1007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15, apartado 6, del Reglamento sobre disposiciones comunes.</w:t>
      </w:r>
    </w:p>
    <w:p w:rsidR="001C6219" w:rsidRDefault="001C6219" w:rsidP="001C6219">
      <w:r>
        <w:rPr>
          <w:noProof/>
          <w:lang w:val="es-ES"/>
        </w:rPr>
        <w:drawing>
          <wp:inline distT="0" distB="0" distL="0" distR="0" wp14:anchorId="0A6164C2" wp14:editId="5563287D">
            <wp:extent cx="152435" cy="152435"/>
            <wp:effectExtent l="0" t="0" r="0" b="0"/>
            <wp:docPr id="100757" name="Imagen 1007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r>
        <w:t>En el Reglamento (UE) 2021/1060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 y más concretamente en su artículo 15 «Condiciones de habilitación», apartado 6, se afirma que «</w:t>
      </w:r>
      <w:r>
        <w:rPr>
          <w:b/>
          <w:i/>
        </w:rPr>
        <w:t xml:space="preserve">El Estado miembro velará por que las condiciones favorables sigan cumpliéndose y respetándose durante todo el período de programación. </w:t>
      </w:r>
      <w:r>
        <w:rPr>
          <w:b/>
          <w:i/>
          <w:u w:val="single"/>
        </w:rPr>
        <w:t>Informará a la Comisión</w:t>
      </w:r>
      <w:r>
        <w:rPr>
          <w:b/>
          <w:i/>
        </w:rPr>
        <w:t xml:space="preserve"> de cualquier modificación que afecte al cumplimiento de las condiciones favorables.</w:t>
      </w:r>
      <w:r>
        <w:t>».</w:t>
      </w:r>
    </w:p>
    <w:p w:rsidR="001C6219" w:rsidRDefault="001C6219" w:rsidP="001C6219">
      <w:r>
        <w:t> Grecia ya ha cumplido 11 de los 20 CE, mientras que la mayoría del resto está en proceso de concluir las negociaciones con las unidades GEO para su cumplimiento.  Además, ha transcurrido unos meses que la mayoría de los programas de Grecia ya han sido aprobados (con exclusión de la asistencia técnica y los del Fondo FAMI, FEMPA, que se espera que se adopten próximamente) y, en la fase actual, se celebran reuniones de los comités de seguimiento, activando el nuevo período de programación 2021-2027.</w:t>
      </w:r>
    </w:p>
    <w:p w:rsidR="001C6219" w:rsidRDefault="001C6219" w:rsidP="001C6219">
      <w:r>
        <w:t xml:space="preserve"> Dado que </w:t>
      </w:r>
      <w:r>
        <w:rPr>
          <w:b/>
        </w:rPr>
        <w:t>la frecuencia y el tipo de la información que necesita la Comisión Europea</w:t>
      </w:r>
      <w:r>
        <w:t xml:space="preserve"> en relación con el cumplimiento de los derechos de emisión a lo largo del período de programación </w:t>
      </w:r>
      <w:r>
        <w:rPr>
          <w:b/>
        </w:rPr>
        <w:t>no se especifica en el RDC (UE) 2021/1060</w:t>
      </w:r>
      <w:r>
        <w:t xml:space="preserve"> y teniendo en cuenta varias referencias pertinentes en los artículos 38, 40 y 41 del RDC, </w:t>
      </w:r>
      <w:r>
        <w:rPr>
          <w:b/>
        </w:rPr>
        <w:t xml:space="preserve">consideramos que presentar a la Comisión Europea los avances del seguimiento de los EC </w:t>
      </w:r>
      <w:r>
        <w:rPr>
          <w:b/>
          <w:u w:val="single"/>
        </w:rPr>
        <w:t>en el contexto y con la frecuencia del comité de seguimiento o de las reuniones anuales de revisión del rendimiento se ajusta a las disposiciones del RDC</w:t>
      </w:r>
      <w:r>
        <w:t>.</w:t>
      </w:r>
    </w:p>
    <w:p w:rsidR="001C6219" w:rsidRDefault="001C6219" w:rsidP="001C6219">
      <w:r>
        <w:t>Además, se entiende que el método por el que el Estado miembro recopilará la información requerida queda a su discreción y de conformidad con el procedimiento ya aplicado para garantizar el cumplimiento de las Comunidades Europeas. </w:t>
      </w:r>
    </w:p>
    <w:p w:rsidR="001C6219" w:rsidRDefault="001C6219" w:rsidP="001C6219">
      <w:r>
        <w:t>En este contexto, le pedimos que confirme que hemos entendido adecuadamente nuestra obligación con respecto a las disposiciones del artículo 15, apartado 6, del RDC.</w:t>
      </w:r>
    </w:p>
    <w:p w:rsidR="001C6219" w:rsidRDefault="001C6219" w:rsidP="001C6219">
      <w:r>
        <w:t>En cualquier otro caso, le rogamos que informe a todos los Estados miembros sobre la manera en que la Comisión Europea interpreta la aplicación de la disposición mencionada y que mantenga un debate al respecto en el contexto del grupo de expertos del RDC, a fin de garantizar un entendimiento común entre los Estados miembros y los servicios de la Comisión y evitar posibles malentendidos y tratamientos no uniformes.  </w:t>
      </w:r>
    </w:p>
    <w:p w:rsidR="001C6219" w:rsidRDefault="001C6219" w:rsidP="001C6219"/>
    <w:p w:rsidR="001C6219" w:rsidRDefault="00377B57" w:rsidP="001C6219">
      <w:pPr>
        <w:pStyle w:val="P68B1DB1-Normal1"/>
      </w:pPr>
      <w:r>
        <w:t>Pregunta</w:t>
      </w:r>
    </w:p>
    <w:p w:rsidR="001C6219" w:rsidRDefault="001C6219" w:rsidP="001C6219">
      <w:pPr>
        <w:pStyle w:val="P68B1DB1-Normal1"/>
      </w:pPr>
      <w:r>
        <w:t>¿Qué tipo de información y con qué frecuencia deben informar los Estados miembros a la Comisión sobre el cumplimiento de las condiciones favorables durante el período de programación 21-27?</w:t>
      </w:r>
    </w:p>
    <w:p w:rsidR="001C6219" w:rsidRDefault="001C6219" w:rsidP="001C6219"/>
    <w:p w:rsidR="001C6219" w:rsidRDefault="001C6219" w:rsidP="001C6219">
      <w:pPr>
        <w:pStyle w:val="P68B1DB1-Normal1"/>
      </w:pPr>
      <w:r>
        <w:t>Respuesta.</w:t>
      </w:r>
    </w:p>
    <w:p w:rsidR="001C6219" w:rsidRDefault="001C6219" w:rsidP="001C6219">
      <w:r>
        <w:lastRenderedPageBreak/>
        <w:t>De conformidad con el artículo 15, apartado 6, del RDC, «el Estado miembro velará por que las condiciones favorables sigan cumpliéndose y respetándose durante todo el período de programación». Además, también determina que el Estado miembro «informará a la Comisión de cualquier modificación que afecte al cumplimiento de las condiciones favorables».</w:t>
      </w:r>
    </w:p>
    <w:p w:rsidR="001C6219" w:rsidRDefault="001C6219" w:rsidP="001C6219">
      <w:r>
        <w:t>Dado el cumplimiento continuado exigido en virtud del artículo 15, apartado 6, del RDC, el Estado miembro debe informar a la Comisión de cualquier modificación que afecte al cumplimiento de las condiciones favorables</w:t>
      </w:r>
      <w:r>
        <w:rPr>
          <w:b/>
        </w:rPr>
        <w:t xml:space="preserve"> </w:t>
      </w:r>
      <w:r>
        <w:t xml:space="preserve">mediante carta presentada a través de los medios oficiales del SFC 2021, al margen de la presentación de las secciones de modificación del programa. </w:t>
      </w:r>
      <w:r>
        <w:rPr>
          <w:b/>
        </w:rPr>
        <w:t xml:space="preserve">«Cualquier modificación que afecte al cumplimiento de las condiciones favorecedoras» </w:t>
      </w:r>
      <w:r>
        <w:t>debe ser entendida por el Estado miembro</w:t>
      </w:r>
      <w:r>
        <w:rPr>
          <w:b/>
        </w:rPr>
        <w:t xml:space="preserve"> como cualquier cambio sustancial que afecte a los documentos o disposiciones que demuestren que se cumplen los criterios de las condiciones favorecedoras pertinentes establecidos en el anexo III o en el anexo IV del RDC, lo que repercute en el cumplimiento de la condición favorecedora.</w:t>
      </w:r>
    </w:p>
    <w:p w:rsidR="001C6219" w:rsidRDefault="001C6219" w:rsidP="001C6219">
      <w:pPr>
        <w:pStyle w:val="P68B1DB1-Normal1"/>
      </w:pPr>
      <w:r>
        <w:t> </w:t>
      </w:r>
    </w:p>
    <w:p w:rsidR="001C6219" w:rsidRDefault="001C6219" w:rsidP="001C6219">
      <w:r>
        <w:t>El Estado miembro debe comunicar el cambio sustancial, tal como se establece en el artículo 15, apartado 6, del RDC, inmediatamente después de que se produzca. El calendario de las reuniones del comité de seguimiento o de las reuniones de revisión no es pertinente a este respecto.</w:t>
      </w:r>
    </w:p>
    <w:p w:rsidR="001C6219" w:rsidRDefault="001C6219" w:rsidP="001C6219">
      <w:r>
        <w:t>Además, la Comisión también podrá iniciar el procedimiento previsto en el artículo 15, apartado 6, párrafo segundo, del RDC por iniciativa propia sobre la base de la información disponible.</w:t>
      </w:r>
    </w:p>
    <w:p w:rsidR="001C6219" w:rsidRDefault="001C6219" w:rsidP="001C6219">
      <w:r>
        <w:t>La comunicación de cambios sustanciales de conformidad con el artículo 15, apartado 6, del RDC no afecta a las obligaciones de seguimiento periódico relacionadas con las condiciones favorables:</w:t>
      </w:r>
    </w:p>
    <w:p w:rsidR="001C6219" w:rsidRDefault="001C6219" w:rsidP="001C6219">
      <w:pPr>
        <w:numPr>
          <w:ilvl w:val="0"/>
          <w:numId w:val="177"/>
        </w:numPr>
      </w:pPr>
      <w:r>
        <w:t>De conformidad con el artículo 40, apartado 1, letra h), del RDC, el comité de seguimiento examina el cumplimiento de las condiciones favorables y su aplicación a lo largo del período de programación. Por lo tanto, debe ser un tema estándar para su examen en las reuniones del comité de seguimiento, en particular en los casos en que no se cumplan una o varias condiciones favorables en el momento de la aprobación del programa, o cuando se introduzca un nuevo objetivo específico como parte de una modificación del programa, o cuando surjan otras circunstancias que puedan afectar al cumplimiento de las condiciones favorecedoras. De conformidad con el artículo 75, letra a), del RDC, la autoridad de gestión facilitará oportunamente al comité de seguimiento toda la información necesaria para llevar a cabo sus tareas y los representantes de la Comisión participantes serán igualmente informados al mismo tiempo.</w:t>
      </w:r>
    </w:p>
    <w:p w:rsidR="001C6219" w:rsidRDefault="001C6219" w:rsidP="001C6219">
      <w:pPr>
        <w:numPr>
          <w:ilvl w:val="0"/>
          <w:numId w:val="178"/>
        </w:numPr>
      </w:pPr>
      <w:r>
        <w:t>Además, la autoridad de gestión debe cumplir los mecanismos de presentación de informes al comité de seguimiento establecidos por el Estado miembro a fin de cumplir los criterios para el cumplimiento de los HEC relacionados con la Carta y la CDPD.</w:t>
      </w:r>
    </w:p>
    <w:p w:rsidR="001C6219" w:rsidRDefault="001C6219" w:rsidP="001C6219">
      <w:pPr>
        <w:numPr>
          <w:ilvl w:val="0"/>
          <w:numId w:val="179"/>
        </w:numPr>
      </w:pPr>
      <w:r>
        <w:t xml:space="preserve">Esta cuestión también debe debatirse en las reuniones de revisión del rendimiento, de conformidad con el artículo 41, apartado 3, del RDC, dado que </w:t>
      </w:r>
      <w:r>
        <w:lastRenderedPageBreak/>
        <w:t>está cubierta por la información que la autoridad de gestión debe facilitar a la Comisión de conformidad con el artículo 40, apartado 1, del RDC.</w:t>
      </w:r>
    </w:p>
    <w:p w:rsidR="001C6219" w:rsidRDefault="001C6219" w:rsidP="001C6219">
      <w:pPr>
        <w:numPr>
          <w:ilvl w:val="0"/>
          <w:numId w:val="180"/>
        </w:numPr>
      </w:pPr>
      <w:r>
        <w:t>Se recuerda que se anima a los servicios de la Comisión y a los Estados miembros a mantener intercambios informales periódicos sobre el cumplimiento de las condiciones favorables.</w:t>
      </w:r>
    </w:p>
    <w:p w:rsidR="001C6219" w:rsidRDefault="001C6219" w:rsidP="001C6219"/>
    <w:p w:rsidR="001C6219" w:rsidRDefault="001C6219" w:rsidP="001C6219"/>
    <w:p w:rsidR="001C6219" w:rsidRDefault="001C6219" w:rsidP="001C6219">
      <w:pPr>
        <w:pStyle w:val="Ttulo1"/>
      </w:pPr>
      <w:bookmarkStart w:id="376" w:name="scroll-bookmark-427"/>
      <w:bookmarkStart w:id="377" w:name="scroll-bookmark-428"/>
      <w:bookmarkEnd w:id="376"/>
      <w:r>
        <w:t>QA00209 — Auditoría de los gastos de viaje y alojamiento reembolsados sobre la base de una cantidad a tanto alzado</w:t>
      </w:r>
      <w:bookmarkEnd w:id="377"/>
    </w:p>
    <w:p w:rsidR="001C6219" w:rsidRDefault="001C6219" w:rsidP="001C6219">
      <w:r>
        <w:rPr>
          <w:noProof/>
          <w:lang w:val="es-ES"/>
        </w:rPr>
        <w:drawing>
          <wp:inline distT="0" distB="0" distL="0" distR="0" wp14:anchorId="58151E39" wp14:editId="3D35503E">
            <wp:extent cx="152435" cy="152435"/>
            <wp:effectExtent l="0" t="0" r="0" b="0"/>
            <wp:docPr id="100759" name="Imagen 1007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41, apartado 5, del Reglamento (UE) 2021/1059 Interreg</w:t>
      </w:r>
    </w:p>
    <w:p w:rsidR="001C6219" w:rsidRDefault="001C6219" w:rsidP="001C6219">
      <w:r>
        <w:rPr>
          <w:noProof/>
          <w:lang w:val="es-ES"/>
        </w:rPr>
        <w:drawing>
          <wp:inline distT="0" distB="0" distL="0" distR="0" wp14:anchorId="415424B4" wp14:editId="5410E07C">
            <wp:extent cx="152435" cy="152435"/>
            <wp:effectExtent l="0" t="0" r="0" b="0"/>
            <wp:docPr id="100761" name="Imagen 1007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Pregunta original de una AG: Cantidad fija para los gastos de viaje y alojamiento de hasta el 15 % de los costes directos de la operación (artículo 41, apartado 5, del Reglamento Interreg) — para confirmar la subvencionabilidad de los gastos es suficiente que el organismo de control autorizado verifique si:</w:t>
      </w:r>
    </w:p>
    <w:p w:rsidR="001C6219" w:rsidRDefault="001C6219" w:rsidP="001C6219">
      <w:pPr>
        <w:numPr>
          <w:ilvl w:val="0"/>
          <w:numId w:val="181"/>
        </w:numPr>
      </w:pPr>
      <w:r>
        <w:t>esta categoría de costes estaba prevista en el presupuesto del proyecto y, en caso afirmativo, si el importe a tanto alzado no supera el presupuesto previsto y los límites resultantes de los reglamentos y decisiones adoptados en el programa,</w:t>
      </w:r>
    </w:p>
    <w:p w:rsidR="001C6219" w:rsidRDefault="001C6219" w:rsidP="001C6219">
      <w:pPr>
        <w:numPr>
          <w:ilvl w:val="0"/>
          <w:numId w:val="181"/>
        </w:numPr>
      </w:pPr>
      <w:r>
        <w:t>se verificaron los gastos que constituyen la base para el cálculo del tipo fijo para verificar que no se habían incluido gastos no subvencionables,</w:t>
      </w:r>
    </w:p>
    <w:p w:rsidR="001C6219" w:rsidRDefault="001C6219" w:rsidP="001C6219">
      <w:pPr>
        <w:numPr>
          <w:ilvl w:val="0"/>
          <w:numId w:val="181"/>
        </w:numPr>
      </w:pPr>
      <w:r>
        <w:t>el importe correspondiente al tanto alzado de la solicitud de pago se ha calculado matemáticamente correctamente.»</w:t>
      </w:r>
    </w:p>
    <w:p w:rsidR="001C6219" w:rsidRDefault="001C6219" w:rsidP="001C6219">
      <w:r>
        <w:t>En este contexto, se plantea la siguiente cuestión: si la cantidad a tanto alzado para el viaje y el alojamiento, tal como se define en el artículo 41, apartado 5, del Reglamento Interreg, se verifica adecuadamente a través de los puntos anteriores, que son similares a los puntos de verificación seguidos para los costes indirectos.</w:t>
      </w:r>
    </w:p>
    <w:p w:rsidR="001C6219" w:rsidRDefault="001C6219" w:rsidP="001C6219">
      <w:r>
        <w:t xml:space="preserve">En el caso de los costes indirectos, durante una auditoría, el principal riesgo reside en la verificación de la base a la que se aplica el tipo fijo, </w:t>
      </w:r>
      <w:r w:rsidR="002F3719">
        <w:t xml:space="preserve">ya que, </w:t>
      </w:r>
      <w:r>
        <w:t>puede ocurrir que los costes incluidos en la base sean de carácter indirecto, por lo que la verificación tiene por objeto abordar el posible riesgo de doble financiación, junto con el cálculo correcto de los costes indirectos. No hay ninguna verificación específica que confirme que esta categoría de costes existe para el beneficiario.</w:t>
      </w:r>
    </w:p>
    <w:p w:rsidR="001C6219" w:rsidRDefault="001C6219" w:rsidP="001C6219">
      <w:r>
        <w:t xml:space="preserve">El riesgo para las OCS fuera de la plataforma relacionada con el viaje y el alojamiento está </w:t>
      </w:r>
      <w:r>
        <w:rPr>
          <w:b/>
        </w:rPr>
        <w:t xml:space="preserve">relacionado con la no realización de viajes o alojamiento </w:t>
      </w:r>
      <w:r>
        <w:t xml:space="preserve">a pesar de estar previstos </w:t>
      </w:r>
      <w:r>
        <w:lastRenderedPageBreak/>
        <w:t>en el presupuesto del proyecto. El Tribunal estima que este riesgo es bajo, dada la naturaleza de los proyectos, pero puede haber casos en los que las reuniones se celebren a distancia y no se produzcan desplazamientos a las reuniones ni al alojamiento correspondiente.</w:t>
      </w:r>
    </w:p>
    <w:p w:rsidR="001C6219" w:rsidRDefault="001C6219" w:rsidP="001C6219">
      <w:pPr>
        <w:pStyle w:val="P68B1DB1-Normal1"/>
      </w:pPr>
      <w:r>
        <w:t>Respuesta.</w:t>
      </w:r>
    </w:p>
    <w:p w:rsidR="001C6219" w:rsidRDefault="001C6219" w:rsidP="001C6219">
      <w:pPr>
        <w:pStyle w:val="P68B1DB1-Normal6"/>
      </w:pPr>
      <w:r>
        <w:t>Esta respuesta se actualizó el 17 de enero de 2024. Los cambios se han tachado y el texto añadido aparece en azul y subrayado.</w:t>
      </w:r>
    </w:p>
    <w:p w:rsidR="001C6219" w:rsidRDefault="001C6219" w:rsidP="001C6219">
      <w:r>
        <w:rPr>
          <w:strike/>
        </w:rPr>
        <w:t>Por su naturaleza, los</w:t>
      </w:r>
      <w:r>
        <w:t xml:space="preserve"> proyectos Interreg tienen por objeto mejorar la cooperación entre los Estados miembros y sus regiones y, en su caso,</w:t>
      </w:r>
      <w:r>
        <w:rPr>
          <w:strike/>
        </w:rPr>
        <w:t>los países socios y</w:t>
      </w:r>
      <w:r>
        <w:t xml:space="preserve"> terceros países. Por lo tanto, los gastos de viaje y alojamiento son a menudo necesarios para ejecutar los proyectos. Si un proyecto no incluye ningún gasto relacionado con el viaje y el alojamiento, esta categoría de</w:t>
      </w:r>
      <w:r>
        <w:rPr>
          <w:strike/>
        </w:rPr>
        <w:t>gastos</w:t>
      </w:r>
      <w:r>
        <w:rPr>
          <w:color w:val="0000FF"/>
        </w:rPr>
        <w:t xml:space="preserve"> </w:t>
      </w:r>
      <w:r>
        <w:rPr>
          <w:color w:val="0000FF"/>
          <w:u w:val="single"/>
        </w:rPr>
        <w:t>no</w:t>
      </w:r>
      <w:r>
        <w:rPr>
          <w:color w:val="0000FF"/>
        </w:rPr>
        <w:t xml:space="preserve"> </w:t>
      </w:r>
      <w:r>
        <w:t xml:space="preserve">podrá incluirse en el presupuesto y, por consiguiente, </w:t>
      </w:r>
      <w:r>
        <w:rPr>
          <w:color w:val="0000FF"/>
          <w:u w:val="single"/>
        </w:rPr>
        <w:t>no podrá utilizarse el tipo fijo pertinente para</w:t>
      </w:r>
      <w:r>
        <w:rPr>
          <w:strike/>
        </w:rPr>
        <w:t>dicho proyecto</w:t>
      </w:r>
      <w:r>
        <w:rPr>
          <w:color w:val="0000FF"/>
          <w:u w:val="single"/>
        </w:rPr>
        <w:t>.</w:t>
      </w:r>
    </w:p>
    <w:p w:rsidR="001C6219" w:rsidRDefault="001C6219" w:rsidP="001C6219">
      <w:r>
        <w:rPr>
          <w:color w:val="0000FF"/>
          <w:u w:val="single"/>
        </w:rPr>
        <w:t xml:space="preserve">Las verificaciones y </w:t>
      </w:r>
      <w:r>
        <w:rPr>
          <w:color w:val="000000"/>
        </w:rPr>
        <w:t xml:space="preserve">auditorías </w:t>
      </w:r>
      <w:r>
        <w:t>de gestión se basarán en los elementos establecidos en el anexo XIII del RDC (en relación con las opciones de costes simplificados, en particular su punto 13). En relación con el artículo 41, apartado 5, del Reglamento Interreg, se verificarán los siguientes elementos:</w:t>
      </w:r>
    </w:p>
    <w:p w:rsidR="001C6219" w:rsidRDefault="001C6219" w:rsidP="001C6219">
      <w:pPr>
        <w:numPr>
          <w:ilvl w:val="0"/>
          <w:numId w:val="182"/>
        </w:numPr>
      </w:pPr>
      <w:r>
        <w:t xml:space="preserve">las categorías de costes mencionadas en el artículo 41, apartado 5, están previstas </w:t>
      </w:r>
      <w:r>
        <w:rPr>
          <w:color w:val="0000FF"/>
          <w:u w:val="single"/>
        </w:rPr>
        <w:t>en el</w:t>
      </w:r>
      <w:r>
        <w:rPr>
          <w:strike/>
        </w:rPr>
        <w:t>documento del acuerdo</w:t>
      </w:r>
      <w:r>
        <w:rPr>
          <w:color w:val="0000FF"/>
          <w:u w:val="single"/>
        </w:rPr>
        <w:t xml:space="preserve"> de subvención en el que se establecen las condiciones para</w:t>
      </w:r>
      <w:r>
        <w:t xml:space="preserve"> la ayuda a</w:t>
      </w:r>
      <w:r>
        <w:rPr>
          <w:strike/>
        </w:rPr>
        <w:t>la operación y son pertinentes para el tipo o tipos de operación</w:t>
      </w:r>
      <w:r>
        <w:t xml:space="preserve"> respectivos;</w:t>
      </w:r>
    </w:p>
    <w:p w:rsidR="001C6219" w:rsidRDefault="001C6219" w:rsidP="001C6219">
      <w:pPr>
        <w:numPr>
          <w:ilvl w:val="0"/>
          <w:numId w:val="182"/>
        </w:numPr>
      </w:pPr>
      <w:r>
        <w:t>los informes de situación contienen detalles de las reuniones (presenciales</w:t>
      </w:r>
      <w:r>
        <w:rPr>
          <w:strike/>
        </w:rPr>
        <w:t>) celebradas</w:t>
      </w:r>
      <w:r>
        <w:t xml:space="preserve"> </w:t>
      </w:r>
      <w:r>
        <w:rPr>
          <w:color w:val="0000FF"/>
        </w:rPr>
        <w:t xml:space="preserve"> </w:t>
      </w:r>
      <w:r>
        <w:t>entre los socios del proyecto o en presencia de los socios del proyecto para la ejecución del proyecto;</w:t>
      </w:r>
    </w:p>
    <w:p w:rsidR="001C6219" w:rsidRDefault="001C6219" w:rsidP="001C6219">
      <w:pPr>
        <w:numPr>
          <w:ilvl w:val="0"/>
          <w:numId w:val="182"/>
        </w:numPr>
      </w:pPr>
      <w:r>
        <w:t>no se incluyen gastos no subvencionables en la «base de cálculo»;</w:t>
      </w:r>
    </w:p>
    <w:p w:rsidR="001C6219" w:rsidRDefault="001C6219" w:rsidP="001C6219">
      <w:pPr>
        <w:numPr>
          <w:ilvl w:val="0"/>
          <w:numId w:val="182"/>
        </w:numPr>
      </w:pPr>
      <w:r>
        <w:t>no hay doble declaración de la misma partida de coste, es decir, la «base para el cálculo» o cualquier otro coste real no incluye ninguna partida de coste que normalmente se incluya en el tipo fijo;</w:t>
      </w:r>
    </w:p>
    <w:p w:rsidR="001C6219" w:rsidRDefault="001C6219" w:rsidP="001C6219">
      <w:pPr>
        <w:numPr>
          <w:ilvl w:val="0"/>
          <w:numId w:val="182"/>
        </w:numPr>
      </w:pPr>
      <w:r>
        <w:t>el importe calculado mediante la aplicación del tipo fijo se ajuste de forma proporcional si el valor de los costes de base a los que se aplica el tipo fijo ha sido objeto de modificación.</w:t>
      </w:r>
    </w:p>
    <w:p w:rsidR="001C6219" w:rsidRDefault="001C6219" w:rsidP="001C6219">
      <w:r>
        <w:t>Cuando se utiliza un tipo fijo, no es</w:t>
      </w:r>
      <w:r>
        <w:rPr>
          <w:strike/>
        </w:rPr>
        <w:t>necesario justificar (</w:t>
      </w:r>
      <w:r>
        <w:t xml:space="preserve"> </w:t>
      </w:r>
      <w:r>
        <w:rPr>
          <w:u w:val="single"/>
        </w:rPr>
        <w:t xml:space="preserve"> </w:t>
      </w:r>
      <w:r>
        <w:rPr>
          <w:color w:val="0000FF"/>
          <w:u w:val="single"/>
        </w:rPr>
        <w:t>= verificación</w:t>
      </w:r>
      <w:r>
        <w:t xml:space="preserve">) los costes reales </w:t>
      </w:r>
      <w:r>
        <w:rPr>
          <w:color w:val="0000FF"/>
          <w:u w:val="single"/>
        </w:rPr>
        <w:t xml:space="preserve">de </w:t>
      </w:r>
      <w:r>
        <w:t>las categorías de gastos cubiertas por las opciones de costes simplificados,</w:t>
      </w:r>
      <w:r>
        <w:rPr>
          <w:strike/>
        </w:rPr>
        <w:t>como en el caso de la</w:t>
      </w:r>
      <w:r>
        <w:t xml:space="preserve"> </w:t>
      </w:r>
      <w:r>
        <w:rPr>
          <w:u w:val="single"/>
        </w:rPr>
        <w:t xml:space="preserve"> </w:t>
      </w:r>
      <w:r>
        <w:t xml:space="preserve">ayuda </w:t>
      </w:r>
      <w:r>
        <w:rPr>
          <w:color w:val="0000FF"/>
          <w:u w:val="single"/>
        </w:rPr>
        <w:t>prestada</w:t>
      </w:r>
      <w:r>
        <w:t xml:space="preserve">en forma de OCS, los gastos subvencionables se determinan </w:t>
      </w:r>
      <w:r>
        <w:rPr>
          <w:color w:val="0000FF"/>
          <w:u w:val="single"/>
        </w:rPr>
        <w:t>únicamente</w:t>
      </w:r>
      <w:r>
        <w:t xml:space="preserve"> sobre la base de un porcentaje predeterminado, en lugar de por referencia a los costes reales soportados por los beneficiarios.</w:t>
      </w:r>
    </w:p>
    <w:p w:rsidR="001C6219" w:rsidRDefault="001C6219" w:rsidP="001C6219"/>
    <w:p w:rsidR="001C6219" w:rsidRDefault="001C6219" w:rsidP="001C6219">
      <w:pPr>
        <w:pStyle w:val="P68B1DB1-Normal1"/>
      </w:pPr>
      <w:r>
        <w:t>Pregunta 2 (incluidos los hechos e información pertinentes):</w:t>
      </w:r>
    </w:p>
    <w:p w:rsidR="001C6219" w:rsidRDefault="001C6219" w:rsidP="001C6219">
      <w:r>
        <w:t>Si la respuesta a la primera pregunta es que las auditorías deben comprobar la existencia de las categorías de costes, ¿qué deben obtener los controladores/auditores como pruebas suficientes?</w:t>
      </w:r>
    </w:p>
    <w:p w:rsidR="001C6219" w:rsidRDefault="001C6219" w:rsidP="001C6219">
      <w:pPr>
        <w:pStyle w:val="P68B1DB1-Normal1"/>
      </w:pPr>
      <w:r>
        <w:lastRenderedPageBreak/>
        <w:t>Respuesta.</w:t>
      </w:r>
    </w:p>
    <w:p w:rsidR="001C6219" w:rsidRDefault="001C6219" w:rsidP="001C6219">
      <w:pPr>
        <w:pStyle w:val="P68B1DB1-Normal8"/>
      </w:pPr>
      <w:r>
        <w:t>Esta respuesta se actualizó el 17 de enero de 2024. El texto añadido es de color azul.</w:t>
      </w:r>
    </w:p>
    <w:p w:rsidR="001C6219" w:rsidRDefault="001C6219" w:rsidP="001C6219">
      <w:pPr>
        <w:pStyle w:val="P68B1DB1-Normal7"/>
      </w:pPr>
      <w:r>
        <w:t>Teniendo en cuenta el reembolso en el marco de un régimen de OCS, las verificaciones de la gestión y las auditorías deben limitarse a obtener garantías de que existe la categoría de costes. Por lo tanto, los auditores pueden recabar esta información a partir de una orden de misión o de un informe, o bien de una grabación de una reunión o de pruebas similares.</w:t>
      </w:r>
    </w:p>
    <w:p w:rsidR="001C6219" w:rsidRDefault="001C6219" w:rsidP="001C6219">
      <w:pPr>
        <w:pStyle w:val="P68B1DB1-Normal9"/>
      </w:pPr>
      <w:r>
        <w:t>Por lo que se refiere al reembolso en el marco de un régimen de OCS, las verificaciones de la gestión y las auditorías deben limitarse a obtener garantías de la existencia de la categoría de costes. Los informes de los proyectos presentados por los socios del proyecto son pruebas suficientes, cuando se refieren a viajes y alojamiento que tienen lugar como parte de las actividades del proyecto. Cuando no se mencione la existencia de viajes y alojamiento en los informes del proyecto, cualquier prueba similar se considerará prueba suficiente de la existencia de estos costes.</w:t>
      </w:r>
    </w:p>
    <w:p w:rsidR="001C6219" w:rsidRDefault="001C6219" w:rsidP="001C6219">
      <w:pPr>
        <w:pStyle w:val="P68B1DB1-Normal9"/>
      </w:pPr>
      <w:r>
        <w:t>En el momento de una verificación de la gestión o de una auditoría, es posible que no se haya producido ningún viaje ni alojamiento dentro de un proyecto. (Solo puede haber un número limitado de estas actividades dentro del proyecto, o pueden concentrarse al final del proyecto, por ejemplo.) En tales casos, su existencia en el documento en el que se establecen las condiciones de la ayuda a la operación o en la solicitud de financiación puede comprobarse en ese momento y la auditoría puede cerrarse con una recomendación a la AG para que garantice que comprueba la existencia de la categoría de costes al final del proyecto.</w:t>
      </w:r>
    </w:p>
    <w:p w:rsidR="001C6219" w:rsidRDefault="001C6219" w:rsidP="001C6219">
      <w:pPr>
        <w:pStyle w:val="P68B1DB1-Normal9"/>
      </w:pPr>
      <w:r>
        <w:t>Un solo viaje y alojamiento, durante toda la duración del proyecto, basta para considerar que se ha demostrado la existencia de la categoría de costes.</w:t>
      </w:r>
    </w:p>
    <w:p w:rsidR="001C6219" w:rsidRDefault="001C6219" w:rsidP="001C6219"/>
    <w:p w:rsidR="001C6219" w:rsidRDefault="001C6219" w:rsidP="001C6219">
      <w:pPr>
        <w:pStyle w:val="P68B1DB1-Normal1"/>
      </w:pPr>
      <w:r>
        <w:t>Pregunta 3 (incluidos los hechos e información pertinentes):</w:t>
      </w:r>
    </w:p>
    <w:p w:rsidR="001C6219" w:rsidRDefault="001C6219" w:rsidP="001C6219">
      <w:r>
        <w:t>¿Es aplicable el artículo 41,</w:t>
      </w:r>
      <w:hyperlink w:anchor="scroll-bookmark-429" w:history="1">
        <w:r>
          <w:rPr>
            <w:rStyle w:val="Hipervnculo"/>
          </w:rPr>
          <w:t>apartado 4, [</w:t>
        </w:r>
      </w:hyperlink>
      <w:r>
        <w:t xml:space="preserve"> 1] del Reglamento Interreg únicamente en el caso de que el reembolso se efectúe sobre la base de los costes reales o también debe tenerse en cuenta cuando los costes deben reembolsarse a través del porcentaje a tanto alzado del 15 % mencionado en el artículo 41, apartado 5?</w:t>
      </w:r>
    </w:p>
    <w:p w:rsidR="001C6219" w:rsidRDefault="001C6219" w:rsidP="001C6219">
      <w:pPr>
        <w:pStyle w:val="P68B1DB1-Normal1"/>
      </w:pPr>
      <w:r>
        <w:t>Respuesta.</w:t>
      </w:r>
    </w:p>
    <w:p w:rsidR="001C6219" w:rsidRDefault="001C6219" w:rsidP="001C6219">
      <w:r>
        <w:t>El artículo 41, apartado 4, del Reglamento Interreg solo se aplica cuando los costes se reembolsan sobre la base de los costes reales y no cuando el reembolso se efectúa a través del tipo fijo mencionado en el artículo 41, apartado 5, o de cualquier otra OCS en relación con el viaje y el alojamiento.</w:t>
      </w:r>
    </w:p>
    <w:p w:rsidR="001C6219" w:rsidRDefault="001C6219" w:rsidP="001C6219">
      <w:r>
        <w:t>TIERNA _</w:t>
      </w:r>
    </w:p>
    <w:p w:rsidR="001C6219" w:rsidRDefault="00FC0FB1" w:rsidP="001C6219">
      <w:hyperlink w:anchor="scroll-bookmark-430" w:history="1">
        <w:r w:rsidR="001C6219">
          <w:rPr>
            <w:rStyle w:val="Hipervnculo"/>
          </w:rPr>
          <w:t>[1]</w:t>
        </w:r>
      </w:hyperlink>
      <w:r w:rsidR="001C6219">
        <w:t xml:space="preserve"> «el pago directo de los gastos por los elementos de costes enumerados en el apartado 1, letras a) a d), por un empleado del beneficiario deberá ir acompañado de una prueba de reembolso por parte del beneficiario a dicho empleado.»</w:t>
      </w:r>
    </w:p>
    <w:p w:rsidR="001C6219" w:rsidRDefault="001C6219" w:rsidP="001C6219"/>
    <w:p w:rsidR="001C6219" w:rsidRDefault="001C6219" w:rsidP="001C6219"/>
    <w:p w:rsidR="001C6219" w:rsidRDefault="001C6219" w:rsidP="001C6219">
      <w:pPr>
        <w:pStyle w:val="Ttulo1"/>
      </w:pPr>
      <w:bookmarkStart w:id="378" w:name="scroll-bookmark-431"/>
      <w:bookmarkStart w:id="379" w:name="scroll-bookmark-432"/>
      <w:bookmarkEnd w:id="378"/>
      <w:r>
        <w:lastRenderedPageBreak/>
        <w:t>QA00210 — Publicación de datos por el Estado miembro</w:t>
      </w:r>
      <w:bookmarkEnd w:id="379"/>
    </w:p>
    <w:p w:rsidR="001C6219" w:rsidRDefault="001C6219" w:rsidP="001C6219">
      <w:r>
        <w:rPr>
          <w:noProof/>
          <w:lang w:val="es-ES"/>
        </w:rPr>
        <w:drawing>
          <wp:inline distT="0" distB="0" distL="0" distR="0" wp14:anchorId="2680DFBF" wp14:editId="39146F0A">
            <wp:extent cx="152435" cy="152435"/>
            <wp:effectExtent l="0" t="0" r="0" b="0"/>
            <wp:docPr id="100763" name="Imagen 1007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42 del RDC</w:t>
      </w:r>
    </w:p>
    <w:p w:rsidR="001C6219" w:rsidRDefault="001C6219" w:rsidP="001C6219">
      <w:r>
        <w:rPr>
          <w:noProof/>
          <w:lang w:val="es-ES"/>
        </w:rPr>
        <w:drawing>
          <wp:inline distT="0" distB="0" distL="0" distR="0" wp14:anchorId="5FF4A580" wp14:editId="477E1BA8">
            <wp:extent cx="152435" cy="152435"/>
            <wp:effectExtent l="0" t="0" r="0" b="0"/>
            <wp:docPr id="100765" name="Imagen 1007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DK</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¿Bastaría el suministro de un enlace a la plataforma de datos abiertos de la Comisión para que el Estado miembro cumpla los requisitos del artículo 42, apartado 5, del RDC?  </w:t>
      </w:r>
    </w:p>
    <w:p w:rsidR="001C6219" w:rsidRDefault="001C6219" w:rsidP="001C6219">
      <w:pPr>
        <w:pStyle w:val="P68B1DB1-Normal3"/>
      </w:pPr>
      <w:r>
        <w:t> </w:t>
      </w:r>
    </w:p>
    <w:p w:rsidR="001C6219" w:rsidRDefault="001C6219" w:rsidP="001C6219">
      <w:pPr>
        <w:pStyle w:val="P68B1DB1-Normal1"/>
      </w:pPr>
      <w:r>
        <w:t>Respuesta.</w:t>
      </w:r>
    </w:p>
    <w:p w:rsidR="001C6219" w:rsidRDefault="001C6219" w:rsidP="001C6219">
      <w:r>
        <w:t>le 42 (1) CPR impone al Estado miembro o a la autoridad de gestión la obligación de transmitir datos acumulativos a la Comisión para cada programa. De conformidad con el artículo 42, apartado 5, del RDC, el Estado miembro o la autoridad de gestión deben publicar o proporcionar un enlace a todos los datos transmitidos a la Comisión en el portal web a que se refiere el artículo 46, letra b), del RDC o en el sitio web a que se refiere el artículo 49, apartado 1, del RDC. De conformidad con el artículo 42, apartado 4, del RDC, los datos presentados deben ser fiables y reflejar los datos almacenados electrónicamente por la AG de conformidad con el artículo 72, apartado 1, letra e), del RDC.</w:t>
      </w:r>
    </w:p>
    <w:p w:rsidR="001C6219" w:rsidRDefault="001C6219" w:rsidP="001C6219">
      <w:r>
        <w:t xml:space="preserve">De lo anterior se desprende que los requisitos del artículo 42, apartado 5, del RDC no se cumplirían proporcionando un enlace a la plataforma de datos abiertos de la Comisión. La publicación de datos sobre el PAO es una iniciativa de la Comisión, pero no una obligación reglamentaria. En cambio, en virtud del artículo 42 del RDC, es responsabilidad de los Estados miembros transmitir datos acumulativos a la Comisión y publicar o proporcionar un enlace </w:t>
      </w:r>
      <w:r>
        <w:rPr>
          <w:i/>
        </w:rPr>
        <w:t>a todos los</w:t>
      </w:r>
      <w:r>
        <w:t xml:space="preserve"> datos transmitidos.</w:t>
      </w:r>
    </w:p>
    <w:p w:rsidR="001C6219" w:rsidRDefault="001C6219" w:rsidP="001C6219"/>
    <w:p w:rsidR="001C6219" w:rsidRDefault="001C6219" w:rsidP="001C6219"/>
    <w:p w:rsidR="001C6219" w:rsidRDefault="001C6219" w:rsidP="001C6219">
      <w:pPr>
        <w:pStyle w:val="Ttulo1"/>
      </w:pPr>
      <w:bookmarkStart w:id="380" w:name="scroll-bookmark-433"/>
      <w:bookmarkStart w:id="381" w:name="scroll-bookmark-434"/>
      <w:bookmarkEnd w:id="380"/>
      <w:r>
        <w:t>QA00211 — Ejecución de las asociaciones europeas financiadas por Horizonte Europeo y el FEDER y selección de operaciones a las que se ha atribuido un Sello de Excelencia u operaciones cofinanciadas por Horizonte Europa</w:t>
      </w:r>
      <w:bookmarkEnd w:id="381"/>
    </w:p>
    <w:p w:rsidR="001C6219" w:rsidRDefault="001C6219" w:rsidP="001C6219">
      <w:r>
        <w:rPr>
          <w:noProof/>
          <w:lang w:val="es-ES"/>
        </w:rPr>
        <w:drawing>
          <wp:inline distT="0" distB="0" distL="0" distR="0" wp14:anchorId="4BF7D50C" wp14:editId="7DB4FF1A">
            <wp:extent cx="152435" cy="152435"/>
            <wp:effectExtent l="0" t="0" r="0" b="0"/>
            <wp:docPr id="100767" name="Imagen 1007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 Art. 71 (5) y art. 73 (4) del RDC</w:t>
      </w:r>
    </w:p>
    <w:p w:rsidR="001C6219" w:rsidRDefault="001C6219" w:rsidP="001C6219">
      <w:r>
        <w:t>Artículo 15 (3) del Reglamento (UE) 2021/695 por el que se crea Horizonte Europa,</w:t>
      </w:r>
    </w:p>
    <w:p w:rsidR="001C6219" w:rsidRDefault="001C6219" w:rsidP="001C6219">
      <w:r>
        <w:t>Artículos 136 y 198 del Reglamento Financiero (UE, Euratom) 2018/1046 </w:t>
      </w:r>
    </w:p>
    <w:p w:rsidR="001C6219" w:rsidRDefault="001C6219" w:rsidP="001C6219">
      <w:r>
        <w:rPr>
          <w:noProof/>
          <w:lang w:val="es-ES"/>
        </w:rPr>
        <w:lastRenderedPageBreak/>
        <w:drawing>
          <wp:inline distT="0" distB="0" distL="0" distR="0" wp14:anchorId="23AB8F2B" wp14:editId="07A02EE1">
            <wp:extent cx="152435" cy="152435"/>
            <wp:effectExtent l="0" t="0" r="0" b="0"/>
            <wp:docPr id="100769" name="Imagen 1007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pStyle w:val="P68B1DB1-Normal1"/>
      </w:pPr>
      <w:r>
        <w:t>I. Aplicación de las asociaciones europeas</w:t>
      </w:r>
    </w:p>
    <w:p w:rsidR="001C6219" w:rsidRDefault="001C6219" w:rsidP="001C6219">
      <w:r>
        <w:t>Lituania es actualmente miembro de varias asociaciones europeas (en lo sucesivo, «el PE»), parte de las cuales está financiada por Horizonte Europeo y parte por el FEDER en el marco del RSO 1.1 del Programa para las inversiones de los fondos de la UE 2021-2027 (en lo sucesivo, «el Programa»).  </w:t>
      </w:r>
    </w:p>
    <w:p w:rsidR="001C6219" w:rsidRDefault="001C6219" w:rsidP="001C6219">
      <w:r>
        <w:t>En la actualidad, la autoridad de gestión de LT se enfrenta a algunas cuestiones relacionadas con la preparación de la aplicación del PE, para las que no existe una regulación clara en la Comunicación de la Comisión Europea sobre «Sinergias entre los programas Horizonte Europa y el FEDER» (2022/C 421/03).</w:t>
      </w:r>
    </w:p>
    <w:p w:rsidR="001C6219" w:rsidRDefault="001C6219" w:rsidP="001C6219">
      <w:r>
        <w:t>LT ha entendido que, de conformidad con el artículo 71, apartado 5, del RDC, el organismo de financiación nacional que participa en la ejecución del PE (como parte del programa Horizonte Europeo) debe ser el organismo intermedio del Programa y, de conformidad con la Comunicación de la Comisión sobre las sinergias entre los programas Horizonte Europa y el FEDER, debe desempeñar las siguientes funciones:  </w:t>
      </w:r>
    </w:p>
    <w:p w:rsidR="001C6219" w:rsidRDefault="001C6219" w:rsidP="001C6219">
      <w:pPr>
        <w:numPr>
          <w:ilvl w:val="0"/>
          <w:numId w:val="183"/>
        </w:numPr>
      </w:pPr>
      <w:r>
        <w:t>Participar en el Consejo del Consorcio del PE;</w:t>
      </w:r>
    </w:p>
    <w:p w:rsidR="001C6219" w:rsidRDefault="001C6219" w:rsidP="001C6219">
      <w:pPr>
        <w:numPr>
          <w:ilvl w:val="0"/>
          <w:numId w:val="183"/>
        </w:numPr>
      </w:pPr>
      <w:r>
        <w:t>Informar a las autoridades europeas de Horizonte del PE al que desean adherirse y sobre el apoyo financiero previsto;</w:t>
      </w:r>
    </w:p>
    <w:p w:rsidR="001C6219" w:rsidRDefault="001C6219" w:rsidP="001C6219">
      <w:pPr>
        <w:numPr>
          <w:ilvl w:val="0"/>
          <w:numId w:val="183"/>
        </w:numPr>
      </w:pPr>
      <w:r>
        <w:t>Participar en la preparación de convocatorias y propuestas financiadas por el PE;</w:t>
      </w:r>
    </w:p>
    <w:p w:rsidR="001C6219" w:rsidRDefault="001C6219" w:rsidP="001C6219">
      <w:pPr>
        <w:numPr>
          <w:ilvl w:val="0"/>
          <w:numId w:val="183"/>
        </w:numPr>
      </w:pPr>
      <w:r>
        <w:t>Publicar estas propuestas en el país al que representa el organismo de financiación nacional;</w:t>
      </w:r>
    </w:p>
    <w:p w:rsidR="001C6219" w:rsidRDefault="001C6219" w:rsidP="001C6219">
      <w:pPr>
        <w:numPr>
          <w:ilvl w:val="0"/>
          <w:numId w:val="183"/>
        </w:numPr>
      </w:pPr>
      <w:r>
        <w:t>Consultar a los solicitantes en el momento de la presentación de las solicitudes;</w:t>
      </w:r>
    </w:p>
    <w:p w:rsidR="001C6219" w:rsidRDefault="001C6219" w:rsidP="001C6219">
      <w:pPr>
        <w:numPr>
          <w:ilvl w:val="0"/>
          <w:numId w:val="183"/>
        </w:numPr>
      </w:pPr>
      <w:r>
        <w:t>Designar expertos para la evaluación de las solicitudes (no por sus propios Estados miembros);</w:t>
      </w:r>
    </w:p>
    <w:p w:rsidR="001C6219" w:rsidRDefault="001C6219" w:rsidP="001C6219">
      <w:pPr>
        <w:numPr>
          <w:ilvl w:val="0"/>
          <w:numId w:val="183"/>
        </w:numPr>
      </w:pPr>
      <w:r>
        <w:t>al evaluar las solicitudes presentadas por el Estado miembro solicitante al que represente, la Junta defenderá estas solicitudes, justificando su valor añadido y justificando por qué deben recibir financiación;</w:t>
      </w:r>
    </w:p>
    <w:p w:rsidR="001C6219" w:rsidRDefault="001C6219" w:rsidP="001C6219">
      <w:pPr>
        <w:numPr>
          <w:ilvl w:val="0"/>
          <w:numId w:val="183"/>
        </w:numPr>
      </w:pPr>
      <w:r>
        <w:t>Firmar contratos de proyecto con los candidatos seleccionados por el Consejo de Administración;</w:t>
      </w:r>
    </w:p>
    <w:p w:rsidR="001C6219" w:rsidRDefault="001C6219" w:rsidP="001C6219">
      <w:pPr>
        <w:numPr>
          <w:ilvl w:val="0"/>
          <w:numId w:val="183"/>
        </w:numPr>
      </w:pPr>
      <w:r>
        <w:t>Sigue gestionando el proyecto financiado por el PE de conformidad con los requisitos establecidos</w:t>
      </w:r>
    </w:p>
    <w:p w:rsidR="001C6219" w:rsidRDefault="001C6219" w:rsidP="001C6219">
      <w:r>
        <w:t> en el Reglamento (UE) 2021/1060.</w:t>
      </w:r>
    </w:p>
    <w:p w:rsidR="001C6219" w:rsidRDefault="001C6219" w:rsidP="001C6219">
      <w:r>
        <w:t>Teniendo en cuenta la información mencionada, las autoridades de LT desean recibir aclaraciones sobre las siguientes preguntas:</w:t>
      </w:r>
    </w:p>
    <w:p w:rsidR="001C6219" w:rsidRDefault="001C6219" w:rsidP="001C6219">
      <w:pPr>
        <w:numPr>
          <w:ilvl w:val="0"/>
          <w:numId w:val="184"/>
        </w:numPr>
      </w:pPr>
      <w:r>
        <w:t xml:space="preserve">En caso de que todas las funciones del Organismo de Financiación Nacional (desde la adhesión al Consorcio hasta la firma del convenio de financiación de un proyecto financiado por el PE) sean desempeñadas por el Organismo Intermedio </w:t>
      </w:r>
      <w:r>
        <w:lastRenderedPageBreak/>
        <w:t>del Programa, aunque estas funciones no se correspondan con las funciones que les asigna el requisito del sistema de gestión y control establecido en el Reglamento (UE) 2021/1060.</w:t>
      </w:r>
    </w:p>
    <w:p w:rsidR="001C6219" w:rsidRDefault="001C6219" w:rsidP="001C6219">
      <w:pPr>
        <w:numPr>
          <w:ilvl w:val="0"/>
          <w:numId w:val="184"/>
        </w:numPr>
      </w:pPr>
      <w:r>
        <w:t>En caso de respuesta afirmativa a la primera cuestión, ¿es la autoridad de gestión del programa responsable del correcto desempeño de estas funciones por parte del organismo de financiación nacional (que debe ser un organismo intermedio) y la supervisión de todas estas funciones debe llevarse a cabo de conformidad con el Reglamento (UE) 2021/1060?</w:t>
      </w:r>
    </w:p>
    <w:p w:rsidR="001C6219" w:rsidRDefault="001C6219" w:rsidP="001C6219">
      <w:pPr>
        <w:numPr>
          <w:ilvl w:val="0"/>
          <w:numId w:val="184"/>
        </w:numPr>
      </w:pPr>
      <w:r>
        <w:t>¿Es posible delegar varios organismos nacionales de financiación en un PE que compartiría funciones como sigue:</w:t>
      </w:r>
    </w:p>
    <w:p w:rsidR="001C6219" w:rsidRDefault="001C6219" w:rsidP="001C6219">
      <w:pPr>
        <w:numPr>
          <w:ilvl w:val="1"/>
          <w:numId w:val="185"/>
        </w:numPr>
      </w:pPr>
      <w:r>
        <w:t>Organismo nacional de financiación n.º 1: firmar un contrato de consorcio, participar en la preparación de convocatorias de propuestas financiadas por el PE por el Consejo de Administración del consorcio, asesorar a los solicitantes de su país, representar a su país en el Consejo de Administración a la hora de evaluar las solicitudes recibidas y proporcionar expertos para la evaluación de las solicitudes recibidas por el Consejo de Administración de otros países.</w:t>
      </w:r>
    </w:p>
    <w:p w:rsidR="001C6219" w:rsidRDefault="001C6219" w:rsidP="001C6219">
      <w:pPr>
        <w:numPr>
          <w:ilvl w:val="1"/>
          <w:numId w:val="185"/>
        </w:numPr>
      </w:pPr>
      <w:r>
        <w:t>Organismo nacional de financiación n.º 2: firma del acuerdo de financiación del proyecto financiado por el PE, gestionando el proyecto financiado por el PE desde la firma del proyecto financiado por el PE hasta el cierre del proyecto [tal como se establece en el Reglamento (UE) 2021/1060].</w:t>
      </w:r>
    </w:p>
    <w:p w:rsidR="001C6219" w:rsidRDefault="001C6219" w:rsidP="001C6219">
      <w:pPr>
        <w:numPr>
          <w:ilvl w:val="0"/>
          <w:numId w:val="184"/>
        </w:numPr>
      </w:pPr>
      <w:r>
        <w:t>Si solo puede designarse un organismo, que debe ser un organismo intermedio, para desempeñar todas las funciones del organismo de financiación nacional, ¿puede basarse, en el ejercicio de sus funciones, en el asesoramiento, las conclusiones o la participación de otras autoridades LT en el Consejo de Administración en asuntos que sean competencia del Consejo de Administración? ¿Pueden incluirse en el Consejo de Administración otras instituciones nacionales u otros organismos nacionales de financiación?</w:t>
      </w:r>
    </w:p>
    <w:p w:rsidR="001C6219" w:rsidRDefault="001C6219" w:rsidP="001C6219">
      <w:pPr>
        <w:pStyle w:val="P68B1DB1-Normal1"/>
      </w:pPr>
      <w:r>
        <w:t>II. Selección de operaciones a las que se ha atribuido un Sello de Excelencia u operaciones cofinanciadas por Horizonte Europa</w:t>
      </w:r>
    </w:p>
    <w:p w:rsidR="001C6219" w:rsidRDefault="001C6219" w:rsidP="001C6219">
      <w:r>
        <w:t>De conformidad con el artículo 73, apartado 4, del Reglamento (UE) 2021/1060, la legislación nacional lituana que regula la administración de los fondos de la UE establece que, en el caso de las operaciones a las que se haya atribuido un Sello de Excelencia, o de operaciones seleccionadas en el marco de un programa cofinanciado por Horizonte Europa, la autoridad de gestión podrá decidir conceder ayudas del FEDER o del FSE + directamente, siempre que dichas operaciones cumplan los requisitos establecidos en el apartado 2, letras a), b) y g).</w:t>
      </w:r>
    </w:p>
    <w:p w:rsidR="001C6219" w:rsidRDefault="001C6219" w:rsidP="001C6219">
      <w:r>
        <w:t>A fin de aplicar correctamente los requisitos del artículo 73, apartado 4, las autoridades de LT desean recibir aclaraciones sobre las siguientes preguntas:</w:t>
      </w:r>
    </w:p>
    <w:p w:rsidR="001C6219" w:rsidRDefault="001C6219" w:rsidP="001C6219">
      <w:pPr>
        <w:numPr>
          <w:ilvl w:val="0"/>
          <w:numId w:val="186"/>
        </w:numPr>
      </w:pPr>
      <w:r>
        <w:t xml:space="preserve">Si las operaciones mencionadas en el artículo 73, apartado 4, cumplen los requisitos del artículo 73, apartado 2, letra a), letras b) y g), ¿pueden no aplicarse los demás requisitos establecidos en el Reglamento [por ejemplo, artículo 73, </w:t>
      </w:r>
      <w:r>
        <w:lastRenderedPageBreak/>
        <w:t>apartado 1, del Reglamento (UE) 2021-1060, (2) letras c) a f), (2) (h) y (2) (h) a j)]?</w:t>
      </w:r>
    </w:p>
    <w:p w:rsidR="001C6219" w:rsidRDefault="001C6219" w:rsidP="001C6219">
      <w:pPr>
        <w:numPr>
          <w:ilvl w:val="0"/>
          <w:numId w:val="186"/>
        </w:numPr>
      </w:pPr>
      <w:r>
        <w:t>¿Deben las operaciones mencionadas en el artículo 73, apartado 4, cumplir los requisitos establecidos en otros Reglamentos de la UE, por ejemplo:</w:t>
      </w:r>
    </w:p>
    <w:p w:rsidR="001C6219" w:rsidRDefault="001C6219" w:rsidP="001C6219">
      <w:pPr>
        <w:numPr>
          <w:ilvl w:val="1"/>
          <w:numId w:val="187"/>
        </w:numPr>
      </w:pPr>
      <w:r>
        <w:t>De conformidad con los requisitos del artículo 136 del Reglamento (UE, Euratom) 2018/1046?</w:t>
      </w:r>
    </w:p>
    <w:p w:rsidR="001C6219" w:rsidRDefault="001C6219" w:rsidP="001C6219">
      <w:pPr>
        <w:numPr>
          <w:ilvl w:val="1"/>
          <w:numId w:val="187"/>
        </w:numPr>
      </w:pPr>
      <w:r>
        <w:t>De conformidad con los requisitos del artículo 198 del Reglamento (UE, Euratom) 2018/1046?</w:t>
      </w:r>
    </w:p>
    <w:p w:rsidR="001C6219" w:rsidRDefault="001C6219" w:rsidP="001C6219">
      <w:pPr>
        <w:numPr>
          <w:ilvl w:val="0"/>
          <w:numId w:val="186"/>
        </w:numPr>
      </w:pPr>
      <w:r>
        <w:t>¿Evaluará la Comisión Europea la conformidad de las acciones con las disposiciones del artículo 136 del Reglamento (UE, Euratom) 2018/1046 antes de conceder un Sello de Excelencia o de seleccionar operaciones en el marco de un programa cofinanciado por Horizonte Europa?</w:t>
      </w:r>
    </w:p>
    <w:p w:rsidR="001C6219" w:rsidRDefault="001C6219" w:rsidP="001C6219">
      <w:pPr>
        <w:numPr>
          <w:ilvl w:val="0"/>
          <w:numId w:val="186"/>
        </w:numPr>
      </w:pPr>
      <w:r>
        <w:t>¿Evaluará la Comisión Europea el cumplimiento de las disposiciones del artículo 198, apartado 2, y (3) del Reglamento (UE, Euratom) 2018/1046 1046 antes de conceder un Sello de Excelencia o de seleccionar operaciones en el marco de un programa cofinanciado por Horizonte Europa?</w:t>
      </w:r>
    </w:p>
    <w:p w:rsidR="001C6219" w:rsidRDefault="001C6219" w:rsidP="001C6219">
      <w:pPr>
        <w:numPr>
          <w:ilvl w:val="0"/>
          <w:numId w:val="186"/>
        </w:numPr>
      </w:pPr>
      <w:r>
        <w:t>Si la Comisión Europea no evalúa el cumplimiento de los requisitos del artículo 198, apartado 2, y (3) del Reglamento (UE, Euratom) 2018/1046 antes de conceder un Sello de Excelencia o de seleccionar operaciones en el marco de un programa cofinanciado por Horizonte Europa, sírvase aclarar el ámbito de aplicación en el que debemos evaluar el cumplimiento de estos Reglamentos en relación con la capacidad financiera y operativa del proyecto, dado que el artículo 73, apartado 2, letra d), del Reglamento (UE) 2021/1060 puede no ser aplicable a las operaciones en cuestión.</w:t>
      </w:r>
    </w:p>
    <w:p w:rsidR="001C6219" w:rsidRDefault="001C6219" w:rsidP="001C6219">
      <w:pPr>
        <w:pStyle w:val="P68B1DB1-Normal1"/>
      </w:pPr>
      <w:r>
        <w:t> </w:t>
      </w:r>
    </w:p>
    <w:p w:rsidR="001C6219" w:rsidRDefault="001C6219" w:rsidP="001C6219">
      <w:pPr>
        <w:pStyle w:val="P68B1DB1-Normal1"/>
      </w:pPr>
      <w:r>
        <w:t>Respuesta.</w:t>
      </w:r>
    </w:p>
    <w:p w:rsidR="001C6219" w:rsidRDefault="001C6219" w:rsidP="001C6219"/>
    <w:p w:rsidR="001C6219" w:rsidRDefault="001C6219" w:rsidP="001C6219">
      <w:pPr>
        <w:pStyle w:val="P68B1DB1-Normal1"/>
      </w:pPr>
      <w:r>
        <w:t>I. Aplicación de las asociaciones europeas</w:t>
      </w:r>
    </w:p>
    <w:p w:rsidR="001C6219" w:rsidRDefault="001C6219" w:rsidP="001C6219"/>
    <w:p w:rsidR="001C6219" w:rsidRDefault="001C6219" w:rsidP="001C6219">
      <w:r>
        <w:t>De conformidad con el artículo 71, apartado 5, del RDC, cuando un programa preste apoyo del FEDER a un programa cofinanciado por Horizonte Europa (como el PE), el organismo que ejecute el programa cofinanciado por Horizonte Europa se identificará como organismo intermedio. Las tareas de un organismo intermedio deben definirse mediante los acuerdos entre la autoridad de gestión y los organismos intermedios y registrarse por escrito (artículo 71, apartado 3, del RDC). Los organismos intermedios pueden llevar a cabo determinadas tareas de las autoridades de gestión, como la selección de operaciones y las tareas de gestión de programas, tal como se definen en el artículo 72 del RDC. La responsabilidad de la autoridad de gestión en la medida en que la supervisión del organismo intermedio esté relacionada con las tareas que había confiado a dicho organismo intermedio de conformidad con el artículo 71, apartado 3.</w:t>
      </w:r>
    </w:p>
    <w:p w:rsidR="001C6219" w:rsidRDefault="001C6219" w:rsidP="001C6219">
      <w:r>
        <w:t xml:space="preserve">El RDC no regula la creación o el modelo de gestión de las asociaciones europeas; por lo tanto, la aplicación del PE puede delegarse en varios organismos de financiación </w:t>
      </w:r>
      <w:r>
        <w:lastRenderedPageBreak/>
        <w:t>nacionales.  Sin embargo, cuando el FEDER presta apoyo al PE, se aplica el RDC y las funciones relacionadas con la selección de operaciones y las tareas de gestión del programa en el marco del programa del FEDER solo pueden ser desempeñadas por el organismo que haya sido identificado como organismo intermedio.</w:t>
      </w:r>
    </w:p>
    <w:p w:rsidR="001C6219" w:rsidRDefault="001C6219" w:rsidP="001C6219">
      <w:r>
        <w:t>El RDC tampoco regula la composición de los órganos de gobierno del PE, por lo que pueden incluirse en el Consejo de Administración otras instituciones nacionales o varios organismos de financiación nacionales.</w:t>
      </w:r>
    </w:p>
    <w:p w:rsidR="001C6219" w:rsidRDefault="001C6219" w:rsidP="001C6219"/>
    <w:p w:rsidR="001C6219" w:rsidRDefault="001C6219" w:rsidP="001C6219">
      <w:pPr>
        <w:pStyle w:val="P68B1DB1-Normal1"/>
      </w:pPr>
      <w:r>
        <w:t>II. Selección de operaciones a las que se ha atribuido un Sello de Excelencia u operaciones cofinanciadas por Horizonte Europa</w:t>
      </w:r>
    </w:p>
    <w:p w:rsidR="001C6219" w:rsidRDefault="001C6219" w:rsidP="001C6219">
      <w:r>
        <w:t>De conformidad con el artículo 73 (4) del RDC, la autoridad de gestión podrá conceder ayudas del FEDER o del FSE + directamente, siempre que la operación en cuestión cumpla lo dispuesto en el artículo 73 (2) (a), (b) y (g). Por lo que se refiere a la ayuda con cargo a los fondos, estos son los únicos elementos que deben controlarse. En el caso de las operaciones a las que se haya atribuido un Sello de Excelencia u operaciones seleccionadas en el marco de un programa cofinanciado por Horizonte Europa, debería haberse realizado ya una evaluación de conformidad con el Reglamento (UE, Euratom) 2018/1046 en el marco de otro instrumento (gestionado directamente) y se debería haber concedido la etiqueta «Sello de Excelencia».</w:t>
      </w:r>
    </w:p>
    <w:p w:rsidR="001C6219" w:rsidRDefault="001C6219" w:rsidP="001C6219"/>
    <w:p w:rsidR="001C6219" w:rsidRDefault="001C6219" w:rsidP="001C6219"/>
    <w:p w:rsidR="001C6219" w:rsidRDefault="001C6219" w:rsidP="001C6219">
      <w:pPr>
        <w:pStyle w:val="Ttulo1"/>
      </w:pPr>
      <w:bookmarkStart w:id="382" w:name="scroll-bookmark-435"/>
      <w:bookmarkStart w:id="383" w:name="scroll-bookmark-436"/>
      <w:bookmarkEnd w:id="382"/>
      <w:r>
        <w:t>A00212 — Aclaración de los gastos subvencionables en virtud del artículo 94 del RDC</w:t>
      </w:r>
      <w:bookmarkEnd w:id="383"/>
    </w:p>
    <w:p w:rsidR="001C6219" w:rsidRDefault="001C6219" w:rsidP="001C6219">
      <w:r>
        <w:rPr>
          <w:noProof/>
          <w:lang w:val="es-ES"/>
        </w:rPr>
        <w:drawing>
          <wp:inline distT="0" distB="0" distL="0" distR="0" wp14:anchorId="27332171" wp14:editId="6F96AC43">
            <wp:extent cx="152435" cy="152435"/>
            <wp:effectExtent l="0" t="0" r="0" b="0"/>
            <wp:docPr id="100771" name="Imagen 1007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Artículos 94 y 95 del RDC 2021-27</w:t>
      </w:r>
    </w:p>
    <w:p w:rsidR="001C6219" w:rsidRDefault="001C6219" w:rsidP="001C6219">
      <w:r>
        <w:rPr>
          <w:noProof/>
          <w:lang w:val="es-ES"/>
        </w:rPr>
        <w:drawing>
          <wp:inline distT="0" distB="0" distL="0" distR="0" wp14:anchorId="025B79BC" wp14:editId="0A59CA49">
            <wp:extent cx="152435" cy="152435"/>
            <wp:effectExtent l="0" t="0" r="0" b="0"/>
            <wp:docPr id="100773" name="Imagen 1007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Pr>
        <w:pStyle w:val="P68B1DB1-Normal1"/>
      </w:pPr>
      <w:r>
        <w:t> </w:t>
      </w:r>
    </w:p>
    <w:p w:rsidR="001C6219" w:rsidRDefault="001C6219" w:rsidP="001C6219">
      <w:pPr>
        <w:pStyle w:val="P68B1DB1-Normal1"/>
      </w:pPr>
      <w:r>
        <w:t>Información básica:</w:t>
      </w:r>
    </w:p>
    <w:p w:rsidR="001C6219" w:rsidRDefault="001C6219" w:rsidP="001C6219">
      <w:r>
        <w:t>De conformidad con el artículo 14 (1) del Reglamento (UE) no 1304/2013 (Reglamento del FSE 2021-2020), los Estados miembros pudieron ponerse de acuerdo con la CE sobre las opciones de costes simplificados, que posteriormente se publicaron en un acto delegado. En cuanto a los importes correspondientes, se aplicó la siguiente disposición: «Los importes calculados sobre esta base se considerarán ayudas públicas abonadas a los beneficiarios y gastos subvencionables a efectos de la aplicación del Reglamento (UE) n.º 1303/2013.».</w:t>
      </w:r>
    </w:p>
    <w:p w:rsidR="001C6219" w:rsidRDefault="001C6219" w:rsidP="001C6219">
      <w:r>
        <w:t xml:space="preserve">Para el período de financiación 2021-2027 se ha incluido una disposición muy similar en el RDC. De conformidad con el artículo 94 del RDC 2021-27, los Estados miembros pueden acordar opciones de costes simplificados con la CE, que pasarán a formar parte </w:t>
      </w:r>
      <w:r>
        <w:lastRenderedPageBreak/>
        <w:t>de los textos del programa. Aunque el contenido del artículo 94 del RDC 2021-27 refleja en gran medida el contenido del artículo 14 (1) del Reglamento del FSE 2014-2020, la frase antes citada relativa al carácter público de los importes calculados sobre esta base no se ha copiado en el artículo 94 del RDC 2021-27.</w:t>
      </w:r>
    </w:p>
    <w:p w:rsidR="001C6219" w:rsidRDefault="001C6219" w:rsidP="001C6219">
      <w:pPr>
        <w:pStyle w:val="P68B1DB1-Normal1"/>
      </w:pPr>
      <w:r>
        <w:t> </w:t>
      </w:r>
    </w:p>
    <w:p w:rsidR="001C6219" w:rsidRDefault="00377B57" w:rsidP="001C6219">
      <w:pPr>
        <w:pStyle w:val="P68B1DB1-Normal1"/>
      </w:pPr>
      <w:r>
        <w:t>Pregunta</w:t>
      </w:r>
    </w:p>
    <w:p w:rsidR="001C6219" w:rsidRDefault="001C6219" w:rsidP="001C6219">
      <w:r>
        <w:t>¿Pueden considerarse ayudas públicas los importes calculados sobre la base del artículo 94 del RDC 2021-27 junto con los respectivos textos del programa</w:t>
      </w:r>
      <w:r w:rsidR="00591500">
        <w:t>?</w:t>
      </w:r>
      <w:r>
        <w:t xml:space="preserve"> En caso afirmativo, ¿puede aplicarse también al artículo 95 del RDC?</w:t>
      </w:r>
    </w:p>
    <w:p w:rsidR="001C6219" w:rsidRDefault="001C6219" w:rsidP="001C6219"/>
    <w:p w:rsidR="001C6219" w:rsidRDefault="001C6219" w:rsidP="001C6219">
      <w:pPr>
        <w:pStyle w:val="P68B1DB1-Normal1"/>
      </w:pPr>
      <w:r>
        <w:t>Respuesta.</w:t>
      </w:r>
    </w:p>
    <w:p w:rsidR="001C6219" w:rsidRDefault="001C6219" w:rsidP="001C6219">
      <w:r>
        <w:t>No. Con arreglo al artículo 14, apartado 1, del Reglamento del FSE, los gastos reembolsados por la Comisión sobre la base de las OCS se consideraron gastos abonados a los beneficiarios y, al mismo tiempo, los gastos subvencionables que debían declararse a la Comisión con arreglo al artículo 131, apartado 1, del Reglamento (UE) n.º 1303/2013. Este enfoque se utilizó en el Reglamento del FSE para permitir el cumplimiento del requisito del artículo 131 del RDC.</w:t>
      </w:r>
    </w:p>
    <w:p w:rsidR="001C6219" w:rsidRDefault="001C6219" w:rsidP="001C6219"/>
    <w:p w:rsidR="001C6219" w:rsidRDefault="001C6219" w:rsidP="001C6219">
      <w:r>
        <w:t>El artículo 51 del Reglamento (UE) n.º 1060/2021 prevé la posibilidad de que la Comisión reembolse a los Estados miembros sobre la base de las OCS en las condiciones establecidas en el artículo 94 del RDC. El artículo 94, apartado 3, establece que los Estados miembros deben reembolsar a los beneficiarios, pero dicho reembolso puede adoptar cualquier forma de ayuda de conformidad con el artículo 52 del RDC. Por lo tanto, la Comisión puede reembolsar a los Estados miembros sobre la base de las OCS, pero puede optar por reembolsar a sus beneficiarios sobre la base de los costes subvencionables en que haya incurrido el beneficiario, las mismas OCS que las reembolsadas por la Comisión o diferentes OCS. Los dos niveles (Estados miembros de la CE y autoridad de gestión — beneficiario) son distintos.</w:t>
      </w:r>
    </w:p>
    <w:p w:rsidR="001C6219" w:rsidRDefault="001C6219" w:rsidP="001C6219"/>
    <w:p w:rsidR="001C6219" w:rsidRDefault="001C6219" w:rsidP="001C6219">
      <w:r>
        <w:t>En el período 2021-2027 no es necesaria la parte de la disposición del artículo 14, apartado 1, del FSE que hace referencia al artículo 131 del RDC, ya que, de conformidad con el artículo 91, apartado 4, letra a), y letra c), del RDC, el gasto subvencionable que debe declararse a la Comisión es, no obstante lo dispuesto en el artículo 91, apartado 3, letra a), del RDC, los importes de las OCS aprobadas en la decisión de la Comisión en virtud del artículo 94, apartado 3, del RDC, o está justificado por los avances en el cumplimiento de las condiciones o la consecución de resultados, de conformidad con la decisión con arreglo al artículo 95, apartado 3, o los importes pertinentes establecidos en los Reglamentos Delegados con arreglo a los artículos 94 (4) o 95 (4) del RDC.</w:t>
      </w:r>
    </w:p>
    <w:p w:rsidR="001C6219" w:rsidRDefault="001C6219" w:rsidP="001C6219"/>
    <w:p w:rsidR="001C6219" w:rsidRDefault="001C6219" w:rsidP="001C6219"/>
    <w:p w:rsidR="001C6219" w:rsidRDefault="001C6219" w:rsidP="001C6219">
      <w:pPr>
        <w:pStyle w:val="Ttulo1"/>
      </w:pPr>
      <w:bookmarkStart w:id="384" w:name="scroll-bookmark-437"/>
      <w:bookmarkStart w:id="385" w:name="scroll-bookmark-438"/>
      <w:bookmarkEnd w:id="384"/>
      <w:r>
        <w:lastRenderedPageBreak/>
        <w:t>QA00213 — IVA y registros contables</w:t>
      </w:r>
      <w:bookmarkEnd w:id="385"/>
    </w:p>
    <w:p w:rsidR="001C6219" w:rsidRDefault="001C6219" w:rsidP="001C6219">
      <w:r>
        <w:rPr>
          <w:noProof/>
          <w:lang w:val="es-ES"/>
        </w:rPr>
        <w:drawing>
          <wp:inline distT="0" distB="0" distL="0" distR="0" wp14:anchorId="31B213B6" wp14:editId="17AAF8A3">
            <wp:extent cx="152435" cy="152435"/>
            <wp:effectExtent l="0" t="0" r="0" b="0"/>
            <wp:docPr id="100775" name="Imagen 1007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Artículo 64, apartado 1, letra c), inciso i), del RDC</w:t>
      </w:r>
    </w:p>
    <w:p w:rsidR="001C6219" w:rsidRDefault="001C6219" w:rsidP="001C6219">
      <w:r>
        <w:t>Artículo 74, apartado 1, letra a), inciso i), del RDC  </w:t>
      </w:r>
    </w:p>
    <w:p w:rsidR="001C6219" w:rsidRDefault="001C6219" w:rsidP="001C6219">
      <w:r>
        <w:rPr>
          <w:noProof/>
          <w:lang w:val="es-ES"/>
        </w:rPr>
        <w:drawing>
          <wp:inline distT="0" distB="0" distL="0" distR="0" wp14:anchorId="15115368" wp14:editId="54B971DE">
            <wp:extent cx="152435" cy="152435"/>
            <wp:effectExtent l="0" t="0" r="0" b="0"/>
            <wp:docPr id="100777" name="Imagen 1007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¿El requisito de llevar registros contables separados o utilizar códigos contables adecuados para todas las transacciones relacionadas con la operación se aplica también al IVA pagado por los beneficiarios, para que el IVA sea un coste subvencionable?</w:t>
      </w:r>
    </w:p>
    <w:p w:rsidR="001C6219" w:rsidRDefault="001C6219" w:rsidP="001C6219">
      <w:r>
        <w:t>En los sistemas contables ordinarios suecos, el IVA recuperable nunca se registra en la cuenta de costes de la cuenta de resultados, solo en el balance. El procedimiento está normalmente automatizado en los sistemas contables, lo que dificulta o incluso imposibilita al beneficiario trasladar manualmente la parte del IVA recuperable de una factura a la cuenta de resultados. Los códigos contables del proyecto solo se aplican a los costes e ingresos de la cuenta de resultados, no a los flujos de tesorería del balance. Teniendo en cuenta estos procesos contables automatizados, ¿está excluido del requisito contable del artículo 74, apartado 1, letra a), inciso i), el IVA recuperable en operaciones en las que el coste total sea inferior a 5 000 000 EUR? ¿Basta con que la parte de IVA de una factura pueda rastrearse indirectamente hasta la operación a través del balance?</w:t>
      </w:r>
    </w:p>
    <w:p w:rsidR="001C6219" w:rsidRDefault="001C6219" w:rsidP="001C6219"/>
    <w:p w:rsidR="001C6219" w:rsidRDefault="001C6219" w:rsidP="001C6219">
      <w:pPr>
        <w:pStyle w:val="P68B1DB1-Normal1"/>
      </w:pPr>
      <w:r>
        <w:t>Respuesta.</w:t>
      </w:r>
    </w:p>
    <w:p w:rsidR="001C6219" w:rsidRDefault="001C6219" w:rsidP="001C6219">
      <w:r>
        <w:t>De conformidad con los artículos 69 (6) y 74 (1) (a) (i) y el punto I (12) del anexo XIII del RDC, debe mantenerse una pista de auditoría adecuada de todas las transacciones relacionadas con la operación. Del artículo 74, apartado 1, letra a), inciso i), del RDC se desprende que los beneficiarios deben mantener registros contables separados o utilizar códigos contables adecuados para todas las transacciones relacionadas con la operación. Por lo tanto, con independencia de que el IVA se registre en la cuenta de resultados o en el balance, un sistema nacional de contabilidad que garantice, a través de códigos contables y facturas, la trazabilidad del IVA soportado a la operación por la que se aplicó dicho IVA y la trazabilidad de la operación hasta la operación, cumple las normas anteriores del RDC.</w:t>
      </w:r>
    </w:p>
    <w:p w:rsidR="001C6219" w:rsidRDefault="001C6219" w:rsidP="001C6219"/>
    <w:p w:rsidR="001C6219" w:rsidRDefault="001C6219" w:rsidP="001C6219"/>
    <w:p w:rsidR="001C6219" w:rsidRDefault="001C6219" w:rsidP="001C6219">
      <w:pPr>
        <w:pStyle w:val="Ttulo1"/>
      </w:pPr>
      <w:bookmarkStart w:id="386" w:name="scroll-bookmark-439"/>
      <w:bookmarkStart w:id="387" w:name="scroll-bookmark-440"/>
      <w:bookmarkEnd w:id="386"/>
      <w:r>
        <w:lastRenderedPageBreak/>
        <w:t>QA00214 — Financiación a tanto alzado de los costes indirectos</w:t>
      </w:r>
      <w:bookmarkEnd w:id="387"/>
    </w:p>
    <w:p w:rsidR="001C6219" w:rsidRDefault="001C6219" w:rsidP="001C6219">
      <w:r>
        <w:rPr>
          <w:noProof/>
          <w:lang w:val="es-ES"/>
        </w:rPr>
        <w:drawing>
          <wp:inline distT="0" distB="0" distL="0" distR="0" wp14:anchorId="695232DE" wp14:editId="11764F4F">
            <wp:extent cx="152435" cy="152435"/>
            <wp:effectExtent l="0" t="0" r="0" b="0"/>
            <wp:docPr id="100779" name="Imagen 1007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54 del RDC</w:t>
      </w:r>
    </w:p>
    <w:p w:rsidR="001C6219" w:rsidRDefault="001C6219" w:rsidP="001C6219">
      <w:r>
        <w:rPr>
          <w:noProof/>
          <w:lang w:val="es-ES"/>
        </w:rPr>
        <w:drawing>
          <wp:inline distT="0" distB="0" distL="0" distR="0" wp14:anchorId="02CD4951" wp14:editId="18826412">
            <wp:extent cx="152435" cy="152435"/>
            <wp:effectExtent l="0" t="0" r="0" b="0"/>
            <wp:docPr id="100781" name="Imagen 1007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¿Cuál es el uso recomendado de combinaciones a tanto alzado? En el documento de trabajo de FAME/SCO</w:t>
      </w:r>
      <w:hyperlink w:anchor="scroll-bookmark-441" w:history="1">
        <w:r>
          <w:rPr>
            <w:rStyle w:val="Hipervnculo"/>
          </w:rPr>
          <w:t>[1]</w:t>
        </w:r>
      </w:hyperlink>
      <w:r>
        <w:t>, existe un ejemplo de Interact-fund (cuadro 9) en el que, por ejemplo, el tipo fijo del 15 % o el 7 % a tanto alzado no deben combinarse con un tipo fijo del 40 %.</w:t>
      </w:r>
    </w:p>
    <w:p w:rsidR="001C6219" w:rsidRDefault="001C6219" w:rsidP="001C6219">
      <w:r>
        <w:t>En el RDC se establece claramente en el artículo 54 que «cuando se utilice un tipo fijo para cubrir los costes indirectos de una operación, podrá basarse en uno de los siguientes elementos...», pero en el artículo 56 solo se excluye el tipo fijo descrito en el artículo 55, apartado 1, cuando se utiliza el tipo fijo del 40 %. La utilización de diferentes tipos fijos podría aumentar el riesgo de doble compensación. Por ejemplo, los gastos de viaje pueden ser tanto indirectos como directos.</w:t>
      </w:r>
    </w:p>
    <w:p w:rsidR="001C6219" w:rsidRDefault="001C6219" w:rsidP="001C6219"/>
    <w:p w:rsidR="001C6219" w:rsidRDefault="001C6219" w:rsidP="001C6219">
      <w:pPr>
        <w:pStyle w:val="P68B1DB1-Normal1"/>
      </w:pPr>
      <w:r>
        <w:t>Respuesta.</w:t>
      </w:r>
    </w:p>
    <w:p w:rsidR="001C6219" w:rsidRDefault="001C6219" w:rsidP="001C6219">
      <w:r>
        <w:t>El principio básico que subyace al uso de OCS es que debe evitarse la doble financiación. Este es el principio expresado en el artículo 53, apartado 1, letra e), del RDC.  Cuando las OCS se combinen en la misma operación, las autoridades de gestión deben tener en cuenta que las mismas categorías de costes no se financian más de una vez y que cada categoría está claramente separada. Es responsabilidad de los Estados miembros definir las diferentes categorías de costes de manera coherente, no equívoca y no discriminatoria y garantizar que se evite la doble financiación.</w:t>
      </w:r>
    </w:p>
    <w:p w:rsidR="001C6219" w:rsidRDefault="001C6219" w:rsidP="001C6219">
      <w:r>
        <w:t xml:space="preserve">El RDC prohíbe explícitamente la combinación de OCS en el artículo 56 del RDC al establecer que el tipo fijo del 40 % utilizado para cubrir los costes restantes de una operación no se aplicará a los costes de personal calculados sobre la base de un tipo fijo con arreglo al artículo 55 (1). Además de esta restricción específica, el principio general de evitar la doble financiación debe aplicarse siempre al establecer OCS. En el caso específico, por ejemplo, el uso de tipos fijos en el artículo 54 del RDC puede no combinarse con un tipo fijo del 40 % en el artículo 56 del RDC, </w:t>
      </w:r>
      <w:r w:rsidR="002F3719">
        <w:t xml:space="preserve">ya que, </w:t>
      </w:r>
      <w:r>
        <w:t>la misma categoría de costes (es decir, los costes indirectos) se cubriría dos veces.</w:t>
      </w:r>
    </w:p>
    <w:p w:rsidR="001C6219" w:rsidRDefault="001C6219" w:rsidP="001C6219">
      <w:r>
        <w:t>Las metodologías de OCS con arreglo a los artículos 53 a 56 del RDC no están sujetas a la evaluación de la autoridad de auditoría. No obstante, la Comisión recomienda encarecidamente consultar previamente a la autoridad de auditoría a la hora de establecer metodologías de OCS.</w:t>
      </w:r>
    </w:p>
    <w:p w:rsidR="001C6219" w:rsidRDefault="001C6219" w:rsidP="001C6219">
      <w:r>
        <w:t>Para más información, véase la Comunicación de la Comisión «Directrices sobre el uso de las opciones de costes simplificados en los Fondos Estructurales y de Inversión Europeos (Fondos EIE) — versión revisada» (DO C, C/200, 27.5.2021, p. 43</w:t>
      </w:r>
      <w:hyperlink w:anchor="scroll-bookmark-442" w:history="1">
        <w:r>
          <w:rPr>
            <w:rStyle w:val="Hipervnculo"/>
          </w:rPr>
          <w:t>[2]</w:t>
        </w:r>
      </w:hyperlink>
      <w:r>
        <w:t>).</w:t>
      </w:r>
    </w:p>
    <w:p w:rsidR="001C6219" w:rsidRDefault="001C6219" w:rsidP="001C6219">
      <w:pPr>
        <w:pStyle w:val="P68B1DB1-Normal1"/>
      </w:pPr>
      <w:r>
        <w:lastRenderedPageBreak/>
        <w:t>TIERNA _</w:t>
      </w:r>
    </w:p>
    <w:p w:rsidR="001C6219" w:rsidRDefault="00FC0FB1" w:rsidP="001C6219">
      <w:hyperlink w:anchor="scroll-bookmark-443" w:history="1">
        <w:r w:rsidR="001C6219">
          <w:rPr>
            <w:rStyle w:val="Hipervnculo"/>
          </w:rPr>
          <w:t>[1]</w:t>
        </w:r>
      </w:hyperlink>
      <w:r w:rsidR="001C6219">
        <w:t xml:space="preserve"> opciones del mismo trabajo, papel</w:t>
      </w:r>
      <w:hyperlink r:id="rId501" w:history="1">
        <w:r w:rsidR="001C6219">
          <w:rPr>
            <w:rStyle w:val="Hipervnculo"/>
          </w:rPr>
          <w:t>, emfaf-simplificadas de costes opcionales en.pdf (europa.eu).</w:t>
        </w:r>
      </w:hyperlink>
    </w:p>
    <w:p w:rsidR="001C6219" w:rsidRDefault="00FC0FB1" w:rsidP="001C6219">
      <w:hyperlink w:anchor="scroll-bookmark-444" w:history="1">
        <w:r w:rsidR="001C6219">
          <w:rPr>
            <w:rStyle w:val="Hipervnculo"/>
          </w:rPr>
          <w:t>[2]</w:t>
        </w:r>
      </w:hyperlink>
      <w:r w:rsidR="001C6219">
        <w:t xml:space="preserve"> </w:t>
      </w:r>
      <w:hyperlink r:id="rId502" w:history="1">
        <w:r w:rsidR="001C6219">
          <w:rPr>
            <w:rStyle w:val="Hipervnculo"/>
          </w:rPr>
          <w:t>Comunicación de la Comisión — Directrices sobre el uso de las opciones de costes simplificados en los Fondos Estructurales y de Inversión Europeos (EIE) — versión revisada (europa.eu).</w:t>
        </w:r>
      </w:hyperlink>
    </w:p>
    <w:p w:rsidR="001C6219" w:rsidRDefault="001C6219" w:rsidP="001C6219"/>
    <w:p w:rsidR="001C6219" w:rsidRDefault="001C6219" w:rsidP="001C6219"/>
    <w:p w:rsidR="001C6219" w:rsidRDefault="001C6219" w:rsidP="001C6219">
      <w:pPr>
        <w:pStyle w:val="Ttulo1"/>
      </w:pPr>
      <w:bookmarkStart w:id="388" w:name="scroll-bookmark-445"/>
      <w:bookmarkStart w:id="389" w:name="scroll-bookmark-446"/>
      <w:bookmarkEnd w:id="388"/>
      <w:r>
        <w:t>QA00215 — Transferencia presupuestaria FEDER — Horizonte</w:t>
      </w:r>
      <w:bookmarkEnd w:id="389"/>
    </w:p>
    <w:p w:rsidR="001C6219" w:rsidRDefault="001C6219" w:rsidP="001C6219">
      <w:r>
        <w:rPr>
          <w:noProof/>
          <w:lang w:val="es-ES"/>
        </w:rPr>
        <w:drawing>
          <wp:inline distT="0" distB="0" distL="0" distR="0" wp14:anchorId="5D45D07F" wp14:editId="5A5C6D54">
            <wp:extent cx="152435" cy="152435"/>
            <wp:effectExtent l="0" t="0" r="0" b="0"/>
            <wp:docPr id="100783" name="Imagen 1007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1C6219" w:rsidRDefault="001C6219" w:rsidP="001C6219">
      <w:r>
        <w:rPr>
          <w:noProof/>
          <w:lang w:val="es-ES"/>
        </w:rPr>
        <w:drawing>
          <wp:inline distT="0" distB="0" distL="0" distR="0" wp14:anchorId="26DB1D83" wp14:editId="3F07F6F1">
            <wp:extent cx="152435" cy="152435"/>
            <wp:effectExtent l="0" t="0" r="0" b="0"/>
            <wp:docPr id="100785" name="Imagen 1007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LT tiene previsto retirar 10 millones de euros de fondos del período de investigación: 5 millones EUR en 2024 y 5 millones EUR en 2025 (</w:t>
      </w:r>
      <w:r w:rsidR="00591500">
        <w:t>los</w:t>
      </w:r>
      <w:r w:rsidR="00591500">
        <w:rPr>
          <w:i/>
        </w:rPr>
        <w:t xml:space="preserve"> importes</w:t>
      </w:r>
      <w:r>
        <w:rPr>
          <w:i/>
        </w:rPr>
        <w:t xml:space="preserve"> se muestran solo a título ilustrativo). </w:t>
      </w:r>
      <w:r>
        <w:t>Esto se haría de la siguiente manera: 5 millones EUR en 2024 (con la norma N + 1 aplicada a este importe y el fondo no utilizado será transferido automáticamente por la CE al próximo año del presupuesto de Horizonte Europa) y 5 millones EUR para 2025 (también se aplicará la norma N + 1 a este importe).</w:t>
      </w:r>
    </w:p>
    <w:p w:rsidR="001C6219" w:rsidRDefault="001C6219" w:rsidP="001C6219">
      <w:pPr>
        <w:pStyle w:val="P68B1DB1-Normal1"/>
      </w:pPr>
      <w:r>
        <w:t>¿Sería necesario volver a la PI para no perder financiación (cuando la Comisión no haya contraído un compromiso jurídico en el marco de Horizonte Europa) antes del 31 de agosto de 2026?</w:t>
      </w:r>
    </w:p>
    <w:p w:rsidR="001C6219" w:rsidRDefault="001C6219" w:rsidP="001C6219">
      <w:pPr>
        <w:pStyle w:val="P68B1DB1-Normal1"/>
      </w:pPr>
      <w:r>
        <w:t>Respuesta.</w:t>
      </w:r>
    </w:p>
    <w:p w:rsidR="001C6219" w:rsidRDefault="001C6219" w:rsidP="001C6219">
      <w:r>
        <w:t>Lituania puede indicar la distribución del presupuesto a lo largo de los años.  Por ejemplo, el presupuesto podría dividirse y cada parte se asignaría a cada año hasta 2027 (inclusive) o podría atribuirse a solo un año. En caso de que la solicitud de transferencia se refiera a la modificación de un programa, solo se podrán transferir recursos correspondientes a años civiles futuros. El importe que deba transferirse debe basarse en una estimación del importe que pueda ser absorbido en el período en cuestión, sobre la base del historial del Estado miembro o región en el componente o componentes de Horizonte Europa elegidos y acordado previamente con la Comisión.</w:t>
      </w:r>
    </w:p>
    <w:p w:rsidR="001C6219" w:rsidRDefault="001C6219" w:rsidP="001C6219">
      <w:r>
        <w:t>Dado que los recursos transferidos se ejecutan de conformidad con las normas de Horizonte Europa, la norma N + 1 será aplicable a la asignación anual del presupuesto indicada en la modificación del programa (principio de «anualidad presupuestaria»).</w:t>
      </w:r>
    </w:p>
    <w:p w:rsidR="001C6219" w:rsidRDefault="001C6219" w:rsidP="001C6219">
      <w:r>
        <w:t xml:space="preserve">Esto significa que, en el caso de una modificación del programa decidida en 2023 por la que se transfieren 5 millones EUR al presupuesto de Horizonte Europa para 2024 («año </w:t>
      </w:r>
      <w:r>
        <w:lastRenderedPageBreak/>
        <w:t xml:space="preserve">civil futuro»), la Comisión tiene tiempo de contraer un compromiso jurídico para los recursos transferidos del 1 </w:t>
      </w:r>
      <w:r w:rsidR="00591500">
        <w:t>de</w:t>
      </w:r>
      <w:r w:rsidR="00591500" w:rsidRPr="00767CF5">
        <w:t xml:space="preserve"> enero</w:t>
      </w:r>
      <w:r>
        <w:t xml:space="preserve"> de 2024 al 31 de diciembre de 2025</w:t>
      </w:r>
      <w:hyperlink w:anchor="scroll-bookmark-447" w:history="1">
        <w:r>
          <w:rPr>
            <w:rStyle w:val="Hipervnculo"/>
          </w:rPr>
          <w:t>[1]</w:t>
        </w:r>
      </w:hyperlink>
      <w:r>
        <w:t>. Los recursos no comprometidos podrán ser transferidos de nuevo al Fondo del que hayan sido transferidos hasta 4 meses antes de que finalice el año n + 1 (es decir, a más tardar el 31 de agosto) mediante la modificación del programa. En caso de que no se devuelvan recursos no comprometidos, el importe estará sujeto a las normas generales del presupuesto de la UE (es decir, se perderán para el programa de transferencia). Esto significa que, en caso de que no se haya solicitado la devolución en agosto de 2025, los recursos transferidos que a 31 de diciembre de 2025 aún no se hayan comprometido, se perderán y NO podrán transferirse al año siguiente (2026).                                                                                                                                                                                 </w:t>
      </w:r>
    </w:p>
    <w:p w:rsidR="001C6219" w:rsidRDefault="001C6219" w:rsidP="001C6219">
      <w:r>
        <w:t>Horizonte Europa funcionará durante el período 2021-2027. Por lo tanto, el último año para planificar el presupuesto es 2027. Así pues, si hay algún presupuesto previsto para 2027, debería utilizarse hasta el 31 de diciembre de 2028, a menos que se haya presentado una solicitud de devolución en agosto de 2028.</w:t>
      </w:r>
    </w:p>
    <w:p w:rsidR="001C6219" w:rsidRDefault="001C6219" w:rsidP="001C6219"/>
    <w:p w:rsidR="001C6219" w:rsidRDefault="001C6219" w:rsidP="001C6219">
      <w:pPr>
        <w:pStyle w:val="P68B1DB1-Normal1"/>
      </w:pPr>
      <w:r>
        <w:t>Pregunta 2 (incluidos los hechos e información pertinentes):</w:t>
      </w:r>
    </w:p>
    <w:p w:rsidR="001C6219" w:rsidRDefault="001C6219" w:rsidP="001C6219">
      <w:r>
        <w:t xml:space="preserve">Explicó usted que «el </w:t>
      </w:r>
      <w:r>
        <w:rPr>
          <w:b/>
        </w:rPr>
        <w:t>uso de recursos transferidos</w:t>
      </w:r>
      <w:r>
        <w:t>, la legislación sobre Horizonte Europa y el RDC no restringe el uso de los recursos transferidos a componentes o convocatorias específicos en el marco de Horizonte Europa. En principio, los recursos transferidos podrían utilizarse para diferentes convocatorias (incluidas las secuenciales). Sin embargo, para facilitar la ejecución, será útil que la solicitud de transferencia especifique el componente de educación superior (por ejemplo, el Acelerador del Consejo Europeo de Innovación) al que se dirige la transferencia». </w:t>
      </w:r>
    </w:p>
    <w:p w:rsidR="001C6219" w:rsidRDefault="001C6219" w:rsidP="001C6219">
      <w:pPr>
        <w:pStyle w:val="P68B1DB1-Normal1"/>
      </w:pPr>
      <w:r>
        <w:t xml:space="preserve">¿Podría aconsejarnos cómo presentar una solicitud de transferencia para mantener la máxima flexibilidad en el uso de los fondos? ¿Puede una solicitud de transferencia abordar los diferentes años de educación superior (por ejemplo, 2025, 2026 y 2027)? ¿Es posible prever en </w:t>
      </w:r>
      <w:r>
        <w:rPr>
          <w:u w:val="single"/>
        </w:rPr>
        <w:t>un acuerdo</w:t>
      </w:r>
      <w:r>
        <w:t xml:space="preserve"> que los recursos transferidos se transfieran en partes (por ejemplo, 2 millones en 2025, 2 millones en 2026, etc.)?</w:t>
      </w:r>
    </w:p>
    <w:p w:rsidR="001C6219" w:rsidRDefault="001C6219" w:rsidP="001C6219">
      <w:pPr>
        <w:pStyle w:val="P68B1DB1-Normal1"/>
      </w:pPr>
      <w:r>
        <w:t>Respuesta.</w:t>
      </w:r>
    </w:p>
    <w:p w:rsidR="001C6219" w:rsidRDefault="001C6219" w:rsidP="001C6219">
      <w:r>
        <w:t xml:space="preserve">La modificación del programa para la transferencia debe indicar la asignación deseada por año civil futuro (si el importe transferido debe repartirse a lo largo de varios años). La flexibilidad para el uso de los fondos se verá limitada por la norma N + 1 debido al principio de anualidad presupuestaria. La solicitud de transferencia puede establecer un perfil por año de cómo se transferirán los importes de un programa (y posteriormente se comprometerán en el marco de Horizonte, de conformidad con el principio de anualidad). Sobre la base de su ejemplo: en una solicitud de modificación del programa realizada en 2024, habría que comprometer 2 millones EUR de la asignación del programa para 2025 en el marco de Horizonte entre el 1 de enero de 2025 y el 31 de diciembre de 2026. Los 2 millones EUR siguientes transferidos de la asignación del programa para 2026 tendrían que comprometerse en el marco de Horizonte entre el 1 de enero de 2026 y el 31 de diciembre de 2027. En general, cuanto mayor sea la flexibilidad en términos de alcance geográfico (determinado por el territorio del </w:t>
      </w:r>
      <w:r>
        <w:lastRenderedPageBreak/>
        <w:t>programa de transferencia), el uso previsto en el marco de Horizonte Europa (a nivel de los componentes de Horizonte Europa) y la asignación a lo largo del tiempo, mayores serán las posibilidades de absorción.</w:t>
      </w:r>
    </w:p>
    <w:p w:rsidR="001C6219" w:rsidRDefault="001C6219" w:rsidP="001C6219">
      <w:pPr>
        <w:pStyle w:val="P68B1DB1-Normal1"/>
      </w:pPr>
      <w:r>
        <w:t>Pregunta 3 (incluidos los hechos e información pertinentes):</w:t>
      </w:r>
    </w:p>
    <w:p w:rsidR="001C6219" w:rsidRDefault="001C6219" w:rsidP="001C6219">
      <w:r>
        <w:t xml:space="preserve">Usted explicó que «durante el </w:t>
      </w:r>
      <w:r>
        <w:rPr>
          <w:b/>
        </w:rPr>
        <w:t>período de tiempo para el uso de los recursos transferidos</w:t>
      </w:r>
      <w:r>
        <w:t xml:space="preserve"> en el marco de Horizonte Europa, las normas de Horizonte Europa se aplican a los importes transferidos. Esto incluye que los </w:t>
      </w:r>
      <w:r>
        <w:rPr>
          <w:b/>
        </w:rPr>
        <w:t>acuerdos de subvención correspondientes deben firmarse antes de que finalice el año n + 1</w:t>
      </w:r>
      <w:r>
        <w:t xml:space="preserve"> (véase la nota orientativa p. 16). El Estado miembro puede solicitar la devolución al FEDER de los recursos no comprometidos hasta 4 meses antes de que finalice el año n + 1 (es decir, a más tardar el 31 de agosto). Lo hace mediante una solicitud de modificación del programa o programas en los que se incluirán estos recursos. La solicitud está sujeta a la aprobación de la Comisión. La norma de liberación comenzará a aplicarse a partir del año en que se contraigan los compromisos presupuestarios correspondientes.» </w:t>
      </w:r>
    </w:p>
    <w:p w:rsidR="001C6219" w:rsidRDefault="001C6219" w:rsidP="001C6219">
      <w:pPr>
        <w:pStyle w:val="P68B1DB1-Normal1"/>
      </w:pPr>
      <w:r>
        <w:t>Entendemos que todos los fondos transferidos deben contratarse en el año n + 1 (es decir, si la solicitud de transferencia se realiza en 2024, las convocatorias en cuestión tienen lugar en 2025, los recursos no utilizados deben solicitarse de nuevo en 2026) — correcto?</w:t>
      </w:r>
    </w:p>
    <w:p w:rsidR="001C6219" w:rsidRDefault="001C6219" w:rsidP="001C6219">
      <w:pPr>
        <w:pStyle w:val="P68B1DB1-Normal1"/>
      </w:pPr>
      <w:r>
        <w:t>Sin embargo, si los recursos transferidos no se utilizan en un programa de educación superior (por ejemplo, convocatorias del CEI 2025 de las MSCA: STG, CoG, AdG), pueden transferirse a otro programa (por ejemplo, MSCA IF o Cofund 2025). ¿Podría responder sí o no?</w:t>
      </w:r>
    </w:p>
    <w:p w:rsidR="001C6219" w:rsidRDefault="001C6219" w:rsidP="001C6219">
      <w:pPr>
        <w:pStyle w:val="P68B1DB1-Normal1"/>
      </w:pPr>
      <w:r>
        <w:t>Respuesta.</w:t>
      </w:r>
    </w:p>
    <w:p w:rsidR="001C6219" w:rsidRDefault="001C6219" w:rsidP="001C6219">
      <w:r>
        <w:t>Para la primera pregunta, véase el último párrafo de la respuesta a la pregunta 1.</w:t>
      </w:r>
    </w:p>
    <w:p w:rsidR="001C6219" w:rsidRDefault="001C6219" w:rsidP="001C6219">
      <w:r>
        <w:t>Segunda pregunta: sí, si esta flexibilidad se indica en la solicitud de transferencia.</w:t>
      </w:r>
    </w:p>
    <w:p w:rsidR="001C6219" w:rsidRDefault="001C6219" w:rsidP="001C6219">
      <w:pPr>
        <w:pStyle w:val="P68B1DB1-Normal1"/>
      </w:pPr>
      <w:r>
        <w:t>Pregunta 4 (incluidos los hechos e información pertinentes):</w:t>
      </w:r>
    </w:p>
    <w:p w:rsidR="001C6219" w:rsidRDefault="001C6219" w:rsidP="001C6219">
      <w:r>
        <w:rPr>
          <w:b/>
        </w:rPr>
        <w:t>¿Estarían disponibles los fondos transferidos para estas convocatorias de 2023 años?</w:t>
      </w:r>
      <w:r>
        <w:t xml:space="preserve"> Especialmente si las convocatorias se celebran a finales de este año y las evaluaciones de las solicitudes o las listas de reserva de los proyectos que se van a financiar saldrían adelante al año siguiente?</w:t>
      </w:r>
    </w:p>
    <w:p w:rsidR="001C6219" w:rsidRDefault="001C6219" w:rsidP="001C6219">
      <w:pPr>
        <w:pStyle w:val="P68B1DB1-Normal1"/>
      </w:pPr>
      <w:r>
        <w:t>Respuesta.</w:t>
      </w:r>
    </w:p>
    <w:p w:rsidR="001C6219" w:rsidRDefault="001C6219" w:rsidP="001C6219">
      <w:r>
        <w:t>Los proyectos se seleccionan sobre la base de listas de evaluación resultantes de la evaluación de Horizonte Europa. Los fondos transferidos solo pueden utilizarse para financiar propuestas de proyectos que hayan sido evaluadas positivamente con arreglo a las normas de Horizonte Europa, pero que no puedan aceptarse debido a restricciones presupuestarias y que aún no se hayan publicado en las listas de reserva en la fecha de la solicitud de transferencia.</w:t>
      </w:r>
    </w:p>
    <w:p w:rsidR="001C6219" w:rsidRDefault="001C6219" w:rsidP="001C6219">
      <w:pPr>
        <w:pStyle w:val="P68B1DB1-Normal1"/>
      </w:pPr>
      <w:r>
        <w:t>Pregunta 4 (incluidos los hechos e información pertinentes):</w:t>
      </w:r>
    </w:p>
    <w:p w:rsidR="001C6219" w:rsidRDefault="001C6219" w:rsidP="001C6219">
      <w:r>
        <w:t xml:space="preserve">La Comunicación de la Comisión afirma que, </w:t>
      </w:r>
      <w:r>
        <w:rPr>
          <w:i/>
        </w:rPr>
        <w:t>para facilitar la ejecución, la solicitud de transferencia podría especificar el componente de educación superior (por ejemplo, el Acelerador del CEI) al que se dirige la transferencia.</w:t>
      </w:r>
    </w:p>
    <w:p w:rsidR="001C6219" w:rsidRDefault="001C6219" w:rsidP="001C6219">
      <w:r>
        <w:lastRenderedPageBreak/>
        <w:t xml:space="preserve">Con el fin de disponer de tanta flexibilidad para apoyar los proyectos de la lista de reserva de </w:t>
      </w:r>
      <w:r>
        <w:rPr>
          <w:b/>
        </w:rPr>
        <w:t xml:space="preserve">LT, ¿está permitido indicar a nivel de pilar la división de los fondos transferidos </w:t>
      </w:r>
      <w:r>
        <w:t xml:space="preserve">con programas </w:t>
      </w:r>
      <w:r>
        <w:rPr>
          <w:u w:val="single"/>
        </w:rPr>
        <w:t>indicativos</w:t>
      </w:r>
      <w:r>
        <w:t xml:space="preserve"> (</w:t>
      </w:r>
      <w:r>
        <w:rPr>
          <w:i/>
        </w:rPr>
        <w:t>por ejemplo, el pilar 1 «Ciencia de excelencia», preliminar a las acciones Marie Sklodovska-Curie y el pilar 3 «Una Europa más competitiva...» preliminar «Acelerador»)?</w:t>
      </w:r>
    </w:p>
    <w:p w:rsidR="001C6219" w:rsidRDefault="001C6219" w:rsidP="001C6219">
      <w:r>
        <w:t>El razonamiento para ello no sería bloquear la posibilidad de que los proyectos de otros programas de educación superior se financien mediante transferencias que no hayan sido identificadas como «populares» por las partes interesadas de LT.</w:t>
      </w:r>
    </w:p>
    <w:p w:rsidR="001C6219" w:rsidRDefault="001C6219" w:rsidP="001C6219">
      <w:r>
        <w:t>LT desea reservarse el derecho a participar en las decisiones para las que se utilizarán los fondos transferidos.</w:t>
      </w:r>
    </w:p>
    <w:p w:rsidR="001C6219" w:rsidRDefault="001C6219" w:rsidP="001C6219">
      <w:pPr>
        <w:pStyle w:val="P68B1DB1-Normal1"/>
      </w:pPr>
      <w:r>
        <w:t>Respuesta.</w:t>
      </w:r>
    </w:p>
    <w:p w:rsidR="001C6219" w:rsidRDefault="001C6219" w:rsidP="001C6219">
      <w:r>
        <w:t>Véase la respuesta a la pregunta 3.</w:t>
      </w:r>
    </w:p>
    <w:p w:rsidR="001C6219" w:rsidRDefault="001C6219" w:rsidP="001C6219">
      <w:r>
        <w:t>En la solicitud de modificación del programa presentada junto con una justificación, se recomienda que Lituania indique el uso previsto de los recursos transferidos en el marco de Horizonte Europa (a nivel de componente o componentes). Lituania no puede decidir sobre la base de la lista de beneficiarios publicada en las listas de reserva después de la fecha de la solicitud de transferencia. Recomendamos indicar el objetivo de la transferencia de manera suficientemente flexible para permitir la máxima absorción del presupuesto transferido por Horizonte Europa.</w:t>
      </w:r>
    </w:p>
    <w:p w:rsidR="001C6219" w:rsidRDefault="001C6219" w:rsidP="001C6219">
      <w:r>
        <w:t>TIERNA _</w:t>
      </w:r>
    </w:p>
    <w:p w:rsidR="001C6219" w:rsidRDefault="00FC0FB1" w:rsidP="001C6219">
      <w:hyperlink w:anchor="scroll-bookmark-448" w:history="1">
        <w:r w:rsidR="001C6219">
          <w:rPr>
            <w:rStyle w:val="Hipervnculo"/>
          </w:rPr>
          <w:t>[1]</w:t>
        </w:r>
      </w:hyperlink>
      <w:r w:rsidR="001C6219">
        <w:t xml:space="preserve"> El importe restante de la transferencia indicada en la modificación del programa para 2025 (otros 5 millones EUR como en el ejemplo presentado en la pregunta) tendría que comprometerse en el marco de Horizonte entre el 1 de enero de 2025 y el 31 de diciembre de 2026.</w:t>
      </w:r>
    </w:p>
    <w:p w:rsidR="001C6219" w:rsidRDefault="001C6219" w:rsidP="001C6219"/>
    <w:p w:rsidR="001C6219" w:rsidRDefault="001C6219" w:rsidP="001C6219"/>
    <w:p w:rsidR="001C6219" w:rsidRDefault="001C6219" w:rsidP="001C6219">
      <w:pPr>
        <w:pStyle w:val="Ttulo1"/>
      </w:pPr>
      <w:bookmarkStart w:id="390" w:name="scroll-bookmark-449"/>
      <w:bookmarkStart w:id="391" w:name="scroll-bookmark-450"/>
      <w:bookmarkEnd w:id="390"/>
      <w:r>
        <w:t>QA00216 — Subvenciones en condiciones y requisitos de durabilidad</w:t>
      </w:r>
      <w:bookmarkEnd w:id="391"/>
    </w:p>
    <w:p w:rsidR="001C6219" w:rsidRDefault="001C6219" w:rsidP="001C6219">
      <w:r>
        <w:rPr>
          <w:noProof/>
          <w:lang w:val="es-ES"/>
        </w:rPr>
        <w:drawing>
          <wp:inline distT="0" distB="0" distL="0" distR="0" wp14:anchorId="2F9958EA" wp14:editId="28F4C8EC">
            <wp:extent cx="152435" cy="152435"/>
            <wp:effectExtent l="0" t="0" r="0" b="0"/>
            <wp:docPr id="100787" name="Imagen 1007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57, apartado 65, del RDC</w:t>
      </w:r>
    </w:p>
    <w:p w:rsidR="001C6219" w:rsidRDefault="001C6219" w:rsidP="001C6219">
      <w:r>
        <w:rPr>
          <w:noProof/>
          <w:lang w:val="es-ES"/>
        </w:rPr>
        <w:drawing>
          <wp:inline distT="0" distB="0" distL="0" distR="0" wp14:anchorId="51CCDD40" wp14:editId="3B50C015">
            <wp:extent cx="152435" cy="152435"/>
            <wp:effectExtent l="0" t="0" r="0" b="0"/>
            <wp:docPr id="100789" name="Imagen 1007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 xml:space="preserve">El proyecto financiado mediante subvenciones en condiciones está sujeto a los requisitos de durabilidad a que se refiere el artículo 65 del RDC. En caso de incumplimiento de los requisitos de durabilidad, ¿efectuará el beneficiario un reembolso adecuado de la subvención, calculado a partir del importe de la subvención </w:t>
      </w:r>
      <w:r>
        <w:lastRenderedPageBreak/>
        <w:t>recibida, en proporción al período durante el cual no se haya mantenido la duración de la operación?</w:t>
      </w:r>
    </w:p>
    <w:p w:rsidR="001C6219" w:rsidRDefault="001C6219" w:rsidP="001C6219"/>
    <w:p w:rsidR="001C6219" w:rsidRDefault="001C6219" w:rsidP="001C6219">
      <w:r>
        <w:t>En el caso de las subvenciones sujetas a condiciones, ¿puede reducirse el importe de la cofinanciación recibida mediante los reembolsos de la subvención condicional efectuados por el beneficiario, o debe referirse al importe total de los fondos recibidos por el beneficiario, es decir, el importe de los fondos certificados a la Comisión (los reembolsos de subvenciones sujetas a condiciones están sujetos a los requisitos del artículo 57, apartado 3, del RDC y no requieren una reducción de la declaración de gastos a la Comisión)?</w:t>
      </w:r>
    </w:p>
    <w:p w:rsidR="001C6219" w:rsidRDefault="001C6219" w:rsidP="001C6219"/>
    <w:p w:rsidR="001C6219" w:rsidRDefault="001C6219" w:rsidP="001C6219">
      <w:pPr>
        <w:pStyle w:val="P68B1DB1-Normal1"/>
      </w:pPr>
      <w:r>
        <w:t>Respuesta.</w:t>
      </w:r>
    </w:p>
    <w:p w:rsidR="001C6219" w:rsidRDefault="001C6219" w:rsidP="001C6219">
      <w:r>
        <w:t>Es cierto que las subvenciones en condiciones para una operación que incluye inversiones en infraestructuras o inversiones productivas están sujetas a los requisitos de durabilidad de conformidad con el artículo 65 del RDC.</w:t>
      </w:r>
    </w:p>
    <w:p w:rsidR="001C6219" w:rsidRDefault="001C6219" w:rsidP="001C6219">
      <w:r>
        <w:t>En caso de incumplimiento, el artículo 65, apartado 1, del RDC establece que el Estado miembro reembolsará (de nuevo al presupuesto de la Unión) la contribución de los Fondos a la operación que no haya cumplido los requisitos de durabilidad. El reembolso por parte del Estado miembro debe ser proporcional al período de incumplimiento.</w:t>
      </w:r>
    </w:p>
    <w:p w:rsidR="001C6219" w:rsidRDefault="001C6219" w:rsidP="001C6219">
      <w:r>
        <w:t>El artículo 57, apartado 3, del RDC establece que, en caso de apoyo a una operación a través de una subvención en determinadas condiciones, los recursos devueltos deben reutilizarse en forma de subvenciones en condiciones o instrumentos financieros o en otra forma de ayuda. Por lo tanto, los recursos devueltos no pueden utilizarse para otro fin, por ejemplo, para reembolsar la contribución de los Fondos cuando no se respete la durabilidad de las operaciones con arreglo al artículo 65, apartado 1, del RDC.</w:t>
      </w:r>
    </w:p>
    <w:p w:rsidR="001C6219" w:rsidRDefault="001C6219" w:rsidP="001C6219">
      <w:r>
        <w:t>De conformidad con el artículo 65, apartado 1, párrafo tercero, del RDC, el Estado miembro debe reembolsar el importe total de la contribución de los Fondos en proporción al período de incumplimiento. Si la contribución de los Fondos debe reembolsarse de conformidad con el artículo 65, apartado 1, del RDC durante el período de subvencionabilidad, la contribución de los Fondos debe deducirse del gasto declarado a la Comisión.</w:t>
      </w:r>
    </w:p>
    <w:p w:rsidR="001C6219" w:rsidRDefault="001C6219" w:rsidP="001C6219">
      <w:r>
        <w:t>Durante el cierre del último ejercicio contable si se detecta el incumplimiento del artículo 65, apartado 1, el Estado miembro debe reembolsar los importes de la contribución de los Fondos. Dicho importe recuperable del Estado miembro debe estar sujeto a una orden de recuperación emitida por la Comisión de conformidad con el artículo 100 del RDC.</w:t>
      </w:r>
    </w:p>
    <w:p w:rsidR="001C6219" w:rsidRDefault="001C6219" w:rsidP="001C6219"/>
    <w:p w:rsidR="001C6219" w:rsidRDefault="001C6219" w:rsidP="001C6219"/>
    <w:p w:rsidR="001C6219" w:rsidRDefault="001C6219" w:rsidP="001C6219">
      <w:pPr>
        <w:pStyle w:val="Ttulo1"/>
      </w:pPr>
      <w:bookmarkStart w:id="392" w:name="scroll-bookmark-451"/>
      <w:bookmarkStart w:id="393" w:name="scroll-bookmark-452"/>
      <w:bookmarkEnd w:id="392"/>
      <w:r>
        <w:lastRenderedPageBreak/>
        <w:t>QA00217 — «Conservación del medio ambiente» con arreglo al artículo 64, apartado 1, del RDC</w:t>
      </w:r>
      <w:bookmarkEnd w:id="393"/>
    </w:p>
    <w:p w:rsidR="001C6219" w:rsidRDefault="001C6219" w:rsidP="001C6219">
      <w:pPr>
        <w:pStyle w:val="P68B1DB1-Normal10"/>
      </w:pPr>
      <w:r>
        <w:rPr>
          <w:noProof/>
          <w:lang w:val="es-ES"/>
        </w:rPr>
        <w:drawing>
          <wp:inline distT="0" distB="0" distL="0" distR="0" wp14:anchorId="23E5CBAF" wp14:editId="41C3BB30">
            <wp:extent cx="152435" cy="152435"/>
            <wp:effectExtent l="0" t="0" r="0" b="0"/>
            <wp:docPr id="100791" name="Imagen 1007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Artículo pertinente: Artículo 64 del RDC</w:t>
      </w:r>
    </w:p>
    <w:p w:rsidR="001C6219" w:rsidRDefault="001C6219" w:rsidP="001C6219">
      <w:pPr>
        <w:pStyle w:val="P68B1DB1-Normal10"/>
      </w:pPr>
      <w:r>
        <w:rPr>
          <w:noProof/>
          <w:lang w:val="es-ES"/>
        </w:rPr>
        <w:drawing>
          <wp:inline distT="0" distB="0" distL="0" distR="0" wp14:anchorId="0CF0E646" wp14:editId="10BEC9FF">
            <wp:extent cx="152435" cy="152435"/>
            <wp:effectExtent l="0" t="0" r="0" b="0"/>
            <wp:docPr id="100793" name="Imagen 1007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Estado miembro: PL</w:t>
      </w:r>
    </w:p>
    <w:p w:rsidR="001C6219" w:rsidRDefault="001C6219" w:rsidP="001C6219"/>
    <w:p w:rsidR="001C6219" w:rsidRDefault="001C6219" w:rsidP="001C6219">
      <w:pPr>
        <w:pStyle w:val="P68B1DB1-Normal11"/>
      </w:pPr>
      <w:r>
        <w:br/>
        <w:t>Pregunta 1 (incluidos los hechos e información pertinentes):</w:t>
      </w:r>
    </w:p>
    <w:p w:rsidR="001C6219" w:rsidRDefault="001C6219" w:rsidP="001C6219">
      <w:pPr>
        <w:pStyle w:val="P68B1DB1-Normal10"/>
      </w:pPr>
      <w:r>
        <w:t>El artículo 64 recoge los costes no subvencionables y, en particular, menciona en la letra b) los costes de adquisición de terrenos con un límite financiero del 10 % de los gastos subvencionables totales. Este límite puede ser más elevado en el caso de los emplazamientos abandonados y postindustriales. El artículo 64 también establece que los límites no se aplican a las operaciones relativas a la conservación del medio ambiente.</w:t>
      </w:r>
    </w:p>
    <w:p w:rsidR="001C6219" w:rsidRDefault="001C6219" w:rsidP="001C6219">
      <w:pPr>
        <w:pStyle w:val="P68B1DB1-Normal10"/>
      </w:pPr>
      <w:r>
        <w:t>La AG desea interpretar esta «conservación del medio ambiente» de manera amplia, es decir, todas las operaciones en el marco del objetivo prioritario 2 y otros objetivos prioritarios que tengan como objetivo el desarrollo sostenible. Sin embargo, la conservación del medio ambiente debe interpretarse a la luz de la política y la legislación medioambientales, según las cuales la conservación del medio ambiente se refiere a la protección y restauración de los componentes naturales del medio ambiente. ¿Puede confirmarse que la conservación del medio ambiente a que se refiere el artículo 64, apartado 1, se refiere a la protección y restauración de los componentes naturales del medio ambiente?</w:t>
      </w:r>
    </w:p>
    <w:p w:rsidR="001C6219" w:rsidRDefault="001C6219" w:rsidP="001C6219">
      <w:pPr>
        <w:pStyle w:val="P68B1DB1-Normal1"/>
      </w:pPr>
      <w:r>
        <w:t>Respuesta.</w:t>
      </w:r>
    </w:p>
    <w:p w:rsidR="001C6219" w:rsidRDefault="001C6219" w:rsidP="001C6219">
      <w:r>
        <w:t>Las operaciones relativas a la conservación del medio ambiente a que se refiere el artículo 64 (1) del RDC como excepción deben interpretarse de manera restrictiva y se entiende que se refieren a operaciones que tienen por objeto directo y contribuyen directamente a la conservación o restauración del medio natural en la zona natural de que se trate. Las operaciones en el marco del OE 2.7 (mejorar la protección y conservación de la naturaleza, la biodiversidad y las infraestructuras verdes, también en las zonas urbanas, y reducir todas las formas de contaminación) y en el OE 2.4 (promover la adaptación al cambio climático y la prevención del riesgo de catástrofes y la resiliencia, teniendo en cuenta los enfoques basados en los ecosistemas), que contribuyan a la restauración y conservación de hábitats y especies, incluidas las zonas de alto valor natural, con el resultado de mantener o mejorar su estado de conservación, el funcionamiento de los servicios ecosistémicos y la biodiversidad se considerarán operaciones relacionadas con la conservación del medio ambiente. Desde un enfoque político, las acciones de restauración y conservación deben dar prioridad a ecosistemas importantes como los humedales (por ejemplo, las zonas ribereñas) y los pastizales. En particular, las operaciones consistentes en la construcción o el mantenimiento de infraestructuras grises, como carreteras, aparcamientos, caminos para bicicletas, edificios, barreras horizontales, laterales y verticales en ríos (por ejemplo, presas), depósitos de almacenamiento de agua, etc., o de pinturas, no se consideran operaciones de conservación del medio ambiente.</w:t>
      </w:r>
    </w:p>
    <w:p w:rsidR="001C6219" w:rsidRDefault="001C6219" w:rsidP="001C6219"/>
    <w:p w:rsidR="001C6219" w:rsidRDefault="001C6219" w:rsidP="001C6219"/>
    <w:p w:rsidR="001C6219" w:rsidRDefault="001C6219" w:rsidP="001C6219">
      <w:pPr>
        <w:pStyle w:val="Ttulo1"/>
      </w:pPr>
      <w:bookmarkStart w:id="394" w:name="scroll-bookmark-453"/>
      <w:bookmarkStart w:id="395" w:name="scroll-bookmark-454"/>
      <w:bookmarkEnd w:id="394"/>
      <w:r>
        <w:lastRenderedPageBreak/>
        <w:t>QA00219 — Modalidades de las operaciones escalonadas</w:t>
      </w:r>
      <w:bookmarkEnd w:id="395"/>
    </w:p>
    <w:p w:rsidR="001C6219" w:rsidRDefault="001C6219" w:rsidP="001C6219">
      <w:r>
        <w:rPr>
          <w:noProof/>
          <w:lang w:val="es-ES"/>
        </w:rPr>
        <w:drawing>
          <wp:inline distT="0" distB="0" distL="0" distR="0" wp14:anchorId="025808D1" wp14:editId="0656F0DA">
            <wp:extent cx="152435" cy="152435"/>
            <wp:effectExtent l="0" t="0" r="0" b="0"/>
            <wp:docPr id="100795" name="Imagen 1007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42 y 118 del RDC y anexo VII del RDC</w:t>
      </w:r>
    </w:p>
    <w:p w:rsidR="001C6219" w:rsidRDefault="001C6219" w:rsidP="001C6219">
      <w:r>
        <w:rPr>
          <w:noProof/>
          <w:lang w:val="es-ES"/>
        </w:rPr>
        <w:drawing>
          <wp:inline distT="0" distB="0" distL="0" distR="0" wp14:anchorId="50629424" wp14:editId="70DA1BB5">
            <wp:extent cx="152435" cy="152435"/>
            <wp:effectExtent l="0" t="0" r="0" b="0"/>
            <wp:docPr id="100797" name="Imagen 1007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pPr>
        <w:numPr>
          <w:ilvl w:val="0"/>
          <w:numId w:val="188"/>
        </w:numPr>
      </w:pPr>
      <w:r>
        <w:t>En caso de aplicación gradual, ¿debe la AG firmar un contrato nuevo o modificar el contrato existente con los beneficiarios o corresponde completamente al Estado miembro cómo lo organizan?</w:t>
      </w:r>
    </w:p>
    <w:p w:rsidR="001C6219" w:rsidRDefault="001C6219" w:rsidP="001C6219">
      <w:pPr>
        <w:numPr>
          <w:ilvl w:val="0"/>
          <w:numId w:val="188"/>
        </w:numPr>
      </w:pPr>
      <w:r>
        <w:t>Por lo que se refiere a los programas 2021-2027, ¿sería necesario solicitar un escalonamiento de un proyecto para modificar el programa de que se trate para el período 2021-2027?</w:t>
      </w:r>
    </w:p>
    <w:p w:rsidR="001C6219" w:rsidRDefault="001C6219" w:rsidP="001C6219">
      <w:pPr>
        <w:numPr>
          <w:ilvl w:val="0"/>
          <w:numId w:val="188"/>
        </w:numPr>
      </w:pPr>
      <w:r>
        <w:t>En relación con la pregunta anterior, ¿cómo se incluyen los importes para la segunda fase en los programas 2021-2027 y cuál es el plazo para reflejar las revisiones (en caso necesario) en los nuevos programas?</w:t>
      </w:r>
    </w:p>
    <w:p w:rsidR="001C6219" w:rsidRDefault="001C6219" w:rsidP="001C6219">
      <w:pPr>
        <w:numPr>
          <w:ilvl w:val="0"/>
          <w:numId w:val="188"/>
        </w:numPr>
      </w:pPr>
      <w:r>
        <w:t>¿Pueden aplicarse gradualmente los proyectos de la IEJ?</w:t>
      </w:r>
    </w:p>
    <w:p w:rsidR="001C6219" w:rsidRDefault="001C6219" w:rsidP="001C6219"/>
    <w:p w:rsidR="001C6219" w:rsidRDefault="001C6219" w:rsidP="001C6219">
      <w:pPr>
        <w:pStyle w:val="P68B1DB1-Normal1"/>
      </w:pPr>
      <w:r>
        <w:t>Respuesta.</w:t>
      </w:r>
    </w:p>
    <w:p w:rsidR="001C6219" w:rsidRDefault="001C6219" w:rsidP="001C6219">
      <w:r>
        <w:t>(1) La autoridad de gestión debe velar por que se facilite al beneficiario un documento en el que se establezcan las condiciones de la ayuda para cada operación, incluidos los requisitos específicos relativos a los productos o servicios que deben entregarse en el marco de la operación, el plan de financiación, el plazo de ejecución, etc.</w:t>
      </w:r>
    </w:p>
    <w:p w:rsidR="001C6219" w:rsidRDefault="001C6219" w:rsidP="001C6219">
      <w:r>
        <w:t>El requisito anterior también se aplica a la primera fase de la operación ejecutada en el período de programación 2014-2020 [véase el artículo 125, apartado 3, letra c), del RDC 2014-2020] y a la segunda fase ejecutada en el período de programación 2021-2027 (véase el artículo 73, apartado 3, del RDC 2021-2027).</w:t>
      </w:r>
    </w:p>
    <w:p w:rsidR="001C6219" w:rsidRDefault="001C6219" w:rsidP="001C6219">
      <w:r>
        <w:t>Corresponde a la autoridad de gestión cumplir el requisito anterior, es decir, modificar el documento existente en el que se establecen las condiciones para la ayuda a la operación o firmar uno nuevo para la segunda fase de dicha operación.</w:t>
      </w:r>
    </w:p>
    <w:p w:rsidR="001C6219" w:rsidRDefault="001C6219" w:rsidP="001C6219">
      <w:r>
        <w:t xml:space="preserve">(2) En relación con las operaciones escalonadas de conformidad con el artículo 118 bis del RDC 2021-2027, véase la respuesta a la pregunta 2 </w:t>
      </w:r>
      <w:hyperlink w:anchor="scroll-bookmark-407" w:history="1">
        <w:r>
          <w:rPr>
            <w:rStyle w:val="Hipervnculo"/>
          </w:rPr>
          <w:t>de</w:t>
        </w:r>
      </w:hyperlink>
      <w:r>
        <w:t xml:space="preserve"> la QA00204.</w:t>
      </w:r>
    </w:p>
    <w:p w:rsidR="001C6219" w:rsidRDefault="001C6219" w:rsidP="001C6219">
      <w:r>
        <w:t>Los mismos principios se aplican a las operaciones escalonadas de conformidad con el artículo 118 del RDC 2021-2027. De conformidad con el artículo 73, apartado 2, letra a), del RDC 2021-2027, la operación seleccionada debe cumplir el programa. Por lo tanto, puede ser necesaria una modificación del programa en caso de que el programa pertinente para el período 2021-2027 no contenga tipos de acciones en el marco de un objetivo específico pertinente en el que se inscriba la segunda fase de la operación seleccionada.</w:t>
      </w:r>
    </w:p>
    <w:p w:rsidR="001C6219" w:rsidRDefault="001C6219" w:rsidP="001C6219">
      <w:r>
        <w:t xml:space="preserve">Si, además, la modificación correspondiente de un programa da lugar a la adición de un nuevo tipo de intervención en el programa (en el caso del FEDER, el Fondo de Cohesión </w:t>
      </w:r>
      <w:r>
        <w:lastRenderedPageBreak/>
        <w:t>y el FTJ a que se refiere el cuadro 1 del anexo I del RDC o, en el caso del FEMPA, el FAMI, el FSI y el IGFV, en los Reglamentos específicos de cada Fondo), se aplica el artículo 63, apartado 7, del RDC y la fecha de subvencionabilidad de inicio es la fecha de presentación de una solicitud de modificación. En el caso del FSE +, si la fecha de subvencionabilidad de los gastos de elementos nuevos o modificados del programa no debe comenzar hasta la fecha de presentación de la solicitud, debe ser objeto de un análisis caso por caso basado en el contenido de la modificación.</w:t>
      </w:r>
    </w:p>
    <w:p w:rsidR="001C6219" w:rsidRDefault="001C6219" w:rsidP="001C6219">
      <w:r>
        <w:t>Cuando la segunda fase de la operación corresponda a tipos de acciones en el marco de un objetivo específico pertinente establecido en el correspondiente programa 2021-2027, no será necesario modificar el programa.</w:t>
      </w:r>
    </w:p>
    <w:p w:rsidR="001C6219" w:rsidRDefault="001C6219" w:rsidP="001C6219">
      <w:r>
        <w:t>(3) Tras la selección (o la concesión directa de la ayuda en caso de introducción gradual de conformidad con el artículo 118 bis del RDC 2021-2027), los datos sobre la segunda fase de la operación deben incluirse en la plantilla establecida en el anexo VII del RDC 2021-2027 y transmitirse por el Estado miembro a la Comisión de conformidad con el artículo 42 del RDC 2021-2027. Los datos financieros de la segunda fase de la operación se incluirán en los cuadros 1 y 2 de dicha plantilla.</w:t>
      </w:r>
    </w:p>
    <w:p w:rsidR="001C6219" w:rsidRDefault="001C6219" w:rsidP="001C6219">
      <w:r>
        <w:t xml:space="preserve">(4) Sí, siempre que se cumplan las condiciones establecidas en los artículos 118 o 118 bis del RDC 2021-2027. Cabe señalar asimismo que las acciones que recibieron apoyo en el marco de la IEJ en el período de programación 2014-2020 seguirán siendo subvencionables en el período de programación 2021-2027 y podrán programarse con arreglo a diferentes objetivos específicos en función de la lógica de intervención de la operación, pero serían subvencionables principalmente en el marco del objetivo específico «acceso al empleo». Además, estas acciones también contribuirían al requisito de concentración temática en materia de empleo juvenil. Para obtener más información sobre la programación de medidas relacionadas con la juventud en el período 2021-2027, puede consultar el cuestionario de evaluación de las medidas relativas a </w:t>
      </w:r>
      <w:hyperlink w:anchor="scroll-bookmark-455" w:history="1">
        <w:r>
          <w:rPr>
            <w:rStyle w:val="Hipervnculo"/>
          </w:rPr>
          <w:t>la juventud para el período -022</w:t>
        </w:r>
      </w:hyperlink>
      <w:r>
        <w:t>.</w:t>
      </w:r>
    </w:p>
    <w:p w:rsidR="001C6219" w:rsidRDefault="001C6219" w:rsidP="001C6219"/>
    <w:p w:rsidR="001C6219" w:rsidRDefault="001C6219" w:rsidP="001C6219"/>
    <w:p w:rsidR="001C6219" w:rsidRDefault="001C6219" w:rsidP="001C6219"/>
    <w:p w:rsidR="001C6219" w:rsidRDefault="001C6219" w:rsidP="001C6219"/>
    <w:p w:rsidR="001C6219" w:rsidRDefault="001C6219" w:rsidP="001C6219">
      <w:pPr>
        <w:pStyle w:val="Ttulo1"/>
      </w:pPr>
      <w:bookmarkStart w:id="396" w:name="scroll-bookmark-456"/>
      <w:bookmarkStart w:id="397" w:name="scroll-bookmark-457"/>
      <w:bookmarkEnd w:id="396"/>
      <w:r>
        <w:t>QA00220 — Admisibilidad de los trabajadores desplazados en el marco del FTJ</w:t>
      </w:r>
      <w:bookmarkEnd w:id="397"/>
    </w:p>
    <w:p w:rsidR="001C6219" w:rsidRDefault="001C6219" w:rsidP="001C6219">
      <w:r>
        <w:rPr>
          <w:noProof/>
          <w:lang w:val="es-ES"/>
        </w:rPr>
        <w:drawing>
          <wp:inline distT="0" distB="0" distL="0" distR="0" wp14:anchorId="7A65DC39" wp14:editId="30BE5F15">
            <wp:extent cx="152435" cy="152435"/>
            <wp:effectExtent l="0" t="0" r="0" b="0"/>
            <wp:docPr id="100799" name="Imagen 1007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1C6219" w:rsidRDefault="001C6219" w:rsidP="001C6219">
      <w:r>
        <w:t>Considerando (13) y artículo 8 del RDC</w:t>
      </w:r>
    </w:p>
    <w:p w:rsidR="001C6219" w:rsidRDefault="001C6219" w:rsidP="001C6219">
      <w:r>
        <w:t>Directiva 96/71/CE relativa a los trabajadores desplazados</w:t>
      </w:r>
    </w:p>
    <w:p w:rsidR="001C6219" w:rsidRDefault="001C6219" w:rsidP="001C6219">
      <w:r>
        <w:rPr>
          <w:noProof/>
          <w:lang w:val="es-ES"/>
        </w:rPr>
        <w:drawing>
          <wp:inline distT="0" distB="0" distL="0" distR="0" wp14:anchorId="12528385" wp14:editId="028C4576">
            <wp:extent cx="152435" cy="152435"/>
            <wp:effectExtent l="0" t="0" r="0" b="0"/>
            <wp:docPr id="100801" name="Imagen 1008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1C6219" w:rsidRDefault="001C6219" w:rsidP="001C6219"/>
    <w:p w:rsidR="001C6219" w:rsidRDefault="001C6219" w:rsidP="001C6219">
      <w:pPr>
        <w:pStyle w:val="P68B1DB1-Normal1"/>
      </w:pPr>
      <w:r>
        <w:lastRenderedPageBreak/>
        <w:br/>
        <w:t>Pregunta 1 (incluidos los hechos e información pertinentes):</w:t>
      </w:r>
    </w:p>
    <w:p w:rsidR="001C6219" w:rsidRDefault="001C6219" w:rsidP="001C6219">
      <w:r>
        <w:t>¿Pueden optar a la ayuda del FTJ los trabajadores desplazados en un sector en declive o transformación del que depende el territorio cubierto por el plan territorial de transición justa?</w:t>
      </w:r>
    </w:p>
    <w:p w:rsidR="001C6219" w:rsidRDefault="001C6219" w:rsidP="001C6219"/>
    <w:p w:rsidR="001C6219" w:rsidRDefault="001C6219" w:rsidP="001C6219">
      <w:pPr>
        <w:pStyle w:val="P68B1DB1-Normal1"/>
      </w:pPr>
      <w:r>
        <w:t>Respuesta.</w:t>
      </w:r>
    </w:p>
    <w:p w:rsidR="001C6219" w:rsidRDefault="001C6219" w:rsidP="001C6219">
      <w:r>
        <w:t>De conformidad con el artículo 8, apartado 1, del Reglamento del FTJ, «el FTJ solo apoyará actividades directamente relacionadas con su objetivo específico, tal como se establece en el artículo 2, y que contribuyan a la ejecución de los planes territoriales de transición justa establecidos de conformidad con el artículo 11».</w:t>
      </w:r>
    </w:p>
    <w:p w:rsidR="001C6219" w:rsidRDefault="001C6219" w:rsidP="001C6219">
      <w:r>
        <w:t>Tal como se establece en el artículo 2 del Reglamento del FTJ, este contribuirá al objetivo único específico de permitir que las regiones y las personas afronten las repercusiones sociales, laborales, económicas y medioambientales de la transición hacia los objetivos de la Unión para 2030 en materia de energía y clima y una economía de la Unión climáticamente neutra de aquí a 2050, sobre la base del Acuerdo de París.</w:t>
      </w:r>
    </w:p>
    <w:p w:rsidR="001C6219" w:rsidRDefault="001C6219" w:rsidP="001C6219">
      <w:r>
        <w:t>Las actividades previstas en el artículo 8, apartado 2, letra k), letras l), m) y o), del Reglamento del FTJ tienen por objeto abordar, en particular, el impacto social y en el empleo de la transición. Para ser subvencionables, dichas actividades deben justificarse en los planes territoriales de transición justa pertinentes y debe establecerse su vínculo para abordar el impacto de la transición a una economía climáticamente neutra.</w:t>
      </w:r>
    </w:p>
    <w:p w:rsidR="001C6219" w:rsidRDefault="001C6219" w:rsidP="001C6219">
      <w:r>
        <w:t xml:space="preserve">En particular, por lo que respecta a la actividad k) en virtud del artículo 8, apartado 2, el FTJ debe abarcar la mejora de las capacidades y el reciclaje profesional, incluida la formación. Además, el considerando (13) del Reglamento del FTJ aclara la justificación de esta ayuda. Puede concluirse que dicha ayuda se dirige a los trabajadores o solicitantes de empleo </w:t>
      </w:r>
      <w:r>
        <w:rPr>
          <w:u w:val="single"/>
        </w:rPr>
        <w:t>afectados por la transición.</w:t>
      </w:r>
    </w:p>
    <w:p w:rsidR="001C6219" w:rsidRDefault="001C6219" w:rsidP="001C6219">
      <w:r>
        <w:t>En vista de lo anterior, y teniendo en cuenta la obligación de la autoridad de gestión de conformidad con el artículo 73, apartado 2, letra a), los trabajadores desplazados podrán optar a financiación en el marco del FTJ siempre que pueda demostrarse que dichos trabajadores se ven afectados por la transición a una economía climáticamente neutra y se cumplan las demás condiciones pertinentes.</w:t>
      </w:r>
    </w:p>
    <w:p w:rsidR="001C6219" w:rsidRDefault="001C6219" w:rsidP="001C6219">
      <w:r>
        <w:t>Por lo tanto, puede apoyarse la actividad de mejora de las capacidades y reciclaje profesional de los trabajadores desplazados si existe un vínculo debidamente justificado entre la actividad financiada y el impacto en la transición en el territorio del FTJ.  </w:t>
      </w:r>
    </w:p>
    <w:p w:rsidR="001C6219" w:rsidRDefault="001C6219" w:rsidP="001C6219"/>
    <w:p w:rsidR="001C6219" w:rsidRDefault="001C6219" w:rsidP="001C6219"/>
    <w:p w:rsidR="001C6219" w:rsidRDefault="001C6219" w:rsidP="001C6219"/>
    <w:p w:rsidR="001C6219" w:rsidRDefault="001C6219" w:rsidP="001C6219">
      <w:pPr>
        <w:pStyle w:val="Ttulo1"/>
      </w:pPr>
      <w:bookmarkStart w:id="398" w:name="scroll-bookmark-458"/>
      <w:bookmarkStart w:id="399" w:name="scroll-bookmark-459"/>
      <w:bookmarkEnd w:id="398"/>
      <w:r>
        <w:lastRenderedPageBreak/>
        <w:t>QA00221 — Admisibilidad del subsidio de prejubilación y del régimen de trabajo de corta duración</w:t>
      </w:r>
      <w:bookmarkEnd w:id="399"/>
    </w:p>
    <w:p w:rsidR="001C6219" w:rsidRDefault="001C6219" w:rsidP="001C6219">
      <w:r>
        <w:rPr>
          <w:noProof/>
          <w:lang w:val="es-ES"/>
        </w:rPr>
        <w:drawing>
          <wp:inline distT="0" distB="0" distL="0" distR="0" wp14:anchorId="5A515F90" wp14:editId="7ECBEAC8">
            <wp:extent cx="152435" cy="152435"/>
            <wp:effectExtent l="0" t="0" r="0" b="0"/>
            <wp:docPr id="100803" name="Imagen 1008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del Reglamento del FTJ</w:t>
      </w:r>
    </w:p>
    <w:p w:rsidR="001C6219" w:rsidRDefault="001C6219" w:rsidP="001C6219">
      <w:r>
        <w:rPr>
          <w:noProof/>
          <w:lang w:val="es-ES"/>
        </w:rPr>
        <w:drawing>
          <wp:inline distT="0" distB="0" distL="0" distR="0" wp14:anchorId="6FFAF8D5" wp14:editId="0A28FF17">
            <wp:extent cx="152435" cy="152435"/>
            <wp:effectExtent l="0" t="0" r="0" b="0"/>
            <wp:docPr id="100805" name="Imagen 1008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Sobre la base de las estimaciones preliminares, en dos regiones del FTJ hay aproximadamente entre 3 y 400 personas que trabajan en los sectores afectados y que alcanzarán la edad de jubilación en los próximos 5 años. ¿Sería subvencionable algún tipo de indemnización por jubilación anticipada para este grupo destinatario en el marco del FTJ?</w:t>
      </w:r>
    </w:p>
    <w:p w:rsidR="001C6219" w:rsidRDefault="001C6219" w:rsidP="001C6219">
      <w:r>
        <w:t>¿Sería subvencionable cualquier régimen en el marco del FTJ dirigido a las personas que trabajan en sectores afectados por la transición ecológica pero que no son necesariamente un buen grupo destinatario de medidas activas (es decir, mineros, que se encuentran antes de la jubilación)? En particular, pensamos en algún tipo de régimen de reducción del tiempo de trabajo.</w:t>
      </w:r>
    </w:p>
    <w:p w:rsidR="001C6219" w:rsidRDefault="001C6219" w:rsidP="001C6219">
      <w:pPr>
        <w:pStyle w:val="P68B1DB1-Normal1"/>
      </w:pPr>
      <w:r>
        <w:t>Respuesta.</w:t>
      </w:r>
    </w:p>
    <w:p w:rsidR="001C6219" w:rsidRDefault="001C6219" w:rsidP="001C6219">
      <w:r>
        <w:t>Las asignaciones financieras de cualquier tipo no figuran entre las actividades que podrían recibir apoyo del FTJ, y este enfoque se aclara con más detalle en el documento de trabajo de los servicios de la Comisión sobre los planes territoriales de transición justa [SWD (202) 275 final, p. 11]: «El FTJ no puede financiar regímenes de jubilación anticipada o regímenes de compensación para los trabajadores despedidos». De hecho, es poco probable que dicho régimen cumpla en modo alguno los objetivos del FTJ. Por lo tanto, el FTJ no podía apoyar el régimen de prejubilación mencionado en la primera cuestión prejudicial.</w:t>
      </w:r>
    </w:p>
    <w:p w:rsidR="001C6219" w:rsidRDefault="001C6219" w:rsidP="001C6219">
      <w:r>
        <w:t>La misma lógica se aplica a la segunda cuestión, relativa a la posibilidad de que el FTJ financie regímenes de reducción del tiempo de trabajo para estos trabajadores, en caso de que estos regímenes de reducción del tiempo de trabajo no vayan acompañados de medidas activas. Estos regímenes no figuran en las medidas subvencionables en virtud del artículo 8, apartado 2, letras l) a m), de la medida del FTJ que se dirigen a los solicitantes de empleo y no a los trabajadores que ya están empleados en empresas o industrias afectadas.</w:t>
      </w:r>
    </w:p>
    <w:p w:rsidR="001C6219" w:rsidRDefault="001C6219" w:rsidP="001C6219"/>
    <w:p w:rsidR="001C6219" w:rsidRDefault="001C6219" w:rsidP="001C6219"/>
    <w:p w:rsidR="001C6219" w:rsidRDefault="001C6219" w:rsidP="001C6219">
      <w:pPr>
        <w:pStyle w:val="Ttulo1"/>
      </w:pPr>
      <w:bookmarkStart w:id="400" w:name="scroll-bookmark-460"/>
      <w:bookmarkStart w:id="401" w:name="scroll-bookmark-461"/>
      <w:bookmarkEnd w:id="400"/>
      <w:r>
        <w:t>QA00222 — Pista de auditoría/verificaciones de gestión FNLC</w:t>
      </w:r>
      <w:bookmarkEnd w:id="401"/>
    </w:p>
    <w:p w:rsidR="001C6219" w:rsidRDefault="001C6219" w:rsidP="001C6219">
      <w:r>
        <w:rPr>
          <w:noProof/>
          <w:lang w:val="es-ES"/>
        </w:rPr>
        <w:drawing>
          <wp:inline distT="0" distB="0" distL="0" distR="0" wp14:anchorId="61CEC4A2" wp14:editId="545A6C4B">
            <wp:extent cx="152435" cy="152435"/>
            <wp:effectExtent l="0" t="0" r="0" b="0"/>
            <wp:docPr id="100807" name="Imagen 1008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95 del RDC</w:t>
      </w:r>
    </w:p>
    <w:p w:rsidR="001C6219" w:rsidRDefault="001C6219" w:rsidP="001C6219">
      <w:r>
        <w:rPr>
          <w:noProof/>
          <w:lang w:val="es-ES"/>
        </w:rPr>
        <w:lastRenderedPageBreak/>
        <w:drawing>
          <wp:inline distT="0" distB="0" distL="0" distR="0" wp14:anchorId="2BF9533D" wp14:editId="16FB0469">
            <wp:extent cx="152435" cy="152435"/>
            <wp:effectExtent l="0" t="0" r="0" b="0"/>
            <wp:docPr id="100809" name="Imagen 1008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pPr>
        <w:pStyle w:val="P68B1DB1-Normal1"/>
      </w:pPr>
      <w:r>
        <w:br/>
        <w:t>Pregunta 1 (incluidos los hechos e información pertinentes):</w:t>
      </w:r>
    </w:p>
    <w:p w:rsidR="001C6219" w:rsidRDefault="001C6219" w:rsidP="001C6219">
      <w:r>
        <w:t>En el caso de un régimen FNLC con reembolsos basados en la admisibilidad de los participantes y la consecución de los objetivos (resultados), ¿tendrá la AG que llevar a cabo una verificación exhaustiva o puede aplicar un método de muestreo con extrapolación del porcentaje de error?</w:t>
      </w:r>
    </w:p>
    <w:p w:rsidR="001C6219" w:rsidRDefault="001C6219" w:rsidP="001C6219">
      <w:pPr>
        <w:pStyle w:val="P68B1DB1-Normal3"/>
      </w:pPr>
      <w:r>
        <w:t>¿[Dans le cadre du FNLC, le paiement se basant sur l’éligibilité des participants et l’atteinte des valeurs cibles, l’AG devra-t-elle réaliser un contrôle exhausf ou peut-elle app</w:t>
      </w:r>
      <w:r w:rsidR="00591500">
        <w:t>li</w:t>
      </w:r>
      <w:r>
        <w:t>quer une méthode d’échantillonage</w:t>
      </w:r>
      <w:r w:rsidR="00591500">
        <w:t xml:space="preserve"> </w:t>
      </w:r>
      <w:r>
        <w:t>avec extrapolation du taux d’erreur?]</w:t>
      </w:r>
    </w:p>
    <w:p w:rsidR="001C6219" w:rsidRDefault="001C6219" w:rsidP="001C6219">
      <w:pPr>
        <w:pStyle w:val="P68B1DB1-Normal1"/>
      </w:pPr>
      <w:r>
        <w:t>Respuesta a la pregunta 1:</w:t>
      </w:r>
    </w:p>
    <w:p w:rsidR="001C6219" w:rsidRDefault="001C6219" w:rsidP="001C6219">
      <w:r>
        <w:t>La AG no está obligada a llevar a cabo una verificación exhaustiva. Para el período de programación 2021-2027, se espera que las autoridades de gestión lleven a cabo verificaciones de la gestión basadas en el riesgo. Esto implica que el alcance de las verificaciones debe basarse en el nivel de riesgo asociado a la consecución de los objetivos intermedios vinculados a los pagos intermedios. En la práctica, si la AG identifica a un determinado número de participantes no subvencionables a través de sus verificaciones, puede decidir ampliar sus verificaciones para obtener garantías de que se ha alcanzado un número suficiente de participantes admisibles. </w:t>
      </w:r>
    </w:p>
    <w:p w:rsidR="001C6219" w:rsidRDefault="001C6219" w:rsidP="001C6219"/>
    <w:p w:rsidR="001C6219" w:rsidRDefault="001C6219" w:rsidP="001C6219">
      <w:pPr>
        <w:pStyle w:val="P68B1DB1-Normal1"/>
      </w:pPr>
      <w:r>
        <w:t>Pregunta 2 (incluidos los hechos e información pertinentes):</w:t>
      </w:r>
    </w:p>
    <w:p w:rsidR="001C6219" w:rsidRDefault="001C6219" w:rsidP="001C6219">
      <w:r>
        <w:t>¿Cuáles son los riesgos si un auditor detecta errores? ¿Se aplica la tasa de error a una parte del expediente o a la totalidad de este?</w:t>
      </w:r>
    </w:p>
    <w:p w:rsidR="001C6219" w:rsidRDefault="001C6219" w:rsidP="001C6219">
      <w:pPr>
        <w:pStyle w:val="P68B1DB1-Normal3"/>
      </w:pPr>
      <w:r>
        <w:t xml:space="preserve">[Quels sont les risques si un </w:t>
      </w:r>
      <w:proofErr w:type="spellStart"/>
      <w:r>
        <w:t>auditeur</w:t>
      </w:r>
      <w:proofErr w:type="spellEnd"/>
      <w:r>
        <w:t xml:space="preserve"> </w:t>
      </w:r>
      <w:proofErr w:type="spellStart"/>
      <w:r>
        <w:t>détecte</w:t>
      </w:r>
      <w:proofErr w:type="spellEnd"/>
      <w:r>
        <w:t xml:space="preserve"> des </w:t>
      </w:r>
      <w:proofErr w:type="spellStart"/>
      <w:r>
        <w:t>erreurs</w:t>
      </w:r>
      <w:proofErr w:type="spellEnd"/>
      <w:r>
        <w:t>? Le taux d’erreur est-il app</w:t>
      </w:r>
      <w:r w:rsidR="00591500">
        <w:t>li</w:t>
      </w:r>
      <w:r>
        <w:t>qué à une partie du dossier ou sur son intégralité?]</w:t>
      </w:r>
    </w:p>
    <w:p w:rsidR="001C6219" w:rsidRDefault="001C6219" w:rsidP="001C6219"/>
    <w:p w:rsidR="001C6219" w:rsidRDefault="001C6219" w:rsidP="001C6219">
      <w:pPr>
        <w:pStyle w:val="P68B1DB1-Normal1"/>
      </w:pPr>
      <w:r>
        <w:t>Respuesta a la pregunta 2:</w:t>
      </w:r>
    </w:p>
    <w:p w:rsidR="001C6219" w:rsidRDefault="001C6219" w:rsidP="001C6219">
      <w:r>
        <w:t>No hay diferencia en el tratamiento de los errores. Un error se extrapola en primer lugar al nivel del estrato (podría ser el FNLC) y más adelante se tiene en cuenta en el cálculo del índice de error total. Sin embargo, si, por ejemplo, la AA considera que una serie de participantes no son subvencionables, pero otros participantes (adicionales) reciben apoyo (y son elegibles), esto no requeriría una revisión de la contribución a los hitos/condiciones/resultados. Véase el ejemplo que figura a continuación al final de la presente respuesta.</w:t>
      </w:r>
    </w:p>
    <w:p w:rsidR="001C6219" w:rsidRDefault="001C6219" w:rsidP="001C6219"/>
    <w:p w:rsidR="001C6219" w:rsidRDefault="001C6219" w:rsidP="001C6219">
      <w:pPr>
        <w:pStyle w:val="P68B1DB1-Normal1"/>
      </w:pPr>
      <w:r>
        <w:t>Pregunta 3 (incluidos los hechos e información pertinentes):</w:t>
      </w:r>
    </w:p>
    <w:p w:rsidR="001C6219" w:rsidRDefault="001C6219" w:rsidP="001C6219">
      <w:r>
        <w:t>Si la autoridad de auditoría lleva a cabo una auditoría de una solicitud de pago intermedia e identifica a un determinado número de participantes no subvencionables, ¿es necesario, como en el caso de los instrumentos financieros, esperar al final del período de programación para estimar el impacto de esta inadmisibilidad?</w:t>
      </w:r>
    </w:p>
    <w:p w:rsidR="001C6219" w:rsidRDefault="001C6219" w:rsidP="001C6219">
      <w:pPr>
        <w:pStyle w:val="P68B1DB1-Normal3"/>
      </w:pPr>
      <w:r>
        <w:lastRenderedPageBreak/>
        <w:t>[Si l</w:t>
      </w:r>
      <w:r w:rsidR="00591500">
        <w:t>’</w:t>
      </w:r>
      <w:r>
        <w:t>autorité d’audit procède à un contrôle sur l’une des Remontées de</w:t>
      </w:r>
      <w:r w:rsidR="00591500">
        <w:t xml:space="preserve"> dépenses intermédiaires et qu’elle constate qu’</w:t>
      </w:r>
      <w:r>
        <w:t>un determinado nombre de participants sont inéligibles, est-ce que, comme pour les instruments financiers, il faut attendre la fin de programmation pour estimer l’impact de cette inéligibilité?]</w:t>
      </w:r>
    </w:p>
    <w:p w:rsidR="001C6219" w:rsidRDefault="001C6219" w:rsidP="001C6219">
      <w:pPr>
        <w:pStyle w:val="P68B1DB1-Normal1"/>
      </w:pPr>
      <w:r>
        <w:t>Respuesta a la pregunta 3:</w:t>
      </w:r>
    </w:p>
    <w:p w:rsidR="001C6219" w:rsidRDefault="001C6219" w:rsidP="001C6219">
      <w:r>
        <w:t>La autoridad de auditoría debe evaluar si se alcanza el objetivo intermedio (hito) (si los importes correspondientes se incluyeron en las cuentas). Si no se alcanza el objetivo, el pago intermedio es indebido. Si en la fecha de la auditoría se ha alcanzado el número de participantes admisibles, podría considerarse que no hay error en el pago intermedio. Si el número de participantes admisibles no fuera suficiente, el pago intermedio se consideraría no subvencionable. Véase el ejemplo que figura a continuación al final de la presente respuesta.</w:t>
      </w:r>
    </w:p>
    <w:p w:rsidR="001C6219" w:rsidRDefault="001C6219" w:rsidP="001C6219"/>
    <w:p w:rsidR="001C6219" w:rsidRDefault="001C6219" w:rsidP="001C6219">
      <w:pPr>
        <w:pStyle w:val="P68B1DB1-Normal1"/>
      </w:pPr>
      <w:r>
        <w:t>Ejemplo para la pregunta 2-3:</w:t>
      </w:r>
    </w:p>
    <w:p w:rsidR="001C6219" w:rsidRDefault="001C6219" w:rsidP="001C6219">
      <w:pPr>
        <w:pStyle w:val="P68B1DB1-Normal1"/>
      </w:pPr>
      <w:r>
        <w:t>Fecha objetivo del hito</w:t>
      </w:r>
    </w:p>
    <w:p w:rsidR="001C6219" w:rsidRDefault="001C6219" w:rsidP="001C6219">
      <w:pPr>
        <w:pStyle w:val="P68B1DB1-Normal1"/>
      </w:pPr>
      <w:r>
        <w:t>1 50 01/01/2023</w:t>
      </w:r>
    </w:p>
    <w:p w:rsidR="001C6219" w:rsidRDefault="001C6219" w:rsidP="001C6219">
      <w:pPr>
        <w:pStyle w:val="P68B1DB1-Normal1"/>
      </w:pPr>
      <w:r>
        <w:t>2 100 01/01/2024</w:t>
      </w:r>
    </w:p>
    <w:p w:rsidR="001C6219" w:rsidRDefault="001C6219" w:rsidP="001C6219">
      <w:pPr>
        <w:pStyle w:val="P68B1DB1-Normal1"/>
      </w:pPr>
      <w:r>
        <w:t>3 300 01/01/2025</w:t>
      </w:r>
    </w:p>
    <w:p w:rsidR="001C6219" w:rsidRDefault="001C6219" w:rsidP="001C6219">
      <w:pPr>
        <w:pStyle w:val="P68B1DB1-Normal1"/>
      </w:pPr>
      <w:r>
        <w:t> </w:t>
      </w:r>
    </w:p>
    <w:p w:rsidR="001C6219" w:rsidRDefault="001C6219" w:rsidP="001C6219">
      <w:pPr>
        <w:pStyle w:val="P68B1DB1-Normal1"/>
      </w:pPr>
      <w:r>
        <w:t>Locales:</w:t>
      </w:r>
    </w:p>
    <w:p w:rsidR="001C6219" w:rsidRDefault="001C6219" w:rsidP="001C6219">
      <w:pPr>
        <w:numPr>
          <w:ilvl w:val="0"/>
          <w:numId w:val="189"/>
        </w:numPr>
      </w:pPr>
      <w:r>
        <w:t>La AG declara el hito 1 alcanzado. La AA no considera no subvencionable. No hay problemas.</w:t>
      </w:r>
    </w:p>
    <w:p w:rsidR="001C6219" w:rsidRDefault="001C6219" w:rsidP="001C6219">
      <w:pPr>
        <w:numPr>
          <w:ilvl w:val="0"/>
          <w:numId w:val="189"/>
        </w:numPr>
      </w:pPr>
      <w:r>
        <w:t>La AG declara alcanzado el hito 2.</w:t>
      </w:r>
    </w:p>
    <w:p w:rsidR="001C6219" w:rsidRDefault="001C6219" w:rsidP="001C6219">
      <w:r>
        <w:rPr>
          <w:b/>
        </w:rPr>
        <w:t>Opción 1.</w:t>
      </w:r>
      <w:r>
        <w:t xml:space="preserve"> Al realizar su auditoría, se informa a la AA de que 120 participantes son admisibles, y la AA audita la admisibilidad de estos 120 participantes.</w:t>
      </w:r>
    </w:p>
    <w:p w:rsidR="001C6219" w:rsidRDefault="001C6219" w:rsidP="001C6219">
      <w:r>
        <w:t>a) La AA considera que 10 no es subvencionable = &gt; sin impacto</w:t>
      </w:r>
    </w:p>
    <w:p w:rsidR="001C6219" w:rsidRDefault="001C6219" w:rsidP="001C6219">
      <w:r>
        <w:t>b) la AA considera que 25 no es subvencionable = &gt; El pago es irregular y se contabiliza como error; véanse las letras b), c) y d).</w:t>
      </w:r>
    </w:p>
    <w:p w:rsidR="001C6219" w:rsidRDefault="001C6219" w:rsidP="001C6219">
      <w:r>
        <w:rPr>
          <w:b/>
        </w:rPr>
        <w:t>Opción 2: La</w:t>
      </w:r>
      <w:r w:rsidR="00591500">
        <w:rPr>
          <w:b/>
        </w:rPr>
        <w:t xml:space="preserve"> </w:t>
      </w:r>
      <w:r>
        <w:t>AA audita la situación en la que la AG ha declarado 100 participantes, la AA considera que 10 no son subvencionables</w:t>
      </w:r>
    </w:p>
    <w:p w:rsidR="001C6219" w:rsidRDefault="001C6219" w:rsidP="001C6219">
      <w:r>
        <w:t>a) La AG puede demostrar que se han alcanzado 10 unidades adicionales (por ejemplo, durante el procedimiento contradictorio, la AA está de acuerdo) = &gt; hito no afectado</w:t>
      </w:r>
    </w:p>
    <w:p w:rsidR="001C6219" w:rsidRDefault="001C6219" w:rsidP="001C6219">
      <w:r>
        <w:t>b) La AG no puede demostrar en ese momento que el objetivo se alcanza = &gt; hito afectado = &gt; CE ya ha pagado, el pago es irregular y se contabiliza en el porcentaje de error = &gt; debe efectuarse la corrección en un pago siguiente</w:t>
      </w:r>
    </w:p>
    <w:p w:rsidR="001C6219" w:rsidRDefault="001C6219" w:rsidP="001C6219">
      <w:r>
        <w:t>C) la AG demuestra 1 meses después que están disponibles los 10 adicionales = &gt; alcanzado el hito 2 = &gt; puede reintroducirse el gasto</w:t>
      </w:r>
    </w:p>
    <w:p w:rsidR="001C6219" w:rsidRDefault="001C6219" w:rsidP="001C6219">
      <w:r>
        <w:t>d) la AG demuestra al presentar el hito 3 que se dispone de 310 unidades = &gt; alcanzado los hitos 2 + 3</w:t>
      </w:r>
    </w:p>
    <w:p w:rsidR="001C6219" w:rsidRDefault="001C6219" w:rsidP="001C6219"/>
    <w:p w:rsidR="001C6219" w:rsidRDefault="001C6219" w:rsidP="001C6219"/>
    <w:p w:rsidR="001C6219" w:rsidRDefault="001C6219" w:rsidP="001C6219">
      <w:pPr>
        <w:pStyle w:val="Ttulo1"/>
      </w:pPr>
      <w:bookmarkStart w:id="402" w:name="scroll-bookmark-462"/>
      <w:bookmarkStart w:id="403" w:name="scroll-bookmark-463"/>
      <w:bookmarkEnd w:id="402"/>
      <w:r>
        <w:t>QA00223 — Admisibilidad de la asistencia técnica a las estructuras de gestión de Natura 2000</w:t>
      </w:r>
      <w:bookmarkEnd w:id="403"/>
    </w:p>
    <w:p w:rsidR="001C6219" w:rsidRDefault="001C6219" w:rsidP="001C6219">
      <w:r>
        <w:rPr>
          <w:noProof/>
          <w:lang w:val="es-ES"/>
        </w:rPr>
        <w:drawing>
          <wp:inline distT="0" distB="0" distL="0" distR="0" wp14:anchorId="36E4DAEE" wp14:editId="04AFAB70">
            <wp:extent cx="152435" cy="152435"/>
            <wp:effectExtent l="0" t="0" r="0" b="0"/>
            <wp:docPr id="100811" name="Imagen 1008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 FEDER</w:t>
      </w:r>
    </w:p>
    <w:p w:rsidR="001C6219" w:rsidRDefault="001C6219" w:rsidP="001C6219">
      <w:r>
        <w:rPr>
          <w:noProof/>
          <w:lang w:val="es-ES"/>
        </w:rPr>
        <w:drawing>
          <wp:inline distT="0" distB="0" distL="0" distR="0" wp14:anchorId="6250AC65" wp14:editId="4BF28E2F">
            <wp:extent cx="152435" cy="152435"/>
            <wp:effectExtent l="0" t="0" r="0" b="0"/>
            <wp:docPr id="100813" name="Imagen 1008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BG</w:t>
      </w:r>
    </w:p>
    <w:p w:rsidR="001C6219" w:rsidRDefault="001C6219" w:rsidP="001C6219"/>
    <w:p w:rsidR="001C6219" w:rsidRDefault="001C6219" w:rsidP="001C6219">
      <w:r>
        <w:t>El Programa de Medio Ambiente 2014-2020 preveía medidas de apoyo a la creación de nuevas estructuras de gestión (actualmente no existentes) para Natura 2 000 en Bulgaria. Estas medidas se describieron en un documento en el que se describía la estrategia para el eje prioritario pertinente como «</w:t>
      </w:r>
      <w:r>
        <w:rPr>
          <w:i/>
        </w:rPr>
        <w:t>desarrollo de normas, procedimientos y orientaciones para la gestión de las zonas protegidas de Natura 2000; aumentar la capacidad de planificación y programación para la gestión de la red Natura 2000 mediante la realización de formaciones especializadas o la participación en ellas; organizar y organizar un concurso nacional para los mejores proyectos que contribuyan a Natura 2000; compra de equipos; organización y celebración de reuniones del Comité de seguimiento del NPAF y del NICS; organización y celebración de campañas para promover las oportunidades de financiación de los proyectos NATURA 2000</w:t>
      </w:r>
      <w:r>
        <w:t>».</w:t>
      </w:r>
    </w:p>
    <w:p w:rsidR="001C6219" w:rsidRDefault="001C6219" w:rsidP="001C6219">
      <w:r>
        <w:t>Por varias razones, las medidas se redujeron para centrarse en gran medida en la creación de estructuras, incluidos los costes de contratación y salarios.</w:t>
      </w:r>
    </w:p>
    <w:p w:rsidR="001C6219" w:rsidRDefault="001C6219" w:rsidP="001C6219">
      <w:r>
        <w:t>A raíz de algunos retrasos en el proceso jurídico a nivel nacional, las estructuras de gestión aún no están establecidas y, por lo tanto, está previsto que su apoyo tenga lugar en el nuevo período de programación 2021-2027.</w:t>
      </w:r>
    </w:p>
    <w:p w:rsidR="001C6219" w:rsidRDefault="001C6219" w:rsidP="001C6219">
      <w:r>
        <w:t>Las autoridades desearían garantizar que, en el período 2021-2027, el marco jurídico permite que estas medidas reciban apoyo en el marco de una prioridad dedicada al OE 2.7 y no tendrían que aplicarse a través de una prioridad o programa de asistencia técnica independiente.</w:t>
      </w:r>
    </w:p>
    <w:p w:rsidR="001C6219" w:rsidRDefault="001C6219" w:rsidP="001C6219"/>
    <w:p w:rsidR="001C6219" w:rsidRDefault="001C6219" w:rsidP="001C6219">
      <w:pPr>
        <w:pStyle w:val="P68B1DB1-Normal1"/>
      </w:pPr>
      <w:r>
        <w:t>Pregunta 1 (incluidos los hechos e información pertinentes):</w:t>
      </w:r>
    </w:p>
    <w:p w:rsidR="001C6219" w:rsidRDefault="001C6219" w:rsidP="001C6219">
      <w:r>
        <w:t>El artículo 3, apartado 4, letra b), ofrece la posibilidad de utilizar el FEDER/FC</w:t>
      </w:r>
      <w:r>
        <w:rPr>
          <w:i/>
        </w:rPr>
        <w:t xml:space="preserve">para «mejorar la capacidad de los agentes sectoriales o territoriales responsables de llevar a cabo las actividades pertinentes para la ejecución del FEDER y del Fondo de Cohesión, siempre que contribuya a los </w:t>
      </w:r>
      <w:r w:rsidR="00591500">
        <w:rPr>
          <w:i/>
        </w:rPr>
        <w:t>objetivos</w:t>
      </w:r>
      <w:r w:rsidR="00591500">
        <w:t xml:space="preserve"> del</w:t>
      </w:r>
      <w:r>
        <w:t xml:space="preserve"> programa»,</w:t>
      </w:r>
      <w:r w:rsidR="00591500">
        <w:t xml:space="preserve"> </w:t>
      </w:r>
      <w:r>
        <w:rPr>
          <w:b/>
          <w:i/>
        </w:rPr>
        <w:t>y «dentro de los</w:t>
      </w:r>
      <w:r w:rsidR="00591500">
        <w:rPr>
          <w:b/>
          <w:i/>
        </w:rPr>
        <w:t xml:space="preserve"> </w:t>
      </w:r>
      <w:r>
        <w:t>objetivos específicos» establecidos en el artículo 3, apartado 1, del FEDER/FC.</w:t>
      </w:r>
    </w:p>
    <w:p w:rsidR="001C6219" w:rsidRDefault="001C6219" w:rsidP="001C6219">
      <w:r>
        <w:t>Como tal, ¿entra en el ámbito de aplicación de este artículo la financiación prevista de la «aplicación del enfoque de gestión en los espacios protegidos de Natura 2000 — Garantizar el apoyo a los órganos de gestión de los espacios protegidos de Natura 2000» en el marco de la prioridad 3 «Biodiversidad» del proyecto de Programa de Medio Ambiente 2021-2027 [en apoyo del OE 2.7 — artículo 3, apartado 1, letra b), inciso vii)]?</w:t>
      </w:r>
    </w:p>
    <w:p w:rsidR="001C6219" w:rsidRDefault="001C6219" w:rsidP="001C6219">
      <w:pPr>
        <w:pStyle w:val="P68B1DB1-Normal1"/>
      </w:pPr>
      <w:r>
        <w:lastRenderedPageBreak/>
        <w:t> </w:t>
      </w:r>
    </w:p>
    <w:p w:rsidR="001C6219" w:rsidRDefault="001C6219" w:rsidP="001C6219">
      <w:r>
        <w:t>Las autoridades afirman que:</w:t>
      </w:r>
    </w:p>
    <w:p w:rsidR="001C6219" w:rsidRDefault="001C6219" w:rsidP="001C6219">
      <w:pPr>
        <w:numPr>
          <w:ilvl w:val="0"/>
          <w:numId w:val="190"/>
        </w:numPr>
      </w:pPr>
      <w:r>
        <w:t>Según la MA de la OPE, los órganos de gestión de Natura 2000 son agentes tanto territoriales como sectoriales responsables de llevar a cabo actividades pertinentes para la ejecución del FEDER o del Fondo de Cohesión (a saber, las medidas relacionadas con la mejora de la biodiversidad, parte del marco nacional de acción prioritaria para Natura 2000), dado que estas medidas contribuyen a los objetivos del Programa de Medio Ambiente 2021-2027.</w:t>
      </w:r>
    </w:p>
    <w:p w:rsidR="001C6219" w:rsidRDefault="001C6219" w:rsidP="001C6219">
      <w:pPr>
        <w:numPr>
          <w:ilvl w:val="0"/>
          <w:numId w:val="190"/>
        </w:numPr>
      </w:pPr>
      <w:r>
        <w:t>Los órganos de gestión de Natura 2000 serán también responsables de llevar a cabo las actividades pertinentes para la ejecución del FEDER y del Fondo de Cohesión, que corresponden a las medidas incluidas en el MPAN.</w:t>
      </w:r>
    </w:p>
    <w:p w:rsidR="001C6219" w:rsidRDefault="001C6219" w:rsidP="001C6219"/>
    <w:p w:rsidR="001C6219" w:rsidRDefault="001C6219" w:rsidP="001C6219">
      <w:pPr>
        <w:pStyle w:val="P68B1DB1-Normal1"/>
      </w:pPr>
      <w:r>
        <w:t>Respuesta.</w:t>
      </w:r>
    </w:p>
    <w:p w:rsidR="001C6219" w:rsidRDefault="001C6219" w:rsidP="001C6219">
      <w:r>
        <w:t>Las acciones de desarrollo de la capacidad administrativa con arreglo al artículo 3, apartado 4, letras a) y b), del Reglamento del FEDER y del Fondo de Cohesión formarían parte de un objetivo específico y se centrarían en la eficiencia y la eficacia de las inversiones dentro del mismo objetivo específico.</w:t>
      </w:r>
    </w:p>
    <w:p w:rsidR="001C6219" w:rsidRDefault="001C6219" w:rsidP="001C6219">
      <w:r>
        <w:t>Dado que los organismos de gestión de Natura 2000 serán responsables de la aplicación de las medidas del Marco de Acción Prioritaria Nacional para Natura 2000 financiadas por el FEDER o el FC, pueden contemplarse acciones de desarrollo de capacidades vinculadas a dichos organismos en el marco de una prioridad que aborde el objetivo específico 2.7 [establecido en el artículo 3, apartado 1, letra b), inciso vii), del Reglamento del FEDER y del Fondo de Cohesión], siempre que dicha ayuda contribuya a los objetivos del programa. El artículo 3, apartado 4, letra b), del Reglamento del FEDER y del Fondo de Cohesión no incluye una lista exhaustiva de lo que puede recibir ayuda, pero es importante demostrar la creación de nueva capacidad o la mejora de la capacidad en comparación con la situación inicial.</w:t>
      </w:r>
    </w:p>
    <w:p w:rsidR="001C6219" w:rsidRDefault="001C6219" w:rsidP="001C6219">
      <w:r>
        <w:t>En cuanto a los costes de contratación y salarios vinculados a la creación de las nuevas estructuras, estos serían subvencionables con arreglo al OE 2.7 si están vinculados a la ejecución del proyecto en cuestión o si forman parte de los costes de gestión del proyecto. El coste (operativo) permanente del personal no vinculado a la ejecución o gestión de este u otros proyectos del FEDER/FC no es subvencionable en el marco del OE 2.7.</w:t>
      </w:r>
    </w:p>
    <w:p w:rsidR="001C6219" w:rsidRDefault="001C6219" w:rsidP="001C6219">
      <w:r>
        <w:t>El desarrollo de capacidades, por ejemplo, de beneficiarios y socios, también puede financiarse en el marco de la asistencia técnica. Sin embargo, los gastos operativos/de gestión (por ejemplo, salarios y costes de contratación) solo pueden cubrirse con la asistencia técnica para las autoridades de los programas, lo que no es el caso de los organismos búlgaros de gestión de Natura 2000.</w:t>
      </w:r>
    </w:p>
    <w:p w:rsidR="001C6219" w:rsidRDefault="001C6219" w:rsidP="001C6219"/>
    <w:p w:rsidR="001C6219" w:rsidRDefault="001C6219" w:rsidP="001C6219"/>
    <w:p w:rsidR="001C6219" w:rsidRDefault="001C6219" w:rsidP="001C6219">
      <w:pPr>
        <w:pStyle w:val="Ttulo1"/>
      </w:pPr>
      <w:bookmarkStart w:id="404" w:name="scroll-bookmark-464"/>
      <w:bookmarkStart w:id="405" w:name="scroll-bookmark-465"/>
      <w:bookmarkEnd w:id="404"/>
      <w:r>
        <w:lastRenderedPageBreak/>
        <w:t>QA00224 — Requisitos de publicidad con arreglo al artículo 50, apartado 1, letra c), del RDC en el contexto de los instrumentos financieros</w:t>
      </w:r>
      <w:bookmarkEnd w:id="405"/>
    </w:p>
    <w:p w:rsidR="001C6219" w:rsidRDefault="001C6219" w:rsidP="001C6219">
      <w:r>
        <w:rPr>
          <w:noProof/>
          <w:lang w:val="es-ES"/>
        </w:rPr>
        <w:drawing>
          <wp:inline distT="0" distB="0" distL="0" distR="0" wp14:anchorId="334585B4" wp14:editId="0D27220F">
            <wp:extent cx="152435" cy="152435"/>
            <wp:effectExtent l="0" t="0" r="0" b="0"/>
            <wp:docPr id="100815" name="Imagen 1008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50</w:t>
      </w:r>
    </w:p>
    <w:p w:rsidR="001C6219" w:rsidRDefault="001C6219" w:rsidP="001C6219">
      <w:r>
        <w:rPr>
          <w:noProof/>
          <w:lang w:val="es-ES"/>
        </w:rPr>
        <w:drawing>
          <wp:inline distT="0" distB="0" distL="0" distR="0" wp14:anchorId="315260DB" wp14:editId="405A8F5E">
            <wp:extent cx="152435" cy="152435"/>
            <wp:effectExtent l="0" t="0" r="0" b="0"/>
            <wp:docPr id="100817" name="Imagen 1008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1C6219" w:rsidRDefault="001C6219" w:rsidP="001C6219"/>
    <w:p w:rsidR="001C6219" w:rsidRDefault="001C6219" w:rsidP="001C6219">
      <w:pPr>
        <w:pStyle w:val="P68B1DB1-Normal1"/>
      </w:pPr>
      <w:r>
        <w:br/>
        <w:t>Question 1 (including any relevant facts and information):</w:t>
      </w:r>
    </w:p>
    <w:p w:rsidR="001C6219" w:rsidRDefault="001C6219" w:rsidP="001C6219">
      <w:r>
        <w:t xml:space="preserve">Se trata de una pregunta de seguimiento </w:t>
      </w:r>
      <w:hyperlink r:id="rId503" w:history="1">
        <w:r>
          <w:rPr>
            <w:rStyle w:val="Hipervnculo"/>
          </w:rPr>
          <w:t>de la evaluación cualitativa</w:t>
        </w:r>
      </w:hyperlink>
      <w:r>
        <w:t xml:space="preserve"> en relación con la inversión en capital y la aplicación del artículo 50, apartado 1, letra c), y del artículo 50, apartado 2, párrafo segundo, del RDC.</w:t>
      </w:r>
    </w:p>
    <w:p w:rsidR="001C6219" w:rsidRDefault="001C6219" w:rsidP="001C6219">
      <w:pPr>
        <w:numPr>
          <w:ilvl w:val="0"/>
          <w:numId w:val="191"/>
        </w:numPr>
      </w:pPr>
      <w:r>
        <w:t>En el caso de las inversiones de capital, en el momento de una inversión puede no ser posible determinar qué proporción del capital aportado se utilizará para el capital circulante y la inversión física/adquisición de equipos. ¿Existe una norma para estimar la proporción de ayuda a las inversiones físicas que activaría la colocación de la valla publicitaria o las placas duraderas para cumplir los requisitos del artículo 50, apartado 1, letra c), y del artículo 50, apartado 2, párrafo segundo, del RDC?</w:t>
      </w:r>
    </w:p>
    <w:p w:rsidR="001C6219" w:rsidRDefault="001C6219" w:rsidP="001C6219">
      <w:pPr>
        <w:numPr>
          <w:ilvl w:val="0"/>
          <w:numId w:val="191"/>
        </w:numPr>
      </w:pPr>
      <w:r>
        <w:t>¿Es posible que la autoridad de gestión (AG) proporcione placas o vallas publicitarias duraderas a los destinatarios finales si el coste total de su inversión supera el umbral de 500 000 EUR?</w:t>
      </w:r>
    </w:p>
    <w:p w:rsidR="001C6219" w:rsidRDefault="001C6219" w:rsidP="001C6219">
      <w:pPr>
        <w:numPr>
          <w:ilvl w:val="0"/>
          <w:numId w:val="191"/>
        </w:numPr>
      </w:pPr>
      <w:r>
        <w:t>¿Cómo puede controlarse el cumplimiento de las condiciones de aplicación del artículo 50 del RDC a nivel de los destinatarios finales?</w:t>
      </w:r>
    </w:p>
    <w:p w:rsidR="001C6219" w:rsidRDefault="001C6219" w:rsidP="001C6219">
      <w:r>
        <w:t>Las preguntas se debatieron en la clínica y se decidió consultar las respuestas a través del proceso de evaluación cualitativa debido a la pertinencia para todas las autoridades del programa. </w:t>
      </w:r>
    </w:p>
    <w:p w:rsidR="001C6219" w:rsidRDefault="001C6219" w:rsidP="001C6219"/>
    <w:p w:rsidR="001C6219" w:rsidRDefault="001C6219" w:rsidP="001C6219">
      <w:pPr>
        <w:pStyle w:val="P68B1DB1-Normal1"/>
      </w:pPr>
      <w:r>
        <w:t>Respuesta.</w:t>
      </w:r>
    </w:p>
    <w:p w:rsidR="001C6219" w:rsidRDefault="001C6219" w:rsidP="001C6219">
      <w:r>
        <w:rPr>
          <w:b/>
        </w:rPr>
        <w:t xml:space="preserve">1) </w:t>
      </w:r>
      <w:r>
        <w:t xml:space="preserve"> las obligaciones previstas en el artículo 50, apartado 1, letra c), inciso i), de mostrar una placa duradera o una valla publicitaria claramente visible para el público (RDC) se aplican cuando el coste total de una inversión supera los 500 000 EUR y supone una inversión física o la instalación de equipos adquiridos. La proporción del importe de la inversión física y los equipos dentro de la inversión no es pertinente cuando el coste total de una inversión supera los 500 000 EUR.</w:t>
      </w:r>
    </w:p>
    <w:p w:rsidR="001C6219" w:rsidRDefault="001C6219" w:rsidP="001C6219">
      <w:r>
        <w:rPr>
          <w:b/>
        </w:rPr>
        <w:t>2)</w:t>
      </w:r>
      <w:r>
        <w:t xml:space="preserve"> con arreglo al artículo 50, apartado 2, párrafo segundo, del RDC, el organismo que ejecute el instrumento financiero debe garantizar el cumplimiento de la obligación establecida en el artículo 50, apartado 1, letra c), del RDC mediante cláusulas contractuales entre el organismo que ejecute el instrumento financiero y el destinatario final.</w:t>
      </w:r>
    </w:p>
    <w:p w:rsidR="001C6219" w:rsidRDefault="001C6219" w:rsidP="001C6219">
      <w:r>
        <w:lastRenderedPageBreak/>
        <w:t>Según las condiciones contractuales, los destinatarios finales deben colocar la placa duradera o la valla publicitaria. La aplicación efectiva de estas condiciones depende del destinatario final.</w:t>
      </w:r>
    </w:p>
    <w:p w:rsidR="001C6219" w:rsidRDefault="001C6219" w:rsidP="001C6219">
      <w:r>
        <w:t>Si estuviera justificado proporcionando medidas eficaces de comunicación y visibilidad, la AG podría proporcionar placas o vallas publicitarias duraderas para la publicidad relacionada con la operación.  Podría considerarse una subvención independiente proporcionada en combinación con el apoyo de los instrumentos financieros de conformidad con el artículo 58, apartado 4, del RDC.</w:t>
      </w:r>
    </w:p>
    <w:p w:rsidR="001C6219" w:rsidRDefault="001C6219" w:rsidP="001C6219">
      <w:r>
        <w:rPr>
          <w:b/>
        </w:rPr>
        <w:t>3)</w:t>
      </w:r>
      <w:r>
        <w:t xml:space="preserve"> el RDC no prescribe cómo los beneficiarios o los organismos que ejecutan los instrumentos financieros deben establecer los controles de si el destinatario final respeta o no las condiciones contractuales.</w:t>
      </w:r>
    </w:p>
    <w:p w:rsidR="001C6219" w:rsidRDefault="001C6219" w:rsidP="001C6219">
      <w:r>
        <w:t>Sin embargo, de conformidad con el punto (1) (n) del anexo X del RDC, el acuerdo de financiación entre la autoridad de gestión y los organismos de ejecución de los instrumentos financieros debe incluir «las condiciones para garantizar que, mediante acuerdos contractuales, los destinatarios finales cumplan los requisitos de exhibición de placas o vallas publicitarias duraderas de conformidad con el artículo 50, apartado 1, letra c), y otras disposiciones para garantizar el cumplimiento del artículo 50 y del anexo IX para el reconocimiento de la ayuda de los Fondos». Los organismos que ejecutan los instrumentos financieros llevarán a cabo el seguimiento de dichas condiciones en consecuencia.</w:t>
      </w:r>
    </w:p>
    <w:p w:rsidR="001C6219" w:rsidRDefault="001C6219" w:rsidP="001C6219"/>
    <w:p w:rsidR="001C6219" w:rsidRDefault="001C6219" w:rsidP="001C6219"/>
    <w:p w:rsidR="001C6219" w:rsidRDefault="001C6219" w:rsidP="001C6219">
      <w:pPr>
        <w:pStyle w:val="Ttulo1"/>
      </w:pPr>
      <w:bookmarkStart w:id="406" w:name="scroll-bookmark-466"/>
      <w:bookmarkStart w:id="407" w:name="scroll-bookmark-467"/>
      <w:bookmarkEnd w:id="406"/>
      <w:r>
        <w:t>QA00226 — Operaciones que contribuyen al cumplimiento de la condición favorable</w:t>
      </w:r>
      <w:bookmarkEnd w:id="407"/>
    </w:p>
    <w:p w:rsidR="001C6219" w:rsidRDefault="001C6219" w:rsidP="001C6219">
      <w:r>
        <w:rPr>
          <w:noProof/>
          <w:lang w:val="es-ES"/>
        </w:rPr>
        <w:drawing>
          <wp:inline distT="0" distB="0" distL="0" distR="0" wp14:anchorId="6D3AF2DF" wp14:editId="09843A2B">
            <wp:extent cx="152435" cy="152435"/>
            <wp:effectExtent l="0" t="0" r="0" b="0"/>
            <wp:docPr id="100819" name="Imagen 1008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15 del RDC</w:t>
      </w:r>
    </w:p>
    <w:p w:rsidR="001C6219" w:rsidRDefault="001C6219" w:rsidP="001C6219">
      <w:r>
        <w:rPr>
          <w:noProof/>
          <w:lang w:val="es-ES"/>
        </w:rPr>
        <w:drawing>
          <wp:inline distT="0" distB="0" distL="0" distR="0" wp14:anchorId="30B83F7D" wp14:editId="27687D45">
            <wp:extent cx="152435" cy="152435"/>
            <wp:effectExtent l="0" t="0" r="0" b="0"/>
            <wp:docPr id="100821" name="Imagen 1008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BE y EL</w:t>
      </w:r>
    </w:p>
    <w:p w:rsidR="001C6219" w:rsidRDefault="001C6219" w:rsidP="001C6219">
      <w:pPr>
        <w:pStyle w:val="P68B1DB1-Normal1"/>
      </w:pPr>
      <w:r>
        <w:br/>
        <w:t>Pregunta 1 (incluidos los hechos e información pertinentes):</w:t>
      </w:r>
    </w:p>
    <w:p w:rsidR="001C6219" w:rsidRDefault="001C6219" w:rsidP="001C6219">
      <w:r>
        <w:t>De conformidad con el artículo 15, apartado 5, párrafo segundo, del RDC, las limitaciones de reembolso relacionadas con condiciones favorecedoras no cumplidas no se aplicarán a las operaciones que contribuyan al cumplimiento de la condición favorecedora correspondiente.</w:t>
      </w:r>
    </w:p>
    <w:p w:rsidR="001C6219" w:rsidRDefault="001C6219" w:rsidP="001C6219">
      <w:r>
        <w:t>Artículo 15, apartado 5, del RDC:</w:t>
      </w:r>
    </w:p>
    <w:p w:rsidR="001C6219" w:rsidRDefault="001C6219" w:rsidP="001C6219">
      <w:pPr>
        <w:pStyle w:val="P68B1DB1-Normal3"/>
      </w:pPr>
      <w:r>
        <w:t>«Sin perjuicio de lo dispuesto en el artículo 105, los gastos relacionados con operaciones relacionadas con el objetivo específico podrán incluirse en las solicitudes de pago, pero no serán reembolsados por la Comisión hasta que esta haya informado al Estado miembro del cumplimiento de la condición favorable con arreglo al apartado 4, párrafo primero, del presente artículo.</w:t>
      </w:r>
    </w:p>
    <w:p w:rsidR="001C6219" w:rsidRDefault="001C6219" w:rsidP="001C6219">
      <w:pPr>
        <w:pStyle w:val="P68B1DB1-Normal3"/>
      </w:pPr>
      <w:r>
        <w:lastRenderedPageBreak/>
        <w:t>El párrafo primero no se aplicará a las operaciones que contribuyan al cumplimiento de la condición favorecedora correspondiente.».</w:t>
      </w:r>
    </w:p>
    <w:p w:rsidR="001C6219" w:rsidRDefault="001C6219" w:rsidP="001C6219">
      <w:pPr>
        <w:pStyle w:val="P68B1DB1-Normal1"/>
      </w:pPr>
      <w:r>
        <w:t>¿Qué se entiende por operaciones que contribuyen al cumplimiento de las condiciones favorecedoras correspondientes? </w:t>
      </w:r>
    </w:p>
    <w:p w:rsidR="001C6219" w:rsidRDefault="001C6219" w:rsidP="001C6219"/>
    <w:p w:rsidR="001C6219" w:rsidRDefault="001C6219" w:rsidP="001C6219">
      <w:pPr>
        <w:pStyle w:val="P68B1DB1-Normal1"/>
      </w:pPr>
      <w:r>
        <w:t>Respuesta.</w:t>
      </w:r>
    </w:p>
    <w:p w:rsidR="001C6219" w:rsidRDefault="001C6219" w:rsidP="001C6219">
      <w:r>
        <w:t>De conformidad con el artículo 15, apartado 5, del RDC, la Comisión no puede reembolsar los gastos relacionados con operaciones relacionadas con objetivos específicos para los que no se cumplan las condiciones favorecedoras, a excepción de las operaciones que contribuyan al cumplimiento de las condiciones favorecedoras correspondientes.</w:t>
      </w:r>
    </w:p>
    <w:p w:rsidR="001C6219" w:rsidRDefault="001C6219" w:rsidP="001C6219">
      <w:r>
        <w:t>«Operaciones que contribuyen al cumplimiento de las condiciones favorecedoras correspondientes»: operaciones que contribuyen al cumplimiento de los criterios de las condiciones favorecedoras correspondientes al pliego de cargos al que están relacionadas estas operaciones (como la preparación de planes o estrategias exigidos en los criterios de algunas condiciones favorecedoras establecidos en los anexos III o IV del RDC).</w:t>
      </w:r>
    </w:p>
    <w:p w:rsidR="001C6219" w:rsidRDefault="001C6219" w:rsidP="001C6219">
      <w:r>
        <w:t>Estas operaciones deben entrar en el ámbito de aplicación de los Fondos, poder optar a financiación en virtud del RDC, las normas específicas de los Fondos, el programa pertinente, el objetivo específico pertinente o la asistencia técnica. La inclusión de operaciones físicas/de inversión en «operaciones que contribuyan al cumplimiento de las condiciones favorecedoras correspondientes» eludiría la prohibición de reembolso por parte de la Comisión de los gastos relacionados con operaciones vinculadas a objetivos específicos para los que no se cumplen las condiciones favorecedoras, derivada de los artículos 15 (5) y 91 (3) del RDC, junto con la plantilla para las solicitudes de pago establecida en el anexo XXIII del RDC.</w:t>
      </w:r>
    </w:p>
    <w:p w:rsidR="001C6219" w:rsidRDefault="001C6219" w:rsidP="001C6219"/>
    <w:p w:rsidR="001C6219" w:rsidRDefault="001C6219" w:rsidP="001C6219"/>
    <w:p w:rsidR="001C6219" w:rsidRDefault="001C6219" w:rsidP="001C6219">
      <w:pPr>
        <w:pStyle w:val="Ttulo1"/>
      </w:pPr>
      <w:bookmarkStart w:id="408" w:name="scroll-bookmark-468"/>
      <w:bookmarkStart w:id="409" w:name="scroll-bookmark-469"/>
      <w:bookmarkEnd w:id="408"/>
      <w:r>
        <w:t>QA00227 — Admisibilidad de las operaciones presentadas a las convocatorias publicadas antes de la adopción de los programas 2021-27 y que se completaron en el período comprendido entre la solicitud y la adopción del programa</w:t>
      </w:r>
      <w:bookmarkEnd w:id="409"/>
    </w:p>
    <w:p w:rsidR="001C6219" w:rsidRDefault="001C6219" w:rsidP="001C6219">
      <w:r>
        <w:rPr>
          <w:noProof/>
          <w:lang w:val="es-ES"/>
        </w:rPr>
        <w:drawing>
          <wp:inline distT="0" distB="0" distL="0" distR="0" wp14:anchorId="6E9A9841" wp14:editId="3BCFEDCD">
            <wp:extent cx="152435" cy="152435"/>
            <wp:effectExtent l="0" t="0" r="0" b="0"/>
            <wp:docPr id="100823" name="Imagen 1008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3"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63 del RDC y artículo 73 del RDC</w:t>
      </w:r>
    </w:p>
    <w:p w:rsidR="001C6219" w:rsidRDefault="001C6219" w:rsidP="001C6219">
      <w:r>
        <w:rPr>
          <w:noProof/>
          <w:lang w:val="es-ES"/>
        </w:rPr>
        <w:drawing>
          <wp:inline distT="0" distB="0" distL="0" distR="0" wp14:anchorId="32E29270" wp14:editId="391898AC">
            <wp:extent cx="152435" cy="152435"/>
            <wp:effectExtent l="0" t="0" r="0" b="0"/>
            <wp:docPr id="100825" name="Imagen 1008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 name=""/>
                    <pic:cNvPicPr>
                      <a:picLocks noChangeAspect="1"/>
                    </pic:cNvPicPr>
                  </pic:nvPicPr>
                  <pic:blipFill>
                    <a:blip r:embed="rId4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75"/>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1C6219" w:rsidRDefault="001C6219" w:rsidP="001C6219"/>
    <w:p w:rsidR="001C6219" w:rsidRDefault="001C6219" w:rsidP="001C6219">
      <w:r>
        <w:t xml:space="preserve">Debido al retraso en la adopción del RDC y al consiguiente retraso en la presentación de los programas de la política de cohesión a la Comisión, algunos Estados miembros, al igual que en el período de programación anterior, decidieron lanzar convocatorias antes </w:t>
      </w:r>
      <w:r>
        <w:lastRenderedPageBreak/>
        <w:t>de la aprobación efectiva de los programas pertinentes por parte de la Comisión, tras la aprobación de los criterios de selección por los denominados comités de seguimiento «alternativos».</w:t>
      </w:r>
    </w:p>
    <w:p w:rsidR="001C6219" w:rsidRDefault="001C6219" w:rsidP="001C6219">
      <w:r>
        <w:t>Durante las negociaciones del programa, los servicios de la Comisión explicaron a las autoridades de gestión que, en caso necesario, antes de la aprobación del programa, los Estados miembros pueden decidir crear un MC de manera informal. Dicho MC funcionaría como MC «sombra» y podría empezar a desempeñar sus funciones de conformidad con el artículo 40 del RDC y los artículos 22 y 30 del Reglamento Interreg, en particular debatiendo y aprobando la metodología y los criterios que deben utilizarse para la selección de las operaciones. No obstante, cualquier decisión adoptada por dicho comité de seguimiento deberá ser confirmada formalmente por el comité de seguimiento ordinario, una vez que se haya establecido formalmente tras la aprobación del programa.</w:t>
      </w:r>
    </w:p>
    <w:p w:rsidR="001C6219" w:rsidRDefault="001C6219" w:rsidP="001C6219">
      <w:r>
        <w:t>Algunas operaciones seleccionadas sobre la base de dichas convocatorias podrían haberse completado antes de que se aprobaran los programas pertinentes y el comité de seguimiento periódico confirmara de nuevo los criterios de selección pertinentes.</w:t>
      </w:r>
    </w:p>
    <w:p w:rsidR="001C6219" w:rsidRDefault="001C6219" w:rsidP="001C6219">
      <w:pPr>
        <w:pStyle w:val="P68B1DB1-Normal1"/>
      </w:pPr>
      <w:r>
        <w:br/>
        <w:t>Preguntas (incluidos los hechos y la información pertinentes):</w:t>
      </w:r>
    </w:p>
    <w:p w:rsidR="001C6219" w:rsidRDefault="001C6219" w:rsidP="001C6219">
      <w:pPr>
        <w:pStyle w:val="P68B1DB1-Normal1"/>
        <w:numPr>
          <w:ilvl w:val="0"/>
          <w:numId w:val="192"/>
        </w:numPr>
      </w:pPr>
      <w:r>
        <w:t>¿Cuáles son los factores pertinentes para la interpretación del artículo 63, apartado 6, del RDC en las circunstancias descritas en los antecedentes?</w:t>
      </w:r>
    </w:p>
    <w:p w:rsidR="001C6219" w:rsidRDefault="001C6219" w:rsidP="001C6219">
      <w:pPr>
        <w:pStyle w:val="P68B1DB1-Normal1"/>
        <w:numPr>
          <w:ilvl w:val="0"/>
          <w:numId w:val="192"/>
        </w:numPr>
      </w:pPr>
      <w:r>
        <w:t>¿Es necesario volver a evaluar las operaciones seleccionadas antes de la aprobación del programa en caso de que exista una diferencia entre los criterios aprobados por un comité de seguimiento alternativo y formal o entre un proyecto y un programa aprobado?</w:t>
      </w:r>
    </w:p>
    <w:p w:rsidR="001C6219" w:rsidRDefault="001C6219" w:rsidP="001C6219"/>
    <w:p w:rsidR="001C6219" w:rsidRDefault="001C6219" w:rsidP="001C6219">
      <w:pPr>
        <w:pStyle w:val="P68B1DB1-Normal1"/>
      </w:pPr>
      <w:r>
        <w:t>Respuesta.</w:t>
      </w:r>
    </w:p>
    <w:p w:rsidR="001C6219" w:rsidRDefault="001C6219" w:rsidP="001C6219">
      <w:r>
        <w:t>En primer lugar, cabe recordar que, sobre la base del RDC, antes de la aprobación del programa, no es posible crear un comité de seguimiento formal (artículo 38, apartado 1, del RDC), por lo que no es posible aprobar formalmente la metodología y los criterios de selección de las operaciones [artículo 73, apartado 1, en combinación con el artículo 40, apartado 2, letra a), del RDC], ni seleccionar formalmente operaciones [artículo 73, apartado 2, letra a), del RDC]. La creación y el funcionamiento de un comité de seguimiento «alternativo» puede considerarse una solución técnica para superar el lapso de tiempo transcurrido entre el inicio del período de programación y la creación de un comité de seguimiento formal, tras la aprobación del programa por la Comisión, a fin de evitar retrasos en el inicio de la ejecución del programa.</w:t>
      </w:r>
    </w:p>
    <w:p w:rsidR="001C6219" w:rsidRDefault="001C6219" w:rsidP="001C6219">
      <w:r>
        <w:t xml:space="preserve">Procede confirmar que el RDC no excluye la posibilidad de lanzar una convocatoria de propuestas antes de la aprobación del programa por la Comisión sobre la base de los criterios de selección aprobados por un comité de seguimiento alternativo, así como la posterior evaluación de las solicitudes presentadas y la selección y ejecución de las operaciones que hayan prosperado, siempre que se cumplan los requisitos mencionados en el RDC. Los Estados miembros podrán empezar a aplicar el programa antes de que sea aprobado por decisión de la Comisión por su cuenta y riesgo. No obstante, tras la aprobación del programa por la Comisión, cualquier decisión adoptada </w:t>
      </w:r>
      <w:r>
        <w:lastRenderedPageBreak/>
        <w:t>por el comité de seguimiento «alternativo» debe ser aprobada formalmente por el comité de seguimiento creado para supervisar la ejecución del programa de que se trate. Esta aprobación formal, si no implica la revisión de las decisiones adoptadas por el comité de seguimiento «alternativo», no requiere relanzar o reabrir la convocatoria ni volver a presentar solicitudes de ayuda.</w:t>
      </w:r>
    </w:p>
    <w:p w:rsidR="001C6219" w:rsidRDefault="001C6219" w:rsidP="001C6219"/>
    <w:p w:rsidR="001C6219" w:rsidRDefault="001C6219" w:rsidP="001C6219">
      <w:r>
        <w:t>Ad pregunta 1:</w:t>
      </w:r>
    </w:p>
    <w:p w:rsidR="001C6219" w:rsidRDefault="001C6219" w:rsidP="001C6219">
      <w:r>
        <w:t xml:space="preserve">De conformidad con el artículo 63, apartado 6, del RDC, las operaciones no se seleccionarán para recibir ayuda de los Fondos cuando se hayan completado físicamente o se hayan </w:t>
      </w:r>
      <w:r>
        <w:rPr>
          <w:b/>
        </w:rPr>
        <w:t>ejecutado íntegramente antes de que se presente la solicitud de financiación en el marco</w:t>
      </w:r>
      <w:r>
        <w:t xml:space="preserve"> del programa, independientemente de que se hayan efectuado todos los pagos correspondientes. Así pues, el único hecho pertinente para la interpretación del artículo 63, apartado 6, del RDC es si la operación se completó o se ejecutó plenamente antes de presentar la solicitud de financiación por el beneficiario en respuesta a la convocatoria de propuestas lanzada.</w:t>
      </w:r>
    </w:p>
    <w:p w:rsidR="001C6219" w:rsidRDefault="001C6219" w:rsidP="001C6219"/>
    <w:p w:rsidR="001C6219" w:rsidRDefault="001C6219" w:rsidP="001C6219">
      <w:r>
        <w:t>Ad pregunta 2:</w:t>
      </w:r>
    </w:p>
    <w:p w:rsidR="001C6219" w:rsidRDefault="001C6219" w:rsidP="001C6219">
      <w:r>
        <w:t>En primer lugar, cabe recordar que la autoridad de gestión debe establecer y aplicar criterios y procedimientos para la selección de operaciones que sean no discriminatorios, inclusivos y transparentes, y garantizar que las operaciones seleccionadas cumplan el programa, así como que aporten una contribución efectiva de la financiación de la Unión a la consecución de los objetivos del programa y estén en consonancia con los principios horizontales definidos en el RDC.</w:t>
      </w:r>
    </w:p>
    <w:p w:rsidR="001C6219" w:rsidRDefault="001C6219" w:rsidP="001C6219">
      <w:r>
        <w:t>Los cambios entre los criterios de selección aprobados por un comité de seguimiento alternativo y regular o los cambios entre un proyecto y un programa aprobado que afecten a las condiciones de la convocatoria de propuestas lanzada antes de la aprobación del programa (por ejemplo, cambios que afecten a la subvencionabilidad o al alcance de las operaciones) o que afecten a la evaluación de las operaciones presentadas (como cambios en la formulación del criterio o su ponderación) deben dar lugar a una nueva evaluación de las operaciones seleccionadas y de las solicitudes presentadas.</w:t>
      </w:r>
    </w:p>
    <w:p w:rsidR="001C6219" w:rsidRDefault="001C6219" w:rsidP="001C6219">
      <w:r>
        <w:t>Debe ser tarea y responsabilidad de la autoridad de gestión evaluar si tales cambios en los criterios de selección pueden discriminar a los posibles solicitantes de la convocatoria. De ser así, la AG debe adoptar medidas correctoras.</w:t>
      </w:r>
    </w:p>
    <w:p w:rsidR="001C6219" w:rsidRDefault="001C6219" w:rsidP="001C6219"/>
    <w:p w:rsidR="00786B3E" w:rsidRDefault="00786B3E" w:rsidP="00786B3E"/>
    <w:p w:rsidR="00786B3E" w:rsidRDefault="00786B3E" w:rsidP="00786B3E">
      <w:pPr>
        <w:pStyle w:val="Ttulo1"/>
      </w:pPr>
      <w:bookmarkStart w:id="410" w:name="scroll-bookmark-470"/>
      <w:bookmarkStart w:id="411" w:name="scroll-bookmark-471"/>
      <w:bookmarkEnd w:id="410"/>
      <w:r>
        <w:lastRenderedPageBreak/>
        <w:t>QA00228 — Cálculo del efecto de apalancamiento estimado de los instrumentos financieros combinados con subvenciones</w:t>
      </w:r>
      <w:bookmarkEnd w:id="411"/>
    </w:p>
    <w:p w:rsidR="00786B3E" w:rsidRDefault="00786B3E" w:rsidP="00786B3E">
      <w:r>
        <w:rPr>
          <w:noProof/>
          <w:lang w:val="es-ES"/>
        </w:rPr>
        <w:drawing>
          <wp:inline distT="0" distB="0" distL="0" distR="0" wp14:anchorId="768E3D03" wp14:editId="49C78357">
            <wp:extent cx="152435" cy="152435"/>
            <wp:effectExtent l="0" t="0" r="0" b="0"/>
            <wp:docPr id="100827" name="Imagen 1008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2 (23), 58 (3) (a) Reglamento RDC</w:t>
      </w:r>
    </w:p>
    <w:p w:rsidR="00786B3E" w:rsidRDefault="00786B3E" w:rsidP="00786B3E">
      <w:r>
        <w:rPr>
          <w:noProof/>
          <w:lang w:val="es-ES"/>
        </w:rPr>
        <w:drawing>
          <wp:inline distT="0" distB="0" distL="0" distR="0" wp14:anchorId="06068623" wp14:editId="4354A4E9">
            <wp:extent cx="152435" cy="152435"/>
            <wp:effectExtent l="0" t="0" r="0" b="0"/>
            <wp:docPr id="100829" name="Imagen 1008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autoridad de gestión del FSE + está creando y aplicando instrumentos financieros a través del Programa de Recursos Humanos Eficientes 2021-2027.</w:t>
      </w:r>
    </w:p>
    <w:p w:rsidR="00786B3E" w:rsidRDefault="00786B3E" w:rsidP="00786B3E">
      <w:r>
        <w:t>En el período 2021-2027 tiene previsto utilizar la combinación de instrumentos financieros y subvenciones para el apoyo técnico y la reducción de capital. Durante la preparación de la evaluación ex ante, hemos encontrado un problema en relación con el cálculo del efecto de apalancamiento. Según la combinación 2021-2027 del RDC de IF/subvención, se considera una única operación, pero el RDC también define el efecto palanca como «el importe de la financiación reembolsable proporcionada a los beneficiarios finales dividido por el importe de la contribución de los Fondos». Ambos en la combinación de apoyo técnico y descuento de capital, podemos decir que la parte de la subvención no es «reembolsable», aunque llegue a los destinatarios finales.</w:t>
      </w:r>
    </w:p>
    <w:p w:rsidR="00786B3E" w:rsidRDefault="00786B3E" w:rsidP="00786B3E">
      <w:r>
        <w:t>Por lo tanto, al calcular el efecto de apalancamiento, según la fórmula:</w:t>
      </w:r>
    </w:p>
    <w:p w:rsidR="00786B3E" w:rsidRDefault="00786B3E" w:rsidP="00786B3E">
      <w:r>
        <w:t>[Importe total previsto de financiación a los destinatarios finales elegibles (excluido el MCF)]/[importe de los Fondos EIE comprometido para el instrumento financiero (incluido el MCF)], hemos llegado a la conclusión de que la parte de la subvención debe excluirse del importe total previsto de financiación a los destinatarios finales elegibles.</w:t>
      </w:r>
    </w:p>
    <w:p w:rsidR="00786B3E" w:rsidRDefault="00786B3E" w:rsidP="00786B3E">
      <w:r>
        <w:t>Ejemplo:</w:t>
      </w:r>
    </w:p>
    <w:p w:rsidR="00786B3E" w:rsidRDefault="00786B3E" w:rsidP="00786B3E">
      <w:r>
        <w:t>Nos gustaría ofrecer micropréstamos combinados fi/subvención (opción de descuento de capital con hasta el 50 % de la condonación de préstamos) y hemos programado 30 millones EUR de recursos del FSE + (de los cuales 25.5 millones EUR son cofinanciación de la UE y 4.5 millones EUR son cofinanciación nacional). Asimismo, se aplicará una parte de los costes y comisiones de gestión (el 7 % del importe total de las contribuciones del programa desembolsadas a los beneficiarios finales en forma de préstamos, en este caso concreto, 2.1 millones EUR).</w:t>
      </w:r>
    </w:p>
    <w:p w:rsidR="00786B3E" w:rsidRDefault="00786B3E" w:rsidP="00786B3E">
      <w:r>
        <w:t>Efecto de apalancamiento esperado = ((30 millones EUR/2.1 millones EUR) * 50 %)/(25.5 millones EUR) = 0.55</w:t>
      </w:r>
    </w:p>
    <w:p w:rsidR="00786B3E" w:rsidRDefault="00786B3E" w:rsidP="00786B3E">
      <w:r>
        <w:t>Dado que la combinación de instrumentos financieros y subvenciones es nueva en el período de programación 2021-2027, le agradeceríamos que nos indicara si nuestro cálculo es correcto o no. ¿Difiere el cálculo en función del tipo de combinación que utilizamos (apoyo técnico, descuento de capital y posiblemente subvención de capital)?</w:t>
      </w:r>
    </w:p>
    <w:p w:rsidR="00786B3E" w:rsidRDefault="00786B3E" w:rsidP="00786B3E"/>
    <w:p w:rsidR="00786B3E" w:rsidRDefault="00786B3E" w:rsidP="00786B3E">
      <w:pPr>
        <w:pStyle w:val="P68B1DB1-Normal1"/>
      </w:pPr>
      <w:r>
        <w:t>Respuesta.</w:t>
      </w:r>
    </w:p>
    <w:p w:rsidR="00786B3E" w:rsidRDefault="00786B3E" w:rsidP="00786B3E">
      <w:r>
        <w:lastRenderedPageBreak/>
        <w:t>De conformidad con el artículo 2, apartado 23, del RDC, el efecto palanca es el importe de la financiación reembolsable proporcionada a los beneficiarios finales elegibles dividido por el importe de la contribución de los Fondos.</w:t>
      </w:r>
    </w:p>
    <w:p w:rsidR="00786B3E" w:rsidRDefault="00786B3E" w:rsidP="00786B3E">
      <w:r>
        <w:t>El apalancamiento estimado debe tener en cuenta el «importe total previsto de financiación para los perceptores finales elegibles» (excluidos los costes y las comisiones de gestión y el componente de subvención) dividido por «el importe de la contribución prevista de los Fondos» (excluida la parte de los Fondos en los costes y las comisiones de gestión y el componente de subvención). El cálculo no tendrá en cuenta el componente de subvención combinado con el instrumento financiero.</w:t>
      </w:r>
    </w:p>
    <w:p w:rsidR="00786B3E" w:rsidRDefault="00786B3E" w:rsidP="00786B3E">
      <w:r>
        <w:t>Sobre la base de los importes previstos en la pregunta y teniendo en cuenta:</w:t>
      </w:r>
    </w:p>
    <w:p w:rsidR="00786B3E" w:rsidRDefault="00786B3E" w:rsidP="00786B3E">
      <w:pPr>
        <w:numPr>
          <w:ilvl w:val="0"/>
          <w:numId w:val="193"/>
        </w:numPr>
      </w:pPr>
      <w:r>
        <w:t>la hipótesis de que los recursos apalancados solo se obtendrán a partir de la cofinanciación nacional (es decir, las instituciones de microfinanciación no proporcionarán recursos apalancados),</w:t>
      </w:r>
    </w:p>
    <w:p w:rsidR="00786B3E" w:rsidRDefault="00786B3E" w:rsidP="00786B3E">
      <w:pPr>
        <w:numPr>
          <w:ilvl w:val="0"/>
          <w:numId w:val="193"/>
        </w:numPr>
      </w:pPr>
      <w:r>
        <w:t>la hipótesis de que se concederá una reducción del capital del 50 % para todos los préstamos, y</w:t>
      </w:r>
    </w:p>
    <w:p w:rsidR="00786B3E" w:rsidRDefault="00786B3E" w:rsidP="00786B3E">
      <w:pPr>
        <w:numPr>
          <w:ilvl w:val="0"/>
          <w:numId w:val="193"/>
        </w:numPr>
      </w:pPr>
      <w:r>
        <w:t>el descuento de capital tiene una cofinanciación nacional nula,</w:t>
      </w:r>
    </w:p>
    <w:p w:rsidR="00786B3E" w:rsidRDefault="00786B3E" w:rsidP="00786B3E">
      <w:r>
        <w:t>el efecto de apalancamiento estimado para el instrumento previsto sería el siguiente:</w:t>
      </w:r>
    </w:p>
    <w:p w:rsidR="00786B3E" w:rsidRDefault="00786B3E" w:rsidP="00786B3E">
      <w:r>
        <w:t>Explicación de los importes utilizados en el cálculo:</w:t>
      </w:r>
    </w:p>
    <w:tbl>
      <w:tblPr>
        <w:tblStyle w:val="ScrollTableNormal"/>
        <w:tblW w:w="5000" w:type="pct"/>
        <w:tblLook w:val="0000" w:firstRow="0" w:lastRow="0" w:firstColumn="0" w:lastColumn="0" w:noHBand="0" w:noVBand="0"/>
      </w:tblPr>
      <w:tblGrid>
        <w:gridCol w:w="1389"/>
        <w:gridCol w:w="7105"/>
      </w:tblGrid>
      <w:tr w:rsidR="00786B3E" w:rsidTr="00786B3E">
        <w:tc>
          <w:tcPr>
            <w:tcW w:w="0" w:type="auto"/>
          </w:tcPr>
          <w:p w:rsidR="00786B3E" w:rsidRDefault="00786B3E" w:rsidP="00786B3E">
            <w:pPr>
              <w:pStyle w:val="P68B1DB1-Normal2"/>
              <w:spacing w:after="0"/>
              <w:jc w:val="left"/>
            </w:pPr>
            <w:r>
              <w:t>30 millones EUR</w:t>
            </w:r>
          </w:p>
        </w:tc>
        <w:tc>
          <w:tcPr>
            <w:tcW w:w="0" w:type="auto"/>
          </w:tcPr>
          <w:p w:rsidR="00786B3E" w:rsidRDefault="00786B3E" w:rsidP="00786B3E">
            <w:pPr>
              <w:pStyle w:val="P68B1DB1-Normal2"/>
              <w:spacing w:after="0"/>
              <w:jc w:val="left"/>
            </w:pPr>
            <w:r>
              <w:t>Contribución del programa</w:t>
            </w:r>
          </w:p>
        </w:tc>
      </w:tr>
      <w:tr w:rsidR="00786B3E" w:rsidTr="00786B3E">
        <w:tc>
          <w:tcPr>
            <w:tcW w:w="0" w:type="auto"/>
          </w:tcPr>
          <w:p w:rsidR="00786B3E" w:rsidRDefault="00786B3E" w:rsidP="00786B3E">
            <w:pPr>
              <w:pStyle w:val="P68B1DB1-Normal2"/>
              <w:spacing w:after="0"/>
              <w:jc w:val="left"/>
            </w:pPr>
            <w:r>
              <w:t>25.5 millones EUR</w:t>
            </w:r>
          </w:p>
        </w:tc>
        <w:tc>
          <w:tcPr>
            <w:tcW w:w="0" w:type="auto"/>
          </w:tcPr>
          <w:p w:rsidR="00786B3E" w:rsidRDefault="00786B3E" w:rsidP="00786B3E">
            <w:pPr>
              <w:pStyle w:val="P68B1DB1-Normal2"/>
              <w:spacing w:after="0"/>
              <w:jc w:val="left"/>
            </w:pPr>
            <w:r>
              <w:t>FSE</w:t>
            </w:r>
          </w:p>
        </w:tc>
      </w:tr>
      <w:tr w:rsidR="00786B3E" w:rsidTr="00786B3E">
        <w:tc>
          <w:tcPr>
            <w:tcW w:w="0" w:type="auto"/>
          </w:tcPr>
          <w:p w:rsidR="00786B3E" w:rsidRDefault="00786B3E" w:rsidP="00786B3E">
            <w:pPr>
              <w:pStyle w:val="P68B1DB1-Normal2"/>
              <w:spacing w:after="0"/>
              <w:jc w:val="left"/>
            </w:pPr>
            <w:r>
              <w:t>4.5 millones EUR</w:t>
            </w:r>
          </w:p>
        </w:tc>
        <w:tc>
          <w:tcPr>
            <w:tcW w:w="0" w:type="auto"/>
          </w:tcPr>
          <w:p w:rsidR="00786B3E" w:rsidRDefault="00786B3E" w:rsidP="00786B3E">
            <w:pPr>
              <w:pStyle w:val="P68B1DB1-Normal2"/>
              <w:spacing w:after="0"/>
              <w:jc w:val="left"/>
            </w:pPr>
            <w:r>
              <w:t>Cofinanciación nacional</w:t>
            </w:r>
          </w:p>
        </w:tc>
      </w:tr>
      <w:tr w:rsidR="00786B3E" w:rsidTr="00786B3E">
        <w:tc>
          <w:tcPr>
            <w:tcW w:w="0" w:type="auto"/>
          </w:tcPr>
          <w:p w:rsidR="00786B3E" w:rsidRDefault="00786B3E" w:rsidP="00786B3E">
            <w:pPr>
              <w:pStyle w:val="P68B1DB1-Normal2"/>
              <w:spacing w:after="0"/>
              <w:jc w:val="left"/>
            </w:pPr>
            <w:r>
              <w:t>85 %</w:t>
            </w:r>
          </w:p>
        </w:tc>
        <w:tc>
          <w:tcPr>
            <w:tcW w:w="0" w:type="auto"/>
          </w:tcPr>
          <w:p w:rsidR="00786B3E" w:rsidRDefault="00786B3E" w:rsidP="00786B3E">
            <w:pPr>
              <w:pStyle w:val="P68B1DB1-Normal2"/>
              <w:spacing w:after="0"/>
              <w:jc w:val="left"/>
            </w:pPr>
            <w:r>
              <w:t>Cofinanciación del FSE</w:t>
            </w:r>
          </w:p>
        </w:tc>
      </w:tr>
      <w:tr w:rsidR="00786B3E" w:rsidTr="00786B3E">
        <w:tc>
          <w:tcPr>
            <w:tcW w:w="0" w:type="auto"/>
          </w:tcPr>
          <w:p w:rsidR="00786B3E" w:rsidRDefault="00786B3E" w:rsidP="00786B3E">
            <w:pPr>
              <w:pStyle w:val="P68B1DB1-Normal2"/>
              <w:spacing w:after="0"/>
              <w:jc w:val="left"/>
            </w:pPr>
            <w:r>
              <w:t>2.1 millones EUR</w:t>
            </w:r>
          </w:p>
        </w:tc>
        <w:tc>
          <w:tcPr>
            <w:tcW w:w="0" w:type="auto"/>
          </w:tcPr>
          <w:p w:rsidR="00786B3E" w:rsidRDefault="00786B3E" w:rsidP="00786B3E">
            <w:pPr>
              <w:pStyle w:val="P68B1DB1-Normal2"/>
              <w:spacing w:after="0"/>
              <w:jc w:val="left"/>
            </w:pPr>
            <w:r>
              <w:t>Contribución del programa a los costes y tasas de gestión</w:t>
            </w:r>
          </w:p>
        </w:tc>
      </w:tr>
      <w:tr w:rsidR="00786B3E" w:rsidTr="00786B3E">
        <w:tc>
          <w:tcPr>
            <w:tcW w:w="0" w:type="auto"/>
          </w:tcPr>
          <w:p w:rsidR="00786B3E" w:rsidRDefault="00786B3E" w:rsidP="00786B3E">
            <w:pPr>
              <w:pStyle w:val="P68B1DB1-Normal2"/>
              <w:spacing w:after="0"/>
              <w:jc w:val="left"/>
            </w:pPr>
            <w:r>
              <w:t>1.785 millones EUR</w:t>
            </w:r>
          </w:p>
        </w:tc>
        <w:tc>
          <w:tcPr>
            <w:tcW w:w="0" w:type="auto"/>
          </w:tcPr>
          <w:p w:rsidR="00786B3E" w:rsidRDefault="00786B3E" w:rsidP="00786B3E">
            <w:pPr>
              <w:pStyle w:val="P68B1DB1-Normal2"/>
              <w:spacing w:after="0"/>
              <w:jc w:val="left"/>
            </w:pPr>
            <w:r>
              <w:t>Participación del FSE en los costes y las tasas de gestión (2.1 millones EUR * 85 % = 1.785 millones EUR)</w:t>
            </w:r>
          </w:p>
        </w:tc>
      </w:tr>
      <w:tr w:rsidR="00786B3E" w:rsidTr="00786B3E">
        <w:tc>
          <w:tcPr>
            <w:tcW w:w="0" w:type="auto"/>
          </w:tcPr>
          <w:p w:rsidR="00786B3E" w:rsidRDefault="00786B3E" w:rsidP="00786B3E">
            <w:pPr>
              <w:pStyle w:val="P68B1DB1-Normal2"/>
              <w:spacing w:after="0"/>
              <w:jc w:val="left"/>
            </w:pPr>
            <w:r>
              <w:t>27.9 millones EUR</w:t>
            </w:r>
          </w:p>
        </w:tc>
        <w:tc>
          <w:tcPr>
            <w:tcW w:w="0" w:type="auto"/>
          </w:tcPr>
          <w:p w:rsidR="00786B3E" w:rsidRDefault="00786B3E" w:rsidP="00786B3E">
            <w:pPr>
              <w:pStyle w:val="P68B1DB1-Normal2"/>
              <w:spacing w:after="0"/>
              <w:jc w:val="left"/>
            </w:pPr>
            <w:r>
              <w:t>Contribución del programa, excluido el MCF (30 millones EUR — 2.1 millones EUR = 27.9 millones EUR)</w:t>
            </w:r>
          </w:p>
        </w:tc>
      </w:tr>
      <w:tr w:rsidR="00786B3E" w:rsidTr="00786B3E">
        <w:tc>
          <w:tcPr>
            <w:tcW w:w="0" w:type="auto"/>
          </w:tcPr>
          <w:p w:rsidR="00786B3E" w:rsidRDefault="00786B3E" w:rsidP="00786B3E">
            <w:pPr>
              <w:pStyle w:val="P68B1DB1-Normal2"/>
              <w:spacing w:after="0"/>
              <w:jc w:val="left"/>
            </w:pPr>
            <w:r>
              <w:t>23.715 millones EUR</w:t>
            </w:r>
          </w:p>
        </w:tc>
        <w:tc>
          <w:tcPr>
            <w:tcW w:w="0" w:type="auto"/>
          </w:tcPr>
          <w:p w:rsidR="00786B3E" w:rsidRDefault="00786B3E" w:rsidP="00786B3E">
            <w:pPr>
              <w:pStyle w:val="P68B1DB1-Normal2"/>
              <w:spacing w:after="0"/>
              <w:jc w:val="left"/>
            </w:pPr>
            <w:r>
              <w:t>FSE excluido el MCF (25.5 millones EUR — 1.785 millones EUR = 23.715 millones EUR)</w:t>
            </w:r>
          </w:p>
        </w:tc>
      </w:tr>
      <w:tr w:rsidR="00786B3E" w:rsidTr="00786B3E">
        <w:tc>
          <w:tcPr>
            <w:tcW w:w="0" w:type="auto"/>
          </w:tcPr>
          <w:p w:rsidR="00786B3E" w:rsidRDefault="00786B3E" w:rsidP="00786B3E">
            <w:pPr>
              <w:pStyle w:val="P68B1DB1-Normal2"/>
              <w:spacing w:after="0"/>
              <w:jc w:val="left"/>
            </w:pPr>
            <w:r>
              <w:t>4.185 millones EUR</w:t>
            </w:r>
          </w:p>
        </w:tc>
        <w:tc>
          <w:tcPr>
            <w:tcW w:w="0" w:type="auto"/>
          </w:tcPr>
          <w:p w:rsidR="00786B3E" w:rsidRDefault="00786B3E" w:rsidP="00786B3E">
            <w:pPr>
              <w:pStyle w:val="P68B1DB1-Normal2"/>
              <w:spacing w:after="0"/>
              <w:jc w:val="left"/>
            </w:pPr>
            <w:r>
              <w:t>Cofinanciación nacional, excluido el MCF (4.5 millones EUR — 0.315 millones EUR = 4.185 millones EUR</w:t>
            </w:r>
          </w:p>
        </w:tc>
      </w:tr>
      <w:tr w:rsidR="00786B3E" w:rsidTr="00786B3E">
        <w:tc>
          <w:tcPr>
            <w:tcW w:w="0" w:type="auto"/>
          </w:tcPr>
          <w:p w:rsidR="00786B3E" w:rsidRDefault="00786B3E" w:rsidP="00786B3E">
            <w:pPr>
              <w:pStyle w:val="P68B1DB1-Normal2"/>
              <w:spacing w:after="0"/>
              <w:jc w:val="left"/>
            </w:pPr>
            <w:r>
              <w:t>50 %</w:t>
            </w:r>
          </w:p>
        </w:tc>
        <w:tc>
          <w:tcPr>
            <w:tcW w:w="0" w:type="auto"/>
          </w:tcPr>
          <w:p w:rsidR="00786B3E" w:rsidRDefault="00786B3E" w:rsidP="00786B3E">
            <w:pPr>
              <w:pStyle w:val="P68B1DB1-Normal2"/>
              <w:spacing w:after="0"/>
              <w:jc w:val="left"/>
            </w:pPr>
            <w:r>
              <w:t>Devolución de capital</w:t>
            </w:r>
          </w:p>
        </w:tc>
      </w:tr>
      <w:tr w:rsidR="00786B3E" w:rsidTr="00786B3E">
        <w:tc>
          <w:tcPr>
            <w:tcW w:w="0" w:type="auto"/>
          </w:tcPr>
          <w:p w:rsidR="00786B3E" w:rsidRDefault="00786B3E" w:rsidP="00786B3E">
            <w:pPr>
              <w:pStyle w:val="P68B1DB1-Normal2"/>
              <w:spacing w:after="0"/>
              <w:jc w:val="left"/>
            </w:pPr>
            <w:r>
              <w:lastRenderedPageBreak/>
              <w:t>13.95 millones EUR</w:t>
            </w:r>
          </w:p>
        </w:tc>
        <w:tc>
          <w:tcPr>
            <w:tcW w:w="0" w:type="auto"/>
          </w:tcPr>
          <w:p w:rsidR="00786B3E" w:rsidRDefault="00786B3E" w:rsidP="00786B3E">
            <w:pPr>
              <w:pStyle w:val="P68B1DB1-Normal2"/>
              <w:spacing w:after="0"/>
              <w:jc w:val="left"/>
            </w:pPr>
            <w:r>
              <w:t>Importe del descuento de capital, es decir, componente de subvención ((30 millones EUR — 2.1 millones EUR) * 50 %) = 13.95 millones EUR (financiado íntegramente por el FSE)</w:t>
            </w:r>
          </w:p>
        </w:tc>
      </w:tr>
      <w:tr w:rsidR="00786B3E" w:rsidTr="00786B3E">
        <w:tc>
          <w:tcPr>
            <w:tcW w:w="0" w:type="auto"/>
          </w:tcPr>
          <w:p w:rsidR="00786B3E" w:rsidRDefault="00786B3E" w:rsidP="00786B3E">
            <w:pPr>
              <w:pStyle w:val="P68B1DB1-Normal2"/>
              <w:spacing w:after="0"/>
              <w:jc w:val="left"/>
            </w:pPr>
            <w:r>
              <w:t>9.765 millones EUR</w:t>
            </w:r>
          </w:p>
        </w:tc>
        <w:tc>
          <w:tcPr>
            <w:tcW w:w="0" w:type="auto"/>
          </w:tcPr>
          <w:p w:rsidR="00786B3E" w:rsidRDefault="00786B3E" w:rsidP="00786B3E">
            <w:pPr>
              <w:pStyle w:val="P68B1DB1-Normal2"/>
              <w:spacing w:after="0"/>
              <w:jc w:val="left"/>
            </w:pPr>
            <w:r>
              <w:t>El FSE invirtió en beneficiarios finales elegibles, excluida la parte del FSE en el MCF y excluido el componente de subvención (25.5 millones EUR — 1.785 millones EUR — 13.95 millones EUR = 9.765 millones EUR)</w:t>
            </w:r>
          </w:p>
        </w:tc>
      </w:tr>
    </w:tbl>
    <w:p w:rsidR="00786B3E" w:rsidRDefault="00786B3E" w:rsidP="00786B3E"/>
    <w:p w:rsidR="00786B3E" w:rsidRDefault="00786B3E" w:rsidP="00786B3E"/>
    <w:p w:rsidR="00786B3E" w:rsidRDefault="00786B3E" w:rsidP="00786B3E">
      <w:pPr>
        <w:pStyle w:val="Ttulo1"/>
      </w:pPr>
      <w:bookmarkStart w:id="412" w:name="scroll-bookmark-472"/>
      <w:bookmarkStart w:id="413" w:name="scroll-bookmark-473"/>
      <w:bookmarkEnd w:id="412"/>
      <w:r>
        <w:t>QA00230 — Seguimiento de la financiación cruzada cuando se utiliza el tipo fijo para los costes indirectos</w:t>
      </w:r>
      <w:bookmarkEnd w:id="413"/>
    </w:p>
    <w:p w:rsidR="00786B3E" w:rsidRDefault="00786B3E" w:rsidP="00786B3E">
      <w:r>
        <w:rPr>
          <w:noProof/>
          <w:lang w:val="es-ES"/>
        </w:rPr>
        <w:drawing>
          <wp:inline distT="0" distB="0" distL="0" distR="0" wp14:anchorId="21476154" wp14:editId="4A6D8F75">
            <wp:extent cx="152435" cy="152435"/>
            <wp:effectExtent l="0" t="0" r="0" b="0"/>
            <wp:docPr id="100831" name="Imagen 1008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25, 50 y 54 del RDC</w:t>
      </w:r>
    </w:p>
    <w:p w:rsidR="00786B3E" w:rsidRDefault="00786B3E" w:rsidP="00786B3E">
      <w:r>
        <w:rPr>
          <w:noProof/>
          <w:lang w:val="es-ES"/>
        </w:rPr>
        <w:drawing>
          <wp:inline distT="0" distB="0" distL="0" distR="0" wp14:anchorId="68256154" wp14:editId="7D13CDF2">
            <wp:extent cx="152435" cy="152435"/>
            <wp:effectExtent l="0" t="0" r="0" b="0"/>
            <wp:docPr id="100833" name="Imagen 1008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En las Directrices de la CE sobre el uso de las opciones de costes simplificados en los Fondos Estructurales y de Inversión Europeos (EIE) — versión revisada (2021/C200/01) (enlace: </w:t>
      </w:r>
      <w:hyperlink r:id="rId505" w:history="1">
        <w:r>
          <w:rPr>
            <w:rStyle w:val="Hipervnculo"/>
          </w:rPr>
          <w:t>httpson//eur-lex.europa.eu/legal-content/EN/TXT/HTML/?uri=CELEX:52021XC0527 (02) de = PL</w:t>
        </w:r>
      </w:hyperlink>
      <w:r>
        <w:t>) hay un capítulo 2.7.1 en el que se describe la relación de las OCS con las acciones de financiación cruzada. Lo que llamamos nuestra atención es el ejemplo de la relación entre la financiación cruzada y la financiación a tanto alzado. Se menciona a continuación:</w:t>
      </w:r>
    </w:p>
    <w:p w:rsidR="00786B3E" w:rsidRDefault="00786B3E" w:rsidP="00786B3E">
      <w:pPr>
        <w:pStyle w:val="P68B1DB1-Normal3"/>
      </w:pPr>
      <w:r>
        <w:t>(2.7.1)    Declaración de las acciones contempladas en el artículo 25, apartado 2, del RDC en relación con las opciones de costes simplificados</w:t>
      </w:r>
    </w:p>
    <w:p w:rsidR="00786B3E" w:rsidRDefault="00786B3E" w:rsidP="00786B3E">
      <w:pPr>
        <w:pStyle w:val="P68B1DB1-Normal3"/>
      </w:pPr>
      <w:r>
        <w:t>Ejemplo de financiación cruzada FSE-FEDER con financiación a tipo fijo</w:t>
      </w:r>
    </w:p>
    <w:p w:rsidR="00786B3E" w:rsidRDefault="00786B3E" w:rsidP="00786B3E">
      <w:pPr>
        <w:pStyle w:val="P68B1DB1-Normal4"/>
      </w:pPr>
      <w:r>
        <w:t>En el caso del porcentaje a tipo fijo para los costes indirectos, la cantidad cruzada será la cantidad de «costes directos cruzados» sumada a los costes indirectos calculados mediante el porcentaje a tipo fijo aplicable a estos «costes directos cruzados».</w:t>
      </w:r>
    </w:p>
    <w:p w:rsidR="00786B3E" w:rsidRDefault="00786B3E" w:rsidP="00786B3E">
      <w:pPr>
        <w:pStyle w:val="P68B1DB1-Normal4"/>
      </w:pPr>
      <w:r>
        <w:t>Por ejemplo, en una operación de 15 000 EUR financiada por un programa del FEDER, los costes directos «tipo FSE» representan 3 000 EUR y los costes indirectos se calculan como el 10 % de los costes directos (300 EUR). Así pues, la cantidad cruzada será de 3 300 EUR. Si al final de la operación los costes directos se reducen, el importe de financiación cruzada (incluidos los costes indirectos) se reducirá con arreglo a la misma fórmula.</w:t>
      </w:r>
    </w:p>
    <w:p w:rsidR="00786B3E" w:rsidRDefault="00786B3E" w:rsidP="00786B3E">
      <w:r>
        <w:t>Nuestras dudas surgen en relación con este ejemplo antes mencionado en el caso de un tipo fijo para los costes indirectos en las operaciones del FSE +.  </w:t>
      </w:r>
    </w:p>
    <w:p w:rsidR="00786B3E" w:rsidRDefault="00786B3E" w:rsidP="00786B3E">
      <w:r>
        <w:t xml:space="preserve">Suponemos que en el proyecto del FSE + deberíamos calcular primero el gasto directo de financiación cruzada (del tipo FEDER), por ejemplo, el 15 % para esta operación </w:t>
      </w:r>
      <w:r>
        <w:lastRenderedPageBreak/>
        <w:t>específica, y después aplicar el tipo fijo para los costes indirectos a los costes directos subvencionables totales (del tipo FSE + FEDER). Así, por ejemplo, 1,150 EUR (gasto del FEDER + FSE +) * 25 % = 287,50 EUR para gastos generales (tipo fijo de costes indirectos). El importe total subvencionable del proyecto sería entonces el siguiente:</w:t>
      </w:r>
    </w:p>
    <w:p w:rsidR="00786B3E" w:rsidRDefault="00786B3E" w:rsidP="00786B3E">
      <w:pPr>
        <w:numPr>
          <w:ilvl w:val="0"/>
          <w:numId w:val="194"/>
        </w:numPr>
      </w:pPr>
      <w:r>
        <w:t>Gasto directo del FSE + 1 000,00 EUR</w:t>
      </w:r>
    </w:p>
    <w:p w:rsidR="00786B3E" w:rsidRDefault="00786B3E" w:rsidP="00786B3E">
      <w:pPr>
        <w:numPr>
          <w:ilvl w:val="0"/>
          <w:numId w:val="194"/>
        </w:numPr>
      </w:pPr>
      <w:r>
        <w:t>Gastos directos del FEDER (límite del 15 %) 150,00 EUR</w:t>
      </w:r>
    </w:p>
    <w:p w:rsidR="00786B3E" w:rsidRDefault="00786B3E" w:rsidP="00786B3E">
      <w:pPr>
        <w:numPr>
          <w:ilvl w:val="0"/>
          <w:numId w:val="194"/>
        </w:numPr>
      </w:pPr>
      <w:r>
        <w:t>Cantidad a tanto alzado para costes indirectos (25 %) 287,50 EUR</w:t>
      </w:r>
    </w:p>
    <w:p w:rsidR="00786B3E" w:rsidRDefault="00786B3E" w:rsidP="00786B3E">
      <w:pPr>
        <w:pStyle w:val="P68B1DB1-Normal1"/>
        <w:numPr>
          <w:ilvl w:val="0"/>
          <w:numId w:val="194"/>
        </w:numPr>
      </w:pPr>
      <w:r>
        <w:t>Importe total subvencionable 1 437,50 EUR</w:t>
      </w:r>
    </w:p>
    <w:p w:rsidR="00786B3E" w:rsidRDefault="00786B3E" w:rsidP="00786B3E"/>
    <w:p w:rsidR="00786B3E" w:rsidRDefault="00786B3E" w:rsidP="00786B3E">
      <w:r>
        <w:t>Por supuesto, de conformidad con el artículo 25.2 del RDC, la limitación de los gastos de financiación cruzada se impone a nivel de prioridad, no a nivel operativo. Por lo tanto, es posible que las operaciones individuales en el marco de la misma prioridad superen este límite, mientras que otras operaciones que no tengan ningún gasto de financiación cruzada. No obstante, a nivel de prioridad, los gastos de financiación cruzada no superarán el límite del 15 %.</w:t>
      </w:r>
    </w:p>
    <w:p w:rsidR="00786B3E" w:rsidRDefault="00786B3E" w:rsidP="00786B3E">
      <w:r>
        <w:t>Por lo tanto, para no superar este límite, se añadirían todos los gastos de todas las operaciones de la prioridad específica, calculados de acuerdo con el ejemplo mencionado anteriormente (como gasto directo del FEDER (límite del 15 %), es decir, 150 EUR).</w:t>
      </w:r>
    </w:p>
    <w:p w:rsidR="00786B3E" w:rsidRDefault="00786B3E" w:rsidP="00786B3E"/>
    <w:p w:rsidR="00786B3E" w:rsidRDefault="00786B3E" w:rsidP="00786B3E">
      <w:pPr>
        <w:pStyle w:val="P68B1DB1-Normal1"/>
      </w:pPr>
      <w:r>
        <w:t>Respuesta.</w:t>
      </w:r>
    </w:p>
    <w:p w:rsidR="00786B3E" w:rsidRDefault="00786B3E" w:rsidP="00786B3E">
      <w:r>
        <w:t>A nuestro entender, la cuestión de Polonia es doble:</w:t>
      </w:r>
    </w:p>
    <w:p w:rsidR="00786B3E" w:rsidRDefault="00786B3E" w:rsidP="00786B3E">
      <w:pPr>
        <w:pStyle w:val="P68B1DB1-Normal1"/>
      </w:pPr>
      <w:r>
        <w:t>(1) Si cumple las normas si la autoridad de gestión aplica el porcentaje máximo de financiación cruzada al nivel de las operaciones con el fin de cumplir los criterios del 15 % establecidos en el artículo 25, apartado 2, del RDC</w:t>
      </w:r>
    </w:p>
    <w:p w:rsidR="00786B3E" w:rsidRDefault="00786B3E" w:rsidP="00786B3E">
      <w:r>
        <w:t xml:space="preserve">El artículo 25, apartado 2, establece </w:t>
      </w:r>
      <w:r w:rsidR="00713B5D">
        <w:t>que</w:t>
      </w:r>
      <w:r w:rsidR="00713B5D">
        <w:rPr>
          <w:i/>
        </w:rPr>
        <w:t xml:space="preserve"> “el</w:t>
      </w:r>
      <w:r>
        <w:rPr>
          <w:i/>
        </w:rPr>
        <w:t xml:space="preserve"> FEDER y el FSE + podrán financiar, de manera complementaria y con un límite del 15 % de la ayuda de dichos Fondos para cada prioridad de un programa, la totalidad o parte de una operación cuyos costes puedan optar a la ayuda del otro Fondo sobre la base de las normas de subvencionabilidad que se apliquen a dicho Fondo, siempre que dichos costes sean necesarios para la ejecución</w:t>
      </w:r>
      <w:r>
        <w:t>».</w:t>
      </w:r>
    </w:p>
    <w:p w:rsidR="00786B3E" w:rsidRDefault="00786B3E" w:rsidP="00786B3E">
      <w:r>
        <w:t>El límite máximo del 15 % se fija al nivel de la prioridad. Es tarea y responsabilidad de la autoridad de gestión cómo organiza la supervisión del cumplimiento de este límite máximo. Puede ser una forma de aplicar el límite máximo a cada una de las operaciones, siempre que se respete el límite máximo global en el nivel de prioridad.</w:t>
      </w:r>
    </w:p>
    <w:p w:rsidR="00786B3E" w:rsidRDefault="00786B3E" w:rsidP="00786B3E">
      <w:pPr>
        <w:pStyle w:val="P68B1DB1-Normal1"/>
      </w:pPr>
      <w:r>
        <w:t>(2) En el caso de una operación del FSE + parcialmente cofinanciada y que también utilice el tipo fijo previsto en el artículo 54, letra c), del RDC para calcular los costes indirectos, ¿cómo determinar el importe total de dicha operación que se considera financiación cruzada (a efectos del cálculo del umbral de financiación cruzada)?</w:t>
      </w:r>
    </w:p>
    <w:p w:rsidR="00786B3E" w:rsidRDefault="00786B3E" w:rsidP="00786B3E">
      <w:r>
        <w:t xml:space="preserve">El artículo 54, letra c), del RDC permite a los Estados miembros calcular los costes indirectos de una operación sobre la base de un tipo fijo de hasta el 25 % de los costes </w:t>
      </w:r>
      <w:r>
        <w:lastRenderedPageBreak/>
        <w:t>directos subvencionables de la operación, siempre que el porcentaje se calcule sobre la base de un método de cálculo justo, equitativo y verificable.</w:t>
      </w:r>
    </w:p>
    <w:p w:rsidR="00786B3E" w:rsidRDefault="00786B3E" w:rsidP="00786B3E">
      <w:r>
        <w:t>El tipo fijo se aplica a todos los costes directos subvencionables de la operación, independientemente de que se utilice o no financiación cruzada. En este caso, serían costes directos subvencionables en el marco del FSE + y costes directos subvencionables en el marco del FEDER (parte de una operación financiada de forma cruzada).</w:t>
      </w:r>
    </w:p>
    <w:p w:rsidR="00786B3E" w:rsidRDefault="00786B3E" w:rsidP="00786B3E">
      <w:r>
        <w:t xml:space="preserve">Téngase en cuenta que las nociones de «necesario para la ejecución» y «coste subvencionable con cargo al otro Fondo» en el contexto de la financiación cruzada se explicaron en los </w:t>
      </w:r>
      <w:hyperlink r:id="rId506" w:history="1">
        <w:r>
          <w:rPr>
            <w:rStyle w:val="Hipervnculo"/>
          </w:rPr>
          <w:t>QA00026</w:t>
        </w:r>
      </w:hyperlink>
      <w:r>
        <w:t xml:space="preserve"> y </w:t>
      </w:r>
      <w:hyperlink w:anchor="scroll-bookmark-146" w:history="1">
        <w:r>
          <w:rPr>
            <w:rStyle w:val="Hipervnculo"/>
          </w:rPr>
          <w:t>QA00084</w:t>
        </w:r>
      </w:hyperlink>
      <w:r>
        <w:t>.</w:t>
      </w:r>
    </w:p>
    <w:p w:rsidR="00786B3E" w:rsidRDefault="00786B3E" w:rsidP="00786B3E">
      <w:r>
        <w:t>De conformidad con el artículo 25, apartado 2, del RDC, la financiación cruzada está sujeta a un límite del 15 % de la ayuda del FEDER o del FSE + para cada prioridad de un programa. El importe de financiación cruzada de una operación debe tenerse en cuenta en el seguimiento de este límite.</w:t>
      </w:r>
    </w:p>
    <w:p w:rsidR="00786B3E" w:rsidRDefault="00786B3E" w:rsidP="00786B3E">
      <w:r>
        <w:t>Si, como en el ejemplo presentado en la pregunta, el límite máximo se impusiera al nivel de una operación, todos los gastos cruzados tendrían que situarse dentro del límite del 15 % de la ayuda de los Fondos para dicha operación.   En el caso de un tipo fijo para los costes indirectos calculado de conformidad con el artículo 54, letra c), del RDC, el importe cofinanciado será el importe de los «costes directos cruzados» (subvencionables en el marco del FEDER) y los costes indirectos calculados sobre la base del tipo fijo aplicable a estos «costes directos cruzados».</w:t>
      </w:r>
    </w:p>
    <w:p w:rsidR="00786B3E" w:rsidRDefault="00786B3E" w:rsidP="00786B3E"/>
    <w:p w:rsidR="00786B3E" w:rsidRDefault="00786B3E" w:rsidP="00786B3E"/>
    <w:p w:rsidR="00786B3E" w:rsidRDefault="00786B3E" w:rsidP="00786B3E">
      <w:pPr>
        <w:pStyle w:val="Ttulo1"/>
      </w:pPr>
      <w:bookmarkStart w:id="414" w:name="scroll-bookmark-474"/>
      <w:bookmarkStart w:id="415" w:name="scroll-bookmark-475"/>
      <w:bookmarkEnd w:id="414"/>
      <w:r>
        <w:t>QA00231 — Apoyo del FTJ a una batería de calor innovadora</w:t>
      </w:r>
      <w:bookmarkEnd w:id="415"/>
    </w:p>
    <w:p w:rsidR="00786B3E" w:rsidRDefault="00786B3E" w:rsidP="00786B3E">
      <w:r>
        <w:rPr>
          <w:noProof/>
          <w:lang w:val="es-ES"/>
        </w:rPr>
        <w:drawing>
          <wp:inline distT="0" distB="0" distL="0" distR="0" wp14:anchorId="7BD0B578" wp14:editId="10CEC6D7">
            <wp:extent cx="152435" cy="152435"/>
            <wp:effectExtent l="0" t="0" r="0" b="0"/>
            <wp:docPr id="100835" name="Imagen 1008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8 y 9 del Reglamento del FTJ </w:t>
      </w:r>
    </w:p>
    <w:p w:rsidR="00786B3E" w:rsidRDefault="00786B3E" w:rsidP="00786B3E">
      <w:r>
        <w:rPr>
          <w:noProof/>
          <w:lang w:val="es-ES"/>
        </w:rPr>
        <w:drawing>
          <wp:inline distT="0" distB="0" distL="0" distR="0" wp14:anchorId="67AEDE86" wp14:editId="3A9BB244">
            <wp:extent cx="152435" cy="152435"/>
            <wp:effectExtent l="0" t="0" r="0" b="0"/>
            <wp:docPr id="100837" name="Imagen 1008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cartera de proyectos para el FTJ en los Países Bajos incluye una batería de calor innovadora.</w:t>
      </w:r>
    </w:p>
    <w:p w:rsidR="00786B3E" w:rsidRDefault="00786B3E" w:rsidP="00786B3E">
      <w:r>
        <w:t xml:space="preserve">Se trata de un proyecto piloto de una red de calefacción flexible en la que el calor se transporta sin pérdidas y móvil (en módulos de sal) desde una ubicación de fuente de baja temperatura hasta puntos de consumo para agrupaciones de hogares. La batería de calor se probará y validará (incluida la seguridad) y se demostrará la viabilidad económica y social. El proyecto comprende varios paquetes de trabajo destinados al diseño, la construcción y el ensayo de los procesos de producción, las unidades de carga y los contenedores de almacenamiento, sobre cuya base se determina en última instancia una estrategia de despliegue, incluido un modelo de modelo de negocio. La </w:t>
      </w:r>
      <w:r>
        <w:lastRenderedPageBreak/>
        <w:t>fuente de calor es el calor residual de procesos que funcionan con combustibles fósiles. A más largo plazo, el calor residual será verde. </w:t>
      </w:r>
    </w:p>
    <w:p w:rsidR="00786B3E" w:rsidRDefault="00786B3E" w:rsidP="00786B3E">
      <w:r>
        <w:t>Mientras tanto, el uso del calor residual evita el uso de combustibles fósiles adicionales. No se prevé ninguna inversión en la producción de calor.</w:t>
      </w:r>
    </w:p>
    <w:p w:rsidR="00786B3E" w:rsidRDefault="00786B3E" w:rsidP="00786B3E">
      <w:pPr>
        <w:pStyle w:val="P68B1DB1-Normal1"/>
      </w:pPr>
      <w:r>
        <w:t>¿Los proyectos de baterías de calor innovadoras, como se ha descrito anteriormente, entrarían en el ámbito de la exclusión de los combustibles fósiles del FTJ [artículo 9, letra d),] o no?</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El</w:t>
      </w:r>
      <w:r>
        <w:rPr>
          <w:b/>
        </w:rPr>
        <w:t xml:space="preserve"> </w:t>
      </w:r>
      <w:r>
        <w:t>proyecto no consiste en prestar apoyo a la producción del calor en sí, sino más bien en la captura, el almacenamiento y el transporte del calor que ya se ha generado (mediante procesos que funcionan con combustibles fósiles). La inversión en baterías de calor innovadoras no entra dentro de la exclusión de los combustibles fósiles del artículo 9, letra d), del FTJ, es decir, inversión relacionada con la producción, la transformación, el transporte, la distribución, el almacenamiento o la combustión de combustibles fósiles.</w:t>
      </w:r>
    </w:p>
    <w:p w:rsidR="00786B3E" w:rsidRDefault="00786B3E" w:rsidP="00786B3E">
      <w:r>
        <w:t>Sin embargo, tal inversión no debe dar lugar en modo alguno a un retraso en la transición hacia una economía climáticamente neutra. A este respecto, la batería de calor innovadora debe estar comprendida en el ámbito de aplicación de un tipo de acción descrito en el programa cuyo cumplimiento del principio DNSH ha sido evaluado por el Estado miembro al definir los tipos de acción de dicho programa.</w:t>
      </w:r>
    </w:p>
    <w:p w:rsidR="00786B3E" w:rsidRDefault="00786B3E" w:rsidP="00786B3E"/>
    <w:p w:rsidR="00786B3E" w:rsidRDefault="00786B3E" w:rsidP="00786B3E"/>
    <w:p w:rsidR="00786B3E" w:rsidRDefault="00786B3E" w:rsidP="00786B3E">
      <w:pPr>
        <w:pStyle w:val="Ttulo1"/>
      </w:pPr>
      <w:bookmarkStart w:id="416" w:name="scroll-bookmark-476"/>
      <w:bookmarkStart w:id="417" w:name="scroll-bookmark-477"/>
      <w:bookmarkEnd w:id="416"/>
      <w:r>
        <w:t>A00233 — ¿Es necesario que la modificación del programa basada en el artículo 118 bis del RDC esté en consonancia con el acuerdo de asociación?</w:t>
      </w:r>
      <w:bookmarkEnd w:id="417"/>
    </w:p>
    <w:p w:rsidR="00786B3E" w:rsidRDefault="00786B3E" w:rsidP="00786B3E">
      <w:r>
        <w:rPr>
          <w:noProof/>
          <w:lang w:val="es-ES"/>
        </w:rPr>
        <w:drawing>
          <wp:inline distT="0" distB="0" distL="0" distR="0" wp14:anchorId="0212B0A6" wp14:editId="220F90E5">
            <wp:extent cx="152435" cy="152435"/>
            <wp:effectExtent l="0" t="0" r="0" b="0"/>
            <wp:docPr id="100839" name="Imagen 1008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13, 24 (2) y 118.a del RDC</w:t>
      </w:r>
    </w:p>
    <w:p w:rsidR="00786B3E" w:rsidRDefault="00786B3E" w:rsidP="00786B3E">
      <w:r>
        <w:rPr>
          <w:noProof/>
          <w:lang w:val="es-ES"/>
        </w:rPr>
        <w:drawing>
          <wp:inline distT="0" distB="0" distL="0" distR="0" wp14:anchorId="4A366AB3" wp14:editId="24A826C7">
            <wp:extent cx="152435" cy="152435"/>
            <wp:effectExtent l="0" t="0" r="0" b="0"/>
            <wp:docPr id="100841" name="Imagen 1008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 xml:space="preserve">Sobre la base del Reglamento (UE) 2022/2039 del Parlamento Europeo y del Consejo, de 19 de octubre de 2022, por el que se modifican los Reglamentos (UE) n.º 1303/2013 y (UE) 2021/1060, en lo que respecta a una mayor flexibilidad para hacer frente al impacto de la agresión armada de la Federación de Rusia FAST CARE, de conformidad con el artículo 118 bis, apartado 1, letra b), una operación por etapas debe entrar en el ámbito de aplicación de las acciones programadas en el marco del objetivo específico pertinente. De no ser así, el programa debe modificarse para especificar los tipos de acciones que recibirán apoyo en el marco del programa al que se refiere la operación </w:t>
      </w:r>
      <w:r>
        <w:lastRenderedPageBreak/>
        <w:t>escalonada. Esto también se ve respaldado por la interpretación actual QA00204 — Selección de operaciones escalonadas (pregunta 2) sobre RegioWiki</w:t>
      </w:r>
      <w:hyperlink w:anchor="scroll-bookmark-478" w:history="1">
        <w:r>
          <w:rPr>
            <w:rStyle w:val="Hipervnculo"/>
          </w:rPr>
          <w:t>[1]</w:t>
        </w:r>
      </w:hyperlink>
      <w:r>
        <w:t>.</w:t>
      </w:r>
    </w:p>
    <w:p w:rsidR="00786B3E" w:rsidRDefault="00786B3E" w:rsidP="00786B3E">
      <w:r>
        <w:t>En caso de que la modificación del programa consista en añadir una nueva acción en el marco de un objetivo específico pertinente para cumplir la condición del artículo 118 bis, apartado 1, letra b), ¿tendrá que garantizar la coherencia con el acuerdo de asociación de conformidad con el artículo 23, apartado 1, del Reglamento 2021/1060 o el artículo 118 bis exime de ese requisito?</w:t>
      </w:r>
    </w:p>
    <w:p w:rsidR="00786B3E" w:rsidRDefault="00786B3E" w:rsidP="00786B3E"/>
    <w:p w:rsidR="00786B3E" w:rsidRDefault="00786B3E" w:rsidP="00786B3E">
      <w:pPr>
        <w:pStyle w:val="P68B1DB1-Normal1"/>
      </w:pPr>
      <w:r>
        <w:t>Respuesta.</w:t>
      </w:r>
    </w:p>
    <w:p w:rsidR="00786B3E" w:rsidRDefault="00786B3E" w:rsidP="00786B3E">
      <w:r>
        <w:t>De conformidad con el artículo 118 bis, apartado 1, párrafo primero, del RDC, una operación con un coste total superior a 1 000 000 EUR que haya sido seleccionada para recibir ayuda e iniciada antes del 29 de junio de 2022 en virtud del RDC 2014-2020 y de los Reglamentos específicos de cada Fondo se considerará subvencionable en virtud del presente Reglamento y de los Reglamentos específicos de cada Fondo correspondientes en el período de programación 2021-2027. El artículo 118 bis, apartado 1, del RDC, en su párrafo segundo, concede nuevas excepciones a lo dispuesto en el artículo 73, apartado 1, y (2) del RDC.</w:t>
      </w:r>
    </w:p>
    <w:p w:rsidR="00786B3E" w:rsidRDefault="00786B3E" w:rsidP="00786B3E">
      <w:r>
        <w:t>De conformidad con el artículo 118 bis, apartado 1, letra b), del RDC, la operación escalonada debe incluirse en «acciones programadas en el marco de un objetivo específico pertinente». De no ser así, es necesario modificar un programa para establecer los tipos de acciones que recibirán apoyo de dicho programa en las que se inscribiría la operación escalonada.</w:t>
      </w:r>
    </w:p>
    <w:p w:rsidR="00786B3E" w:rsidRDefault="00786B3E" w:rsidP="00786B3E">
      <w:r>
        <w:t>De conformidad con el artículo 24, apartado 2, del RDC, la Comisión evaluará la modificación del programa y su conformidad con el RDC y con los Reglamentos específicos de cada Fondo, incluidos los requisitos a nivel nacional.</w:t>
      </w:r>
    </w:p>
    <w:p w:rsidR="00786B3E" w:rsidRDefault="00786B3E" w:rsidP="00786B3E">
      <w:r>
        <w:t>Como se establece en el considerando 18 del RDC, el acuerdo de asociación es un documento conciso y estratégico que orienta las negociaciones entre la Comisión y el Estado miembro de que se trate sobre el diseño de los programas en el marco del FEDER, el FSE +, el Fondo de Cohesión, el FTJ y el FEMPA. Con el fin de reducir la carga administrativa, no es necesario modificar el acuerdo de asociación durante el período de programación. No obstante, si el Estado miembro así lo desea, podrá presentar a la Comisión (a más tardar el 31 de marzo de 2025, de conformidad con el artículo 13, apartado 1, del RDC) una modificación de su acuerdo de asociación para tener en cuenta el resultado de la revisión intermedia. Por lo tanto, no es necesario modificar el acuerdo de asociación a raíz de las modificaciones del programa si son necesarias para cumplir lo dispuesto en el artículo 118 bis, apartado 1, letra b), del RDC.</w:t>
      </w:r>
    </w:p>
    <w:p w:rsidR="00786B3E" w:rsidRDefault="00786B3E" w:rsidP="00786B3E">
      <w:r>
        <w:t>TIERNA _</w:t>
      </w:r>
    </w:p>
    <w:p w:rsidR="00786B3E" w:rsidRDefault="00FC0FB1" w:rsidP="00786B3E">
      <w:hyperlink w:anchor="scroll-bookmark-479" w:history="1">
        <w:r w:rsidR="00786B3E">
          <w:rPr>
            <w:rStyle w:val="Hipervnculo"/>
          </w:rPr>
          <w:t>[1] httpson</w:t>
        </w:r>
      </w:hyperlink>
      <w:r w:rsidR="00786B3E">
        <w:t xml:space="preserve"> </w:t>
      </w:r>
      <w:hyperlink w:anchor="scroll-bookmark-407" w:history="1">
        <w:r w:rsidR="00786B3E">
          <w:rPr>
            <w:rStyle w:val="Hipervnculo"/>
          </w:rPr>
          <w:t>//webgate.ec.europa.eu/regiokm/display/XNETCPR2021/QA00204+-+Selection+of+phased+operations</w:t>
        </w:r>
      </w:hyperlink>
    </w:p>
    <w:p w:rsidR="00786B3E" w:rsidRDefault="00786B3E" w:rsidP="00786B3E"/>
    <w:p w:rsidR="00786B3E" w:rsidRDefault="00786B3E" w:rsidP="00786B3E"/>
    <w:p w:rsidR="00786B3E" w:rsidRDefault="00786B3E" w:rsidP="00786B3E">
      <w:pPr>
        <w:pStyle w:val="Ttulo1"/>
      </w:pPr>
      <w:bookmarkStart w:id="418" w:name="scroll-bookmark-480"/>
      <w:bookmarkStart w:id="419" w:name="scroll-bookmark-481"/>
      <w:bookmarkEnd w:id="418"/>
      <w:r>
        <w:lastRenderedPageBreak/>
        <w:t>QA00234 — Uso de material de comunicación con antiguo logotipo</w:t>
      </w:r>
      <w:bookmarkEnd w:id="419"/>
    </w:p>
    <w:p w:rsidR="00786B3E" w:rsidRDefault="00786B3E" w:rsidP="00786B3E">
      <w:r>
        <w:rPr>
          <w:noProof/>
          <w:lang w:val="es-ES"/>
        </w:rPr>
        <w:drawing>
          <wp:inline distT="0" distB="0" distL="0" distR="0" wp14:anchorId="61E45A49" wp14:editId="106892FD">
            <wp:extent cx="152435" cy="152435"/>
            <wp:effectExtent l="0" t="0" r="0" b="0"/>
            <wp:docPr id="100843" name="Imagen 1008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del RDC</w:t>
      </w:r>
    </w:p>
    <w:p w:rsidR="00786B3E" w:rsidRDefault="00786B3E" w:rsidP="00786B3E">
      <w:r>
        <w:rPr>
          <w:noProof/>
          <w:lang w:val="es-ES"/>
        </w:rPr>
        <w:drawing>
          <wp:inline distT="0" distB="0" distL="0" distR="0" wp14:anchorId="16DBC00A" wp14:editId="07630818">
            <wp:extent cx="152435" cy="152435"/>
            <wp:effectExtent l="0" t="0" r="0" b="0"/>
            <wp:docPr id="100845" name="Imagen 1008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Los beneficiarios suelen producir </w:t>
      </w:r>
      <w:r w:rsidR="00713B5D">
        <w:t>merchandising</w:t>
      </w:r>
      <w:r>
        <w:t xml:space="preserve"> y herramientas de comunicación. Algunos de ellos todavía disponen de gran cantidad de material entre 2014 y 2020 (= bandera de la UE con mención del fondo). ¿Están autorizados a utilizar este material hasta que se agoten o tienen que adaptarlo a través de una etiqueta adhesiva, por ejemplo, o tienen que tirar todo y producir material nuevo que cumpla las normas de comunicación 21-27 (bandera de la UE con la mención «cofinanciado por la Unión Europea)?</w:t>
      </w:r>
    </w:p>
    <w:p w:rsidR="00786B3E" w:rsidRDefault="00786B3E" w:rsidP="00786B3E"/>
    <w:p w:rsidR="00786B3E" w:rsidRDefault="00786B3E" w:rsidP="00786B3E">
      <w:pPr>
        <w:pStyle w:val="P68B1DB1-Normal1"/>
      </w:pPr>
      <w:r>
        <w:t>Respuesta.</w:t>
      </w:r>
    </w:p>
    <w:p w:rsidR="00786B3E" w:rsidRDefault="00786B3E" w:rsidP="00786B3E">
      <w:r>
        <w:t>Todos los beneficiarios de las operaciones seleccionadas en el período 2021-2027 deben cumplir, durante todo el ciclo de vida de la operación, las disposiciones establecidas en el artículo 50 y en el anexo IX.</w:t>
      </w:r>
    </w:p>
    <w:p w:rsidR="00786B3E" w:rsidRDefault="00786B3E" w:rsidP="00786B3E">
      <w:r>
        <w:t>Puede haber casos en los que el beneficiario tenga operaciones idénticas o muy similares en ambos períodos, en particular cuando la autoridad de gestión sea el beneficiario de una operación financiada mediante asistencia técnica. Teniendo en cuenta el objetivo general de la UE de reducir los residuos, es aconsejable que los beneficiarios no eliminen los artículos restantes, sino que se esfuercen por distribuirlos en los eventos adecuados, que siguen vinculados a la aplicación del período 2014-2020, o bien se adapten cuando el objetivo sea utilizarlos para la promoción de la financiación de 2021-2027 (de hecho, con una etiqueta adhesiva o una solución similar). Como alternativa, si los materiales ya no pueden utilizarse con fines de comunicación, los beneficiarios podrán reutilizarlos o utilizarlos para fines internos de las autoridades del programa, por ejemplo, artículos de papelería o material de oficina. El excedente de materiales también puede donarse, por ejemplo, a ONG o escuelas (la AG también puede donar materiales de una serie de proyectos en un esfuerzo conjunto). Las lecciones aprendidas del período 2014-2020 deben tenerse en cuenta a la hora de planificar y orientar a los beneficiarios en relación con los materiales de comunicación y promoción producidos en el período actual.</w:t>
      </w:r>
    </w:p>
    <w:p w:rsidR="00786B3E" w:rsidRDefault="00786B3E" w:rsidP="00786B3E"/>
    <w:p w:rsidR="00786B3E" w:rsidRDefault="00786B3E" w:rsidP="00786B3E"/>
    <w:p w:rsidR="00786B3E" w:rsidRDefault="00786B3E" w:rsidP="00786B3E">
      <w:pPr>
        <w:pStyle w:val="Ttulo1"/>
      </w:pPr>
      <w:bookmarkStart w:id="420" w:name="scroll-bookmark-482"/>
      <w:bookmarkStart w:id="421" w:name="scroll-bookmark-483"/>
      <w:bookmarkEnd w:id="420"/>
      <w:r>
        <w:lastRenderedPageBreak/>
        <w:t>QA00235 — Contratos de contragarantía</w:t>
      </w:r>
      <w:bookmarkEnd w:id="421"/>
    </w:p>
    <w:p w:rsidR="00786B3E" w:rsidRDefault="00786B3E" w:rsidP="00786B3E">
      <w:r>
        <w:rPr>
          <w:noProof/>
          <w:lang w:val="es-ES"/>
        </w:rPr>
        <w:drawing>
          <wp:inline distT="0" distB="0" distL="0" distR="0" wp14:anchorId="7D3A26A1" wp14:editId="3AE8EB3F">
            <wp:extent cx="152435" cy="152435"/>
            <wp:effectExtent l="0" t="0" r="0" b="0"/>
            <wp:docPr id="100847" name="Imagen 1008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2, apartado 17, artículo 58, apartado 2, y artículo 68, apartado 1, del RDC. </w:t>
      </w:r>
    </w:p>
    <w:p w:rsidR="00786B3E" w:rsidRDefault="00786B3E" w:rsidP="00786B3E">
      <w:r>
        <w:rPr>
          <w:noProof/>
          <w:lang w:val="es-ES"/>
        </w:rPr>
        <w:drawing>
          <wp:inline distT="0" distB="0" distL="0" distR="0" wp14:anchorId="14959400" wp14:editId="495B7BBF">
            <wp:extent cx="152435" cy="152435"/>
            <wp:effectExtent l="0" t="0" r="0" b="0"/>
            <wp:docPr id="100849" name="Imagen 1008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Si las garantías, como uno de los instrumentos financieros previstos en el Reglamento general sobre disposiciones comunes y en el Reglamento Financiero, pueden utilizarse en los programas de la política de cohesión no solo para garantizar la financiación de la deuda, como la inversión o los préstamos renovables, sino también para garantizar otros tipos de operaciones, como garantías contractuales, garantías de factoring y otras operaciones. </w:t>
      </w:r>
    </w:p>
    <w:p w:rsidR="00786B3E" w:rsidRDefault="00786B3E" w:rsidP="00786B3E"/>
    <w:p w:rsidR="00786B3E" w:rsidRDefault="00786B3E" w:rsidP="00786B3E">
      <w:r>
        <w:t>En particular, ¿cuáles son las posibilidades de financiar contragarantías para el sector de la construcción en el marco de la política de cohesión para el período 2021-2027? La definición de garantía en el Reglamento Financiero parece referirse a una categoría más amplia de operaciones y permite que el instrumento de garantía se utilice también para garantizar distintos tipos de pasivos distintos de la deuda.</w:t>
      </w:r>
    </w:p>
    <w:p w:rsidR="00786B3E" w:rsidRDefault="00786B3E" w:rsidP="00786B3E">
      <w:pPr>
        <w:pStyle w:val="P68B1DB1-Normal4"/>
      </w:pPr>
      <w:r>
        <w:t> </w:t>
      </w:r>
    </w:p>
    <w:p w:rsidR="00786B3E" w:rsidRDefault="00786B3E" w:rsidP="00786B3E">
      <w:pPr>
        <w:pStyle w:val="P68B1DB1-Normal1"/>
      </w:pPr>
      <w:r>
        <w:t>Respuesta.</w:t>
      </w:r>
    </w:p>
    <w:p w:rsidR="00786B3E" w:rsidRDefault="00786B3E" w:rsidP="00786B3E">
      <w:r>
        <w:t>El artículo 2, apartado 17, del RDC identifica los productos financieros que pueden obtenerse con cargo a los recursos del programa de los Fondos, incluidas las garantías definidas en el Reglamento Financiero (RF).</w:t>
      </w:r>
    </w:p>
    <w:p w:rsidR="00786B3E" w:rsidRDefault="00786B3E" w:rsidP="00786B3E">
      <w:r>
        <w:t>El artículo 2, apartado 34, del RF establece que por «garantía» se entiende el compromiso por escrito de asumir la responsabilidad de la totalidad o de parte de la deuda u obligación de un tercero o de la ejecución satisfactoria por parte de dicho tercero de sus obligaciones si se produce un hecho que desencadena dicha garantía, como el impago de un préstamo.</w:t>
      </w:r>
    </w:p>
    <w:p w:rsidR="00786B3E" w:rsidRDefault="00786B3E" w:rsidP="00786B3E">
      <w:r>
        <w:t>Según el segundo párrafo de 62 (2) del RF, a efectos de la gestión compartida, los instrumentos de ejecución presupuestaria son «los previstos en las normas sectoriales específicas». De conformidad con el artículo 63 (1) del RF, se establecen disposiciones complementarias en las normas sectoriales específicas.</w:t>
      </w:r>
    </w:p>
    <w:p w:rsidR="00786B3E" w:rsidRDefault="00786B3E" w:rsidP="00786B3E">
      <w:r>
        <w:t xml:space="preserve">El gasto subvencionable para las garantías se especifica en el artículo 68, apartado 1, letra b), del RDC, que se refiere a los «contratos de </w:t>
      </w:r>
      <w:r w:rsidR="00713B5D">
        <w:t xml:space="preserve">garantía </w:t>
      </w:r>
      <w:r w:rsidR="00713B5D">
        <w:rPr>
          <w:u w:val="single"/>
        </w:rPr>
        <w:t>“para</w:t>
      </w:r>
      <w:r>
        <w:rPr>
          <w:u w:val="single"/>
        </w:rPr>
        <w:t xml:space="preserve"> «préstamos, inversiones en capital o cuasicapital en </w:t>
      </w:r>
      <w:r w:rsidR="00713B5D">
        <w:rPr>
          <w:u w:val="single"/>
        </w:rPr>
        <w:t>los</w:t>
      </w:r>
      <w:r w:rsidR="00713B5D">
        <w:t xml:space="preserve"> perceptores</w:t>
      </w:r>
      <w:r>
        <w:t xml:space="preserve"> finales». Dicha disposición excluye de los gastos subvencionables los recursos reservados para garantías que no cubran préstamos o inversiones como, por ejemplo, garantías contractuales o garantías de factoring.</w:t>
      </w:r>
    </w:p>
    <w:p w:rsidR="00786B3E" w:rsidRDefault="00786B3E" w:rsidP="00786B3E">
      <w:r>
        <w:t xml:space="preserve">La naturaleza de los productos ofrecidos por las instituciones financieras, como las garantías contractuales/garantías de buen fin, las garantías de factoring y otras garantías </w:t>
      </w:r>
      <w:r>
        <w:lastRenderedPageBreak/>
        <w:t>similares, no proporcionan apoyo a las inversiones en activos materiales e inmateriales ni en capital circulante (artículo 58, apartado 2, párrafo primero, del RDC).</w:t>
      </w:r>
    </w:p>
    <w:p w:rsidR="00786B3E" w:rsidRDefault="00786B3E" w:rsidP="00786B3E">
      <w:r>
        <w:t>A diferencia de las garantías para cubrir préstamos, capital y cuasicapital, cuando el beneficiario final (por ejemplo, PYME) recibe apoyo del banco comercial o del proveedor de capital; las garantías de factores, los contratos o las garantías de buen fin no recaudan dicha financiación para los beneficiarios finales ni estimulan inversiones privadas adicionales.</w:t>
      </w:r>
    </w:p>
    <w:p w:rsidR="00786B3E" w:rsidRDefault="00786B3E" w:rsidP="00786B3E">
      <w:r>
        <w:t>Por lo tanto, los productos y la garantía de los productos identificados en la pregunta no pueden optar a la ayuda en virtud del RDC.</w:t>
      </w:r>
    </w:p>
    <w:p w:rsidR="00786B3E" w:rsidRDefault="00786B3E" w:rsidP="00786B3E"/>
    <w:p w:rsidR="00786B3E" w:rsidRDefault="00786B3E" w:rsidP="00786B3E"/>
    <w:p w:rsidR="00786B3E" w:rsidRDefault="00786B3E" w:rsidP="00786B3E">
      <w:pPr>
        <w:pStyle w:val="Ttulo1"/>
      </w:pPr>
      <w:bookmarkStart w:id="422" w:name="scroll-bookmark-484"/>
      <w:bookmarkStart w:id="423" w:name="scroll-bookmark-485"/>
      <w:bookmarkEnd w:id="422"/>
      <w:r>
        <w:t>QA00236 — Digitalización de las pymes a través de los centros europeos de innovación digital y cuestiones relacionadas con las ayudas estatales</w:t>
      </w:r>
      <w:bookmarkEnd w:id="423"/>
    </w:p>
    <w:p w:rsidR="00786B3E" w:rsidRDefault="00786B3E" w:rsidP="00786B3E">
      <w:r>
        <w:rPr>
          <w:noProof/>
          <w:lang w:val="es-ES"/>
        </w:rPr>
        <w:drawing>
          <wp:inline distT="0" distB="0" distL="0" distR="0" wp14:anchorId="55A72D9F" wp14:editId="098E016F">
            <wp:extent cx="152435" cy="152435"/>
            <wp:effectExtent l="0" t="0" r="0" b="0"/>
            <wp:docPr id="100851" name="Imagen 1008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del RDC</w:t>
      </w:r>
    </w:p>
    <w:p w:rsidR="00786B3E" w:rsidRDefault="00786B3E" w:rsidP="00786B3E">
      <w:r>
        <w:rPr>
          <w:noProof/>
          <w:lang w:val="es-ES"/>
        </w:rPr>
        <w:drawing>
          <wp:inline distT="0" distB="0" distL="0" distR="0" wp14:anchorId="27D9BC8B" wp14:editId="6722E354">
            <wp:extent cx="152435" cy="152435"/>
            <wp:effectExtent l="0" t="0" r="0" b="0"/>
            <wp:docPr id="100853" name="Imagen 1008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Rumanía va a financiar varios centros europeos de innovación digital para prestar servicios a las pymes y a las autoridades públicas locales para hacer frente a los retos digitales. El 50 % de los costes se financiarán directamente con cargo al programa Europa Digital (PED). El 50 % restante será cofinanciado por el FEDER, en el marco del Programa de Rumanía sobre Crecimiento Inteligente, Digitalización e Instrumentos Financieros (PCIDIF). Las autoridades rumanas tienen previsto utilizar un régimen de ayudas estatales en virtud del RGEC en virtud del cual el EDIH transferirá la ayuda estatal a las pymes, los usuarios de los EDIH. El valor de los servicios prestados se calcula para cada pyme en un máximo de 200 000 EUR, de conformidad con el artículo 28, apartado 4, del RGEC.  </w:t>
      </w:r>
    </w:p>
    <w:p w:rsidR="00786B3E" w:rsidRDefault="00786B3E" w:rsidP="00786B3E">
      <w:r>
        <w:t xml:space="preserve">Esto es conforme con el anexo 2, sobre ayudas estatales, de la </w:t>
      </w:r>
      <w:hyperlink r:id="rId507" w:history="1">
        <w:r>
          <w:rPr>
            <w:rStyle w:val="Hipervnculo"/>
            <w:i/>
          </w:rPr>
          <w:t>Decisión de Ejecución de la Comisión relativa a la financiación del programa Europa Digital y la adopción del programa de trabajo plurianual — Centros Europeos de Innovación Digital para el período 2021-2023</w:t>
        </w:r>
      </w:hyperlink>
      <w:r>
        <w:t>, que indica que «</w:t>
      </w:r>
      <w:r>
        <w:rPr>
          <w:i/>
        </w:rPr>
        <w:t>el apoyo prestado por los Estados miembros a los centros europeos de innovación digital está sujeto al control de las ayudas estatales</w:t>
      </w:r>
      <w:r>
        <w:t>». A este respecto, «</w:t>
      </w:r>
      <w:r>
        <w:rPr>
          <w:i/>
        </w:rPr>
        <w:t xml:space="preserve">cuando se conceda una ayuda estatal para una repercusión completa a los usuarios de los EDI, no será necesario notificarla a la Comisión cuando se conceda a los EDIH de conformidad con el Reglamento general de exención por categorías (RGEC) (por ejemplo, en virtud del artículo 28 del RGEC: Ayudas para servicios de asesoramiento a la innovación) o el Reglamento de minimis. A este respecto, se entiende que los centros </w:t>
      </w:r>
      <w:r>
        <w:rPr>
          <w:i/>
        </w:rPr>
        <w:lastRenderedPageBreak/>
        <w:t xml:space="preserve">europeos de innovación digital transferirán plenamente todas las ayudas estatales a sus usuarios y que cualquier ayuda estatal que quede en el nivel de los EDIH tendrá que recuperarse o los Estados miembros deben asegurarse de que cualquier ayuda que quede a nivel del EDIH cumpla las condiciones de compatibilidad establecidas en el artículo 27 (leído en relación con el artículo 8) del RGEC sobre el apoyo a las </w:t>
      </w:r>
      <w:r w:rsidR="00713B5D">
        <w:rPr>
          <w:i/>
        </w:rPr>
        <w:t>agrupaciones</w:t>
      </w:r>
      <w:r w:rsidR="00713B5D">
        <w:t xml:space="preserve"> empresariales</w:t>
      </w:r>
      <w:r>
        <w:t xml:space="preserve"> innovadoras».</w:t>
      </w:r>
    </w:p>
    <w:p w:rsidR="00786B3E" w:rsidRDefault="00786B3E" w:rsidP="00786B3E">
      <w:r>
        <w:t>El anexo 2 también hace referencia al hecho de que «</w:t>
      </w:r>
      <w:r w:rsidR="00713B5D">
        <w:t>de</w:t>
      </w:r>
      <w:r w:rsidR="00713B5D">
        <w:rPr>
          <w:i/>
        </w:rPr>
        <w:t xml:space="preserve"> conformidad</w:t>
      </w:r>
      <w:r>
        <w:rPr>
          <w:i/>
        </w:rPr>
        <w:t xml:space="preserve"> con el artículo 28 del RGEC, las PYME usuarias que accedan a los servicios de EDI pueden beneficiarse de ayudas estatales repercutidas por los centros de innovación digital en forma de tarifas inferiores a los precios de mercado. En particular, el artículo 28, apartado 4, del RGEC establece que «en el caso particular de las ayudas para servicios de asesoramiento y apoyo a la innovación, la intensidad de la ayuda podrá incrementarse hasta el 100 % de los costes subvencionables siempre que el importe total de la ayuda para servicios de asesoramiento y apoyo en materia de innovación no supere los 200,000 EUR por empresa en un período de tres años». Sobre esta base, cualquier pyme estaría autorizada a utilizar los servicios o funciones de EDIH de forma gratuita o a precio reducido hasta un valor máximo/elemento de ayuda de 200 000 EUR».</w:t>
      </w:r>
    </w:p>
    <w:p w:rsidR="00786B3E" w:rsidRDefault="00786B3E" w:rsidP="00786B3E">
      <w:r>
        <w:t xml:space="preserve">La ventaja de utilizar el artículo 28 del RGEC como base jurídica para la concesión de ayudas estatales a las pymes, en comparación con el cumplimiento de las </w:t>
      </w:r>
      <w:r>
        <w:rPr>
          <w:i/>
        </w:rPr>
        <w:t>normas de</w:t>
      </w:r>
      <w:r>
        <w:t xml:space="preserve"> minimis, es que dicha ayuda es independiente del importe concedido para otros fines en el marco de la ayuda estatal. Las autoridades rumanas alegan que, si se utilizara el principio de minimis, muchas pymes recibirían ayudas menores, o podrían no ser capaces de solicitar, debido a los importes ya agotados por debajo del umbral </w:t>
      </w:r>
      <w:r>
        <w:rPr>
          <w:i/>
        </w:rPr>
        <w:t>de minimis</w:t>
      </w:r>
      <w:r>
        <w:t xml:space="preserve"> de 200 000 EUR. Además, también es probable que esto limite el apoyo a las pymes procedente de algunos programas rumanos en los que se fomenta la complementariedad entre las inversiones digitales en pymes — con el apoyo </w:t>
      </w:r>
      <w:r>
        <w:rPr>
          <w:i/>
        </w:rPr>
        <w:t>de minimis</w:t>
      </w:r>
      <w:r>
        <w:t xml:space="preserve"> — y el apoyo en el marco de los centros europeos de innovación digital en términos de puntos adicionales concedidos en el proceso de evaluación.</w:t>
      </w:r>
    </w:p>
    <w:p w:rsidR="00786B3E" w:rsidRDefault="00786B3E" w:rsidP="00786B3E">
      <w:r>
        <w:t>La pregunta</w:t>
      </w:r>
      <w:r>
        <w:rPr>
          <w:i/>
        </w:rPr>
        <w:t xml:space="preserve"> </w:t>
      </w:r>
      <w:r>
        <w:t xml:space="preserve">se refiere a la definición de beneficiario que figura en el artículo 2, apartado 9, letra c), del RDC, que </w:t>
      </w:r>
      <w:r w:rsidR="00713B5D">
        <w:t>indica</w:t>
      </w:r>
      <w:r w:rsidR="00713B5D">
        <w:rPr>
          <w:i/>
        </w:rPr>
        <w:t xml:space="preserve"> que</w:t>
      </w:r>
      <w:r>
        <w:rPr>
          <w:i/>
        </w:rPr>
        <w:t xml:space="preserve"> «en el contexto de la ayuda estatal, se entiende por beneficiario la empresa que recibe</w:t>
      </w:r>
      <w:r w:rsidR="00713B5D">
        <w:rPr>
          <w:i/>
        </w:rPr>
        <w:t xml:space="preserve"> </w:t>
      </w:r>
      <w:r>
        <w:t>la ayuda». En este caso, las autoridades rumanas tienen la intención de tratar a los centros europeos de innovación digital como el único beneficiario, a pesar de que las pymes serían empresas beneficiarias de la ayuda. ¿Es este enfoque coherente con el marco jurídico aplicable?</w:t>
      </w:r>
    </w:p>
    <w:p w:rsidR="00786B3E" w:rsidRDefault="00786B3E" w:rsidP="00786B3E">
      <w:r>
        <w:t>Otros Estados miembros que cofinancian las inversiones de los centros europeos de innovación digital en el marco de los programas de la política de cohesión podrían enfrentarse a problemas similares.</w:t>
      </w:r>
    </w:p>
    <w:p w:rsidR="00786B3E" w:rsidRDefault="00786B3E" w:rsidP="00786B3E"/>
    <w:p w:rsidR="00786B3E" w:rsidRDefault="00786B3E" w:rsidP="00786B3E">
      <w:pPr>
        <w:pStyle w:val="P68B1DB1-Normal1"/>
      </w:pPr>
      <w:r>
        <w:t>Respuesta.</w:t>
      </w:r>
    </w:p>
    <w:p w:rsidR="00786B3E" w:rsidRDefault="00786B3E" w:rsidP="00786B3E">
      <w:r>
        <w:t xml:space="preserve">El artículo 2, apartado 9, letra c), del RDC indica </w:t>
      </w:r>
      <w:r>
        <w:rPr>
          <w:i/>
        </w:rPr>
        <w:t>que, en el contexto de los regímenes de ayudas estatales, por beneficiario se entiende la empresa que recibe</w:t>
      </w:r>
      <w:r>
        <w:t xml:space="preserve"> la ayuda.</w:t>
      </w:r>
    </w:p>
    <w:p w:rsidR="00786B3E" w:rsidRDefault="00786B3E" w:rsidP="00786B3E">
      <w:r>
        <w:t xml:space="preserve">El artículo 2, apartado 9, letra d), del RDC </w:t>
      </w:r>
      <w:r w:rsidR="00713B5D">
        <w:t>indica</w:t>
      </w:r>
      <w:r w:rsidR="00713B5D">
        <w:rPr>
          <w:i/>
        </w:rPr>
        <w:t xml:space="preserve"> que</w:t>
      </w:r>
      <w:r>
        <w:rPr>
          <w:i/>
        </w:rPr>
        <w:t xml:space="preserve"> «en el contexto de las ayudas de minimis concedidas de conformidad con los Reglamentos (UE) n.º 1407/2013 (37) o (UE) n.º 717/2014 (38) de la Comisión, el Estado miembro podrá decidir que el beneficiario a </w:t>
      </w:r>
      <w:r>
        <w:rPr>
          <w:i/>
        </w:rPr>
        <w:lastRenderedPageBreak/>
        <w:t>efectos del presente Reglamento sea el organismo que concede la ayuda, cuando sea responsable de iniciar o de iniciar y ejecutar</w:t>
      </w:r>
      <w:r>
        <w:t>la operación».</w:t>
      </w:r>
    </w:p>
    <w:p w:rsidR="00786B3E" w:rsidRDefault="00786B3E" w:rsidP="00786B3E">
      <w:r>
        <w:t>Entendemos que las autoridades rumanas desean apoyar la financiación de varios centros europeos de innovación digital y que el 50 % sería cofinanciado por el FEDER, en el marco del programa de Rumanía sobre crecimiento inteligente, digitalización e instrumentos financieros (PCIDIF). Esta ayuda podría constituir ayuda estatal y las autoridades rumanas tienen previsto prestar apoyo a los centros de innovación digital europea en el marco de un régimen de ayudas estatales en virtud del artículo 28, apartado 4, del RGEC, en virtud del cual dichos centros transmitirían la ayuda a las empresas (los usuarios de los centros de innovación digital). El valor de los servicios prestados no superaría los 200 000 EUR por empresa, de conformidad con el artículo 28, apartado 4, del RGEC.</w:t>
      </w:r>
    </w:p>
    <w:p w:rsidR="00786B3E" w:rsidRDefault="00786B3E" w:rsidP="00786B3E">
      <w:r>
        <w:t xml:space="preserve">Si la ayuda se concediera en virtud de un régimen RGEC (es decir, un régimen de ayudas estatales), el beneficiario en el sentido del RDC sería </w:t>
      </w:r>
      <w:r>
        <w:rPr>
          <w:i/>
        </w:rPr>
        <w:t>«la empresa que recibe la ayuda»</w:t>
      </w:r>
      <w:r>
        <w:t xml:space="preserve">, tal como exige el artículo 2, apartado 9, letra c), del RDC. En este contexto, se entenderá por </w:t>
      </w:r>
      <w:r>
        <w:rPr>
          <w:i/>
        </w:rPr>
        <w:t>«empresa que recibe la ayuda»</w:t>
      </w:r>
      <w:r>
        <w:t xml:space="preserve"> la entidad que recibe ayuda financiera de los Fondos para llevar a cabo una operación seleccionada por el programa.</w:t>
      </w:r>
    </w:p>
    <w:p w:rsidR="00786B3E" w:rsidRDefault="00786B3E" w:rsidP="00786B3E">
      <w:r>
        <w:t>Por lo tanto, en caso de que los centros europeos de innovación digital utilicen la ayuda financiera para prestar servicios a otros destinatarios sin volver a conceder la ayuda financiera, estos seguirán siendo los beneficiarios en el sentido del artículo 2, apartado 9, letra c), del RDC. Esto se entiende sin perjuicio del concepto de ayuda y de la definición de beneficiario como ayuda estatal, lo que significa que todas las empresas beneficiarias de una ventaja se considerarían beneficiarios de la ayuda y que debe garantizarse el respeto de las normas sobre ayudas estatales (es decir, en este caso, el RGEC).</w:t>
      </w:r>
    </w:p>
    <w:p w:rsidR="00786B3E" w:rsidRDefault="00786B3E" w:rsidP="00786B3E">
      <w:r>
        <w:t xml:space="preserve">Sin embargo, en caso de que el EDIH transfiera la ayuda financiera a otros beneficiarios, estas empresas que reciban ayuda financiera de los Fondos se considerarán beneficiarios con arreglo al RDC. El artículo 2, apartado 9, letra d), no se aplicaría en este contexto, </w:t>
      </w:r>
      <w:r w:rsidR="002F3719">
        <w:t xml:space="preserve">ya que, </w:t>
      </w:r>
      <w:r>
        <w:t xml:space="preserve">esta disposición solo se aplica en </w:t>
      </w:r>
      <w:r>
        <w:rPr>
          <w:i/>
        </w:rPr>
        <w:t>el contexto de los regímenes</w:t>
      </w:r>
      <w:r>
        <w:t xml:space="preserve"> de minimis.</w:t>
      </w:r>
    </w:p>
    <w:p w:rsidR="00786B3E" w:rsidRDefault="00786B3E" w:rsidP="00786B3E">
      <w:r>
        <w:t xml:space="preserve">Alternativamente, el Estado miembro podría ejecutar la operación en el marco </w:t>
      </w:r>
      <w:r>
        <w:rPr>
          <w:i/>
        </w:rPr>
        <w:t>de un régimen de ayudas de minimis</w:t>
      </w:r>
      <w:r>
        <w:t xml:space="preserve">. En tal caso, se aplicaría el artículo 2, apartado 9, letra d), y el Estado miembro podrá decidir que el beneficiario a efectos del RDC sea el organismo que concede la ayuda, cuando sea responsable de iniciar o de iniciar y ejecutar la operación. En tal caso, los centros europeos de innovación digital podrían ser los beneficiarios a efectos del RDC, pero las normas </w:t>
      </w:r>
      <w:r>
        <w:rPr>
          <w:i/>
        </w:rPr>
        <w:t>de minimis</w:t>
      </w:r>
      <w:r>
        <w:t>, incluidos los límites máximos, se aplicarían plenamente a los beneficiarios de la ayuda.</w:t>
      </w:r>
    </w:p>
    <w:p w:rsidR="00786B3E" w:rsidRDefault="00786B3E" w:rsidP="00786B3E"/>
    <w:p w:rsidR="00786B3E" w:rsidRDefault="00786B3E" w:rsidP="00786B3E"/>
    <w:p w:rsidR="00786B3E" w:rsidRDefault="00786B3E" w:rsidP="00786B3E">
      <w:pPr>
        <w:pStyle w:val="Ttulo1"/>
      </w:pPr>
      <w:bookmarkStart w:id="424" w:name="scroll-bookmark-486"/>
      <w:bookmarkStart w:id="425" w:name="scroll-bookmark-487"/>
      <w:bookmarkEnd w:id="424"/>
      <w:r>
        <w:lastRenderedPageBreak/>
        <w:t>QA00238 — Ámbito de intervención 040: reducción del 30 % de las emisiones de gases de efecto invernadero o del consumo de energía primaria</w:t>
      </w:r>
      <w:bookmarkEnd w:id="425"/>
    </w:p>
    <w:p w:rsidR="00786B3E" w:rsidRDefault="00786B3E" w:rsidP="00786B3E">
      <w:r>
        <w:rPr>
          <w:noProof/>
          <w:lang w:val="es-ES"/>
        </w:rPr>
        <w:drawing>
          <wp:inline distT="0" distB="0" distL="0" distR="0" wp14:anchorId="40780E9E" wp14:editId="58D59BF6">
            <wp:extent cx="152435" cy="152435"/>
            <wp:effectExtent l="0" t="0" r="0" b="0"/>
            <wp:docPr id="100855" name="Imagen 1008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22 (5) RDC, anexo 1 del RDC</w:t>
      </w:r>
    </w:p>
    <w:p w:rsidR="00786B3E" w:rsidRDefault="00786B3E" w:rsidP="00786B3E">
      <w:r>
        <w:rPr>
          <w:noProof/>
          <w:lang w:val="es-ES"/>
        </w:rPr>
        <w:drawing>
          <wp:inline distT="0" distB="0" distL="0" distR="0" wp14:anchorId="15CD2109" wp14:editId="797902A0">
            <wp:extent cx="152435" cy="152435"/>
            <wp:effectExtent l="0" t="0" r="0" b="0"/>
            <wp:docPr id="100857" name="Imagen 1008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 xml:space="preserve">El cuadro 1 del anexo 1 del RDC define los códigos de intervención que deben utilizarse para todas las medidas financiadas por el FEDER, el FSE +, el FC y el FTJ. La nota a pie de página 1 especifica que el campo de intervención 040 </w:t>
      </w:r>
      <w:r w:rsidR="00893DFD">
        <w:t>“</w:t>
      </w:r>
      <w:r>
        <w:rPr>
          <w:i/>
        </w:rPr>
        <w:t>Eficiencia energética y proyectos de demostración en pymes o grandes empresas y medidas de apoyo que cumplan los criterios de eficiencia energética</w:t>
      </w:r>
      <w:r>
        <w:t xml:space="preserve"> se utilizará únicamente si el objetivo de la medida es a) lograr, por término medio, una renovación de al menos un nivel de profundidad media, tal como se define en la Recomendación (UE) 2019/786 de la Comisión, de 8 de mayo de 2019, relativa a la renovación de edificios (DO L 127 de 16.5.2019, p. 34) o b) lograr, por término medio, una reducción de al menos un 30 % de las emisiones directas e indirectas de gases de efecto invernadero en comparación con las emisiones ex ante». Nos gustaría pedirle aclaraciones sobre la evaluación de una reducción de al menos un 30 % de las emisiones de gases de efecto invernadero/consumo de energía primaria.</w:t>
      </w:r>
    </w:p>
    <w:p w:rsidR="00786B3E" w:rsidRDefault="00786B3E" w:rsidP="00786B3E">
      <w:r>
        <w:t xml:space="preserve">¿Es necesario evaluar siempre la reducción como una diferencia entre el consumo de energía de todo un edificio en el momento en que se presenta la solicitud del proyecto y el consumo futuro estimado tras la aplicación de la medida? El programa CZ evalúa la reducción mínima requerida en todo un edificio, pero se enfrenta al problema de la capacidad de absorción, </w:t>
      </w:r>
      <w:r w:rsidR="002F3719">
        <w:t xml:space="preserve">ya que, </w:t>
      </w:r>
      <w:r>
        <w:t xml:space="preserve">resultó que la mayoría de los beneficiarios potenciales no es capaz de alcanzar la reducción del 30 %, </w:t>
      </w:r>
      <w:r w:rsidR="002F3719">
        <w:t xml:space="preserve">ya que, </w:t>
      </w:r>
      <w:r>
        <w:t>ya habían aplicado algunas mejoras de eficiencia energética antes (la mayoría de las cuales contaban con el apoyo de los Fondos EIE en períodos de programación anteriores).</w:t>
      </w:r>
    </w:p>
    <w:p w:rsidR="00786B3E" w:rsidRDefault="00786B3E" w:rsidP="00786B3E">
      <w:r>
        <w:t>En caso de que el edificio ya se haya renovado parcialmente y, por lo tanto, ya haya reducido el consumo de energía primaria, ¿sería posible evaluar la reducción mínima del 30 % no para todo un edificio, sino solo para la medida específica apoyada? Por ejemplo, en caso de que en el período de programación anterior se renovara la envolvente del edificio (depósito, ventanas, etc.) y ahora la propuesta de proyecto tiene por objeto sustituir una fuente de calefacción, un sistema de ventilación, etc., ¿es posible evaluar la reducción del 30 % del consumo de energía únicamente para la fuente de calefacción y excluir del cálculo la envolvente renovada?</w:t>
      </w:r>
    </w:p>
    <w:p w:rsidR="00786B3E" w:rsidRDefault="00786B3E" w:rsidP="00786B3E">
      <w:pPr>
        <w:pStyle w:val="P68B1DB1-Normal4"/>
      </w:pPr>
      <w:r>
        <w:t> </w:t>
      </w:r>
    </w:p>
    <w:p w:rsidR="00786B3E" w:rsidRDefault="00786B3E" w:rsidP="00786B3E"/>
    <w:p w:rsidR="00786B3E" w:rsidRDefault="00786B3E" w:rsidP="00786B3E">
      <w:pPr>
        <w:pStyle w:val="P68B1DB1-Normal1"/>
      </w:pPr>
      <w:r>
        <w:t>Respuesta.</w:t>
      </w:r>
    </w:p>
    <w:p w:rsidR="00786B3E" w:rsidRDefault="00786B3E" w:rsidP="00786B3E">
      <w:r>
        <w:t>En consonancia con</w:t>
      </w:r>
      <w:r>
        <w:rPr>
          <w:b/>
        </w:rPr>
        <w:t xml:space="preserve"> </w:t>
      </w:r>
      <w:r>
        <w:t xml:space="preserve">la descripción del campo de intervención 040 </w:t>
      </w:r>
      <w:r>
        <w:rPr>
          <w:i/>
        </w:rPr>
        <w:t xml:space="preserve">«Eficiencia energética y proyectos de demostración en pymes o grandes empresas y </w:t>
      </w:r>
      <w:r>
        <w:rPr>
          <w:i/>
          <w:u w:val="single"/>
        </w:rPr>
        <w:t>medidas</w:t>
      </w:r>
      <w:r>
        <w:rPr>
          <w:i/>
        </w:rPr>
        <w:t xml:space="preserve"> de apoyo que </w:t>
      </w:r>
      <w:r>
        <w:rPr>
          <w:i/>
        </w:rPr>
        <w:lastRenderedPageBreak/>
        <w:t>cumplan los criterios de eficiencia energética»</w:t>
      </w:r>
      <w:r>
        <w:t>, la reducción del 30 % debe abordarse al nivel de la medida que recibe el apoyo preciso. No obstante, en el marco de este código de intervención es necesario salvaguardar la ambición de la medida para evitar que las inversiones con un impacto limitado se contabilicen con este código.</w:t>
      </w:r>
    </w:p>
    <w:p w:rsidR="00786B3E" w:rsidRDefault="00786B3E" w:rsidP="00786B3E">
      <w:r>
        <w:t>El código de intervención 040 está destinado a la renovación en profundidad y media, tal como se define en la Recomendación (UE) 2019/786, de 8 de mayo de 2019, sobre la renovación de edificios (opción A) y a las medidas de apoyo en las empresas (opción B). En caso de que el cumplimiento de las condiciones anteriores plantee un problema de absorción para la autoridad de gestión, es posible utilizar alternativamente el campo de intervención 041, que está destinado a todas las demás renovaciones de edificios.</w:t>
      </w:r>
    </w:p>
    <w:p w:rsidR="00786B3E" w:rsidRDefault="00786B3E" w:rsidP="00786B3E">
      <w:pPr>
        <w:numPr>
          <w:ilvl w:val="0"/>
          <w:numId w:val="195"/>
        </w:numPr>
      </w:pPr>
      <w:r>
        <w:t>El principal objetivo de la ayuda es, tal como se establece en la nota a pie de página n.º 1 del anexo I del RDC, lograr, por término medio, al menos una renovación de nivel medio profundo (reducción del consumo de energía) de un edificio de conformidad con la Recomendación (UE) 2019/786 de la Comisión, o lograr, por término medio, una reducción de al menos un 30 % de las emisiones directas e indirectas de gases de efecto invernadero en comparación con las emisiones ex ante (en comparación con la situación inmediatamente anterior a la aplicación de la medida 2021-27). La base de referencia para ca</w:t>
      </w:r>
      <w:r w:rsidR="00713B5D">
        <w:t>l</w:t>
      </w:r>
      <w:r>
        <w:t xml:space="preserve">cular estas reducciones depende de la legislación nacional, que debe aplicarse en este caso. En cualquier caso, el uso de certificados de eficiencia energética, tal como se prevé en la Directiva 2010/31/UE, es aconsejable para simplificar los </w:t>
      </w:r>
      <w:r w:rsidR="00713B5D">
        <w:t>cálculos.</w:t>
      </w:r>
    </w:p>
    <w:p w:rsidR="00786B3E" w:rsidRDefault="00786B3E" w:rsidP="00786B3E">
      <w:r>
        <w:t>Si la medida subvencionada es, por ejemplo, una línea de producción o una unidad específica de maquinaria, la reducción requerida del 30 % se aplica a esta línea de producción o maquinaria y no a todo el edificio. Sin embargo, esto solo se aplica a las medidas de eficiencia energética aplicadas a las líneas de producción/maquinaria y no a la renovación de edificios.</w:t>
      </w:r>
    </w:p>
    <w:p w:rsidR="00786B3E" w:rsidRDefault="00786B3E" w:rsidP="00786B3E"/>
    <w:p w:rsidR="00786B3E" w:rsidRDefault="00786B3E" w:rsidP="00786B3E"/>
    <w:p w:rsidR="00786B3E" w:rsidRDefault="00786B3E" w:rsidP="00786B3E"/>
    <w:p w:rsidR="00786B3E" w:rsidRDefault="00786B3E" w:rsidP="00786B3E">
      <w:pPr>
        <w:pStyle w:val="Ttulo1"/>
      </w:pPr>
      <w:bookmarkStart w:id="426" w:name="scroll-bookmark-488"/>
      <w:bookmarkStart w:id="427" w:name="scroll-bookmark-489"/>
      <w:bookmarkEnd w:id="426"/>
      <w:r>
        <w:t>QA00240 — Verificación de la situación financiera de los beneficiarios</w:t>
      </w:r>
      <w:bookmarkEnd w:id="427"/>
    </w:p>
    <w:p w:rsidR="00786B3E" w:rsidRDefault="00786B3E" w:rsidP="00786B3E">
      <w:r>
        <w:rPr>
          <w:noProof/>
          <w:lang w:val="es-ES"/>
        </w:rPr>
        <w:drawing>
          <wp:inline distT="0" distB="0" distL="0" distR="0" wp14:anchorId="3266A258" wp14:editId="266EEB4D">
            <wp:extent cx="152435" cy="152435"/>
            <wp:effectExtent l="0" t="0" r="0" b="0"/>
            <wp:docPr id="100859" name="Imagen 1008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FEDER/FC</w:t>
      </w:r>
    </w:p>
    <w:p w:rsidR="00786B3E" w:rsidRDefault="00786B3E" w:rsidP="00786B3E">
      <w:r>
        <w:rPr>
          <w:noProof/>
          <w:lang w:val="es-ES"/>
        </w:rPr>
        <w:drawing>
          <wp:inline distT="0" distB="0" distL="0" distR="0" wp14:anchorId="0845C0F1" wp14:editId="77079A77">
            <wp:extent cx="152435" cy="152435"/>
            <wp:effectExtent l="0" t="0" r="0" b="0"/>
            <wp:docPr id="100861" name="Imagen 1008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cuestión se refiere al enfoque de la financiación de los beneficiarios potenciales que realizan actividades tanto económicas como no económicas y la consiguiente necesidad de verificar si el beneficiario en cuestión cumple los criterios de una empresa en crisis.</w:t>
      </w:r>
    </w:p>
    <w:p w:rsidR="00786B3E" w:rsidRDefault="00786B3E" w:rsidP="00786B3E">
      <w:r>
        <w:lastRenderedPageBreak/>
        <w:t xml:space="preserve">Entendemos que, en la situación en la que el beneficiario realiza una actividad tanto económica como no económica, y la financiación pública va a concederse únicamente a la actividad no económica, el beneficiario no se considera en absoluto empresa, por lo que no es necesario examinar su situación financiera para comprobar si pertenece a la categoría de «empresa en crisis». Este enfoque parece confirmarse por las disposiciones del punto 10 de la Comunicación de la Comisión relativa al concepto de ayuda estatal conforme a lo dispuesto en el artículo 107, apartado 1, del Tratado de Funcionamiento de la Unión Europea, que indica que «la clasificación de una entidad como empresa siempre se refiere a una actividad específica. Una entidad que lleve a cabo actividades tanto económicas como no económicas solo se considerará empresa con respecto a las primeras». De acuerdo con este entendimiento, si el beneficiario potencial solicita financiación pública únicamente para la actividad no económica, </w:t>
      </w:r>
      <w:r w:rsidR="002F3719">
        <w:t xml:space="preserve">ya que, </w:t>
      </w:r>
      <w:r>
        <w:t xml:space="preserve">se considera una entidad y no una empresa, parece que no debería estar sujeto a la exclusión del ámbito de aplicación de la ayuda en virtud de la financiación del FEDER, como se señala en el artículo 7, apartado 1, letra d), del Reglamento (UE) 2021/1058 del Parlamento Europeo y del Consejo, de 24 de junio de 2021, relativo al Fondo Europeo de Desarrollo Regional y al Fondo de Cohesión, </w:t>
      </w:r>
      <w:r w:rsidR="002F3719">
        <w:t xml:space="preserve">ya que, </w:t>
      </w:r>
      <w:r>
        <w:t>se refiere claramente al concepto de «empresa en crisis» («El FEDER [...] no apoyará [...] a una empresa en crisis, tal como se define en el artículo 2, punto (18), del Reglamento (UE) n.º 651/2014, a menos que esté autorizado en virtud de una ayuda de minimis o de normas temporales sobre ayudas estatales establecidas para hacer frente a circunstancias excepcionales»).</w:t>
      </w:r>
    </w:p>
    <w:p w:rsidR="00786B3E" w:rsidRDefault="00786B3E" w:rsidP="00786B3E">
      <w:r>
        <w:t>En caso de que el beneficiario potencial ejerza una actividad tanto económica como no económica y la actividad económica constituya menos del 20 %, según nuestra interpretación, se aplicarían las disposiciones presentadas en el punto 207 y en la nota a pie de página (305) del punto 207 de la Comunicación de la Comisión relativa al concepto de ayuda estatal conforme a lo dispuesto en el artículo 107, apartado 1, del Tratado de Funcionamiento de la Unión Europea: si la infraestructura se utiliza casi exclusivamente para una actividad no económica, la financiación pública puede quedar fuera de la totalidad de las normas sobre ayudas estatales. Por lo tanto, en este escenario, el beneficiario no está sujeto a la normativa sobre ayudas estatales en ningún sentido, por lo que no es necesario examinar la situación financiera del beneficiario para verificar si no entra en la definición de empresa en crisis sobre la base de los criterios enumerados en el artículo 2, punto (18), del Reglamento (UE) n.º 651/2014.</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Una entidad es una empresa en la medida en que lleva a cabo actividades económicas. Por lo tanto, cuando una entidad lleva a cabo tanto actividades económicas como no económicas, solo sus actividades económicas son pertinentes para su calificación como empresa.</w:t>
      </w:r>
    </w:p>
    <w:p w:rsidR="00786B3E" w:rsidRDefault="00786B3E" w:rsidP="00786B3E">
      <w:r>
        <w:t>Si una empresa ejerce tanto actividades económicas como no económicas, solo debe considerarse una empresa en lo que respecta a la primera, con la consecuencia de que la financiación pública para tales actividades no económicas no está sujeta al control de las ayudas estatales, siempre que se impida efectivamente la subvención cruzada de las actividades económicas.</w:t>
      </w:r>
    </w:p>
    <w:p w:rsidR="00786B3E" w:rsidRDefault="00786B3E" w:rsidP="00786B3E">
      <w:r>
        <w:lastRenderedPageBreak/>
        <w:t xml:space="preserve">De ello se deduce que, por regla general, si la financiación se destina a la actividad económica, la autoridad otorgante debe comprobar que el beneficiario del fondo no es una empresa en crisis en el sentido del artículo 7, apartado 1, letra d), del Reglamento FEDER. Por el contrario, la financiación de actividades no económicas no debe dar lugar a la aplicación del artículo 7, apartado 1, letra d), del Reglamento del FEDER, </w:t>
      </w:r>
      <w:r w:rsidR="002F3719">
        <w:t xml:space="preserve">ya que, </w:t>
      </w:r>
      <w:r>
        <w:t>la entidad que las lleva a cabo no puede considerarse una empresa a su respecto.</w:t>
      </w:r>
    </w:p>
    <w:p w:rsidR="00786B3E" w:rsidRDefault="00786B3E" w:rsidP="00786B3E">
      <w:r>
        <w:t>Sin embargo, si la actividad económica, que también se beneficia de financiación destinada principalmente a las actividades no económicas del beneficiario, tiene un alcance limitado, está directamente relacionada con la actividad no económica principal y es necesaria para llevarla a cabo, o está intrínsecamente vinculada a esta última, el apoyo a dicha actividad no equivaldría a una ayuda concedida a una empresa y, por lo tanto, no se aplicaría la definición del artículo 2, punto (18), del Reglamento (UE) n.º 651/2014. Esta circunstancia será evaluada por la autoridad otorgante caso por caso.</w:t>
      </w:r>
    </w:p>
    <w:p w:rsidR="00786B3E" w:rsidRDefault="00786B3E" w:rsidP="00786B3E"/>
    <w:p w:rsidR="00786B3E" w:rsidRDefault="00786B3E" w:rsidP="00786B3E"/>
    <w:p w:rsidR="00786B3E" w:rsidRDefault="00786B3E" w:rsidP="00786B3E">
      <w:pPr>
        <w:pStyle w:val="Ttulo1"/>
      </w:pPr>
      <w:bookmarkStart w:id="428" w:name="scroll-bookmark-490"/>
      <w:bookmarkStart w:id="429" w:name="scroll-bookmark-491"/>
      <w:bookmarkEnd w:id="428"/>
      <w:r>
        <w:t>QA00241 — Aplicación del uso obligatorio de OCS [artículo 53 (2) del RDC] en operaciones de asistencia técnica</w:t>
      </w:r>
      <w:bookmarkEnd w:id="429"/>
    </w:p>
    <w:p w:rsidR="00786B3E" w:rsidRDefault="00786B3E" w:rsidP="00786B3E">
      <w:r>
        <w:rPr>
          <w:noProof/>
          <w:lang w:val="es-ES"/>
        </w:rPr>
        <w:drawing>
          <wp:inline distT="0" distB="0" distL="0" distR="0" wp14:anchorId="79BDBAEB" wp14:editId="7EB8B497">
            <wp:extent cx="152435" cy="152435"/>
            <wp:effectExtent l="0" t="0" r="0" b="0"/>
            <wp:docPr id="100863" name="Imagen 1008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53, apartado 2, del RDC</w:t>
      </w:r>
    </w:p>
    <w:p w:rsidR="00786B3E" w:rsidRDefault="00786B3E" w:rsidP="00786B3E">
      <w:r>
        <w:t>                                 Artículo 36, apartado 3, y artículo 36 (4) del RDC</w:t>
      </w:r>
    </w:p>
    <w:p w:rsidR="00786B3E" w:rsidRDefault="00786B3E" w:rsidP="00786B3E">
      <w:r>
        <w:rPr>
          <w:noProof/>
          <w:lang w:val="es-ES"/>
        </w:rPr>
        <w:drawing>
          <wp:inline distT="0" distB="0" distL="0" distR="0" wp14:anchorId="0EF5025D" wp14:editId="686866D9">
            <wp:extent cx="152435" cy="152435"/>
            <wp:effectExtent l="0" t="0" r="0" b="0"/>
            <wp:docPr id="100865" name="Imagen 1008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Estamos estudiando la cuestión de si las operaciones de asistencia técnica están sujetas, en casos de cuantía financiera inferior a 200 000,00 EUR, a la obligación de utilizar OCS establecida en el artículo 53, apartado 2, del Reglamento (CE) n.º 1060/2021.</w:t>
      </w:r>
    </w:p>
    <w:p w:rsidR="00786B3E" w:rsidRDefault="00786B3E" w:rsidP="00786B3E">
      <w:r>
        <w:t xml:space="preserve">La lectura del Reglamento parece revelar una serie de factores que podrían dar lugar a una interpretación negativa, </w:t>
      </w:r>
      <w:r w:rsidR="002F3719">
        <w:t xml:space="preserve">ya que, </w:t>
      </w:r>
      <w:r>
        <w:t>la asistencia técnica está regulada en un capítulo distinto de aquel en el que se regulan las subvenciones a los beneficiarios, en el que se establece la obligación a que se refiere el artículo 53, apartado 2.</w:t>
      </w:r>
    </w:p>
    <w:p w:rsidR="00786B3E" w:rsidRDefault="00786B3E" w:rsidP="00786B3E">
      <w:r>
        <w:t>Además, la asistencia técnica tiene su propia especificidad, ya que, por su naturaleza, tiene una finalidad diferente en relación con los objetivos del Programa que la subvención clásica a los beneficiarios.</w:t>
      </w:r>
    </w:p>
    <w:p w:rsidR="00786B3E" w:rsidRDefault="00786B3E" w:rsidP="00786B3E">
      <w:r>
        <w:t>Por último, el considerando 33 del Reglamento (CE) n.º 1060/2021 parece abrir la posibilidad de seguir reembolsando las operaciones de asistencia técnica a costes reales, en continuidad con el período de programación 2014-2020, mientras que la obligación de utilizar OCS para operaciones más pequeñas se menciona en el considerando 42.</w:t>
      </w:r>
    </w:p>
    <w:p w:rsidR="00786B3E" w:rsidRDefault="00786B3E" w:rsidP="00786B3E">
      <w:pPr>
        <w:pStyle w:val="P68B1DB1-Normal1"/>
      </w:pPr>
      <w:r>
        <w:t>Respuesta.</w:t>
      </w:r>
    </w:p>
    <w:p w:rsidR="00786B3E" w:rsidRDefault="00786B3E" w:rsidP="00786B3E">
      <w:r>
        <w:lastRenderedPageBreak/>
        <w:t>De conformidad con el artículo 53, apartado 2, párrafo primero, del RDC, cuando el coste total de una operación no supere los 200 000 EUR, la contribución proporcionada al beneficiario por el FEDER, el FSE +, el FTJ, el FAMI, el FSI y el IGFV debe adoptar la forma de costes unitarios, sumas a tanto alzado o tipos fijos, excepto en el caso de las operaciones en las que la ayuda constituya ayuda estatal. Cuando se utilice financiación a tipo fijo, las categorías de costes a las que se aplica el tipo fijo podrán reembolsarse sobre la base de los costes subvencionables realmente contraídos por un beneficiario y pagados en la ejecución de las operaciones.</w:t>
      </w:r>
    </w:p>
    <w:p w:rsidR="00786B3E" w:rsidRDefault="00786B3E" w:rsidP="00786B3E">
      <w:r>
        <w:t>El artículo 53, apartado 2, párrafo segundo, del RDC prevé la posibilidad, en determinadas condiciones indicadas en el mismo, de eximir de este requisito a algunas operaciones en el ámbito de la investigación y la innovación. Además, con arreglo a la misma disposición, las indemnizaciones y salarios abonados a los participantes podrán reembolsarse sobre la base de los costes subvencionables realmente contraídos por un beneficiario y pagados en la ejecución de las operaciones.</w:t>
      </w:r>
    </w:p>
    <w:p w:rsidR="00786B3E" w:rsidRDefault="00786B3E" w:rsidP="00786B3E">
      <w:r>
        <w:t>Sobre la base de lo anterior, dado que no se prevé ninguna exención para las operaciones de asistencia técnica, el uso de opciones de costes simplificados es obligatorio para las subvenciones concedidas por el Estado miembro al beneficiario en las operaciones de asistencia técnica cuando el coste total de dichas operaciones no supere los 200 000 EUR.</w:t>
      </w:r>
    </w:p>
    <w:p w:rsidR="00786B3E" w:rsidRDefault="00786B3E" w:rsidP="00786B3E">
      <w:r>
        <w:t>Cabe señalar que el considerando 33 del RDC se refiere a las formas de contribución de la Unión a los programas de asistencia técnica (y no a las formas de subvenciones concedidas por el Estado miembro al beneficiario), por lo que se refiere a un nivel diferente de reembolso y no es pertinente para la pregunta planteada.</w:t>
      </w:r>
    </w:p>
    <w:p w:rsidR="00786B3E" w:rsidRDefault="00786B3E" w:rsidP="00786B3E"/>
    <w:p w:rsidR="00786B3E" w:rsidRDefault="00786B3E" w:rsidP="00786B3E"/>
    <w:p w:rsidR="00786B3E" w:rsidRDefault="00786B3E" w:rsidP="00786B3E">
      <w:pPr>
        <w:pStyle w:val="P68B1DB1-Normal1"/>
      </w:pPr>
      <w:r>
        <w:t>Respuesta.</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430" w:name="scroll-bookmark-492"/>
      <w:bookmarkStart w:id="431" w:name="scroll-bookmark-493"/>
      <w:bookmarkEnd w:id="430"/>
      <w:r>
        <w:t>QA00242 — Utilización de un tipo fijo del Reglamento general de exención por categorías</w:t>
      </w:r>
      <w:bookmarkEnd w:id="431"/>
    </w:p>
    <w:p w:rsidR="00786B3E" w:rsidRDefault="00786B3E" w:rsidP="00786B3E">
      <w:r>
        <w:rPr>
          <w:noProof/>
          <w:lang w:val="es-ES"/>
        </w:rPr>
        <w:drawing>
          <wp:inline distT="0" distB="0" distL="0" distR="0" wp14:anchorId="083E9476" wp14:editId="63D22F7B">
            <wp:extent cx="152435" cy="152435"/>
            <wp:effectExtent l="0" t="0" r="0" b="0"/>
            <wp:docPr id="100867" name="Imagen 1008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pPr>
        <w:numPr>
          <w:ilvl w:val="0"/>
          <w:numId w:val="196"/>
        </w:numPr>
      </w:pPr>
      <w:r>
        <w:t>Artículo 53, apartado 3, letra c), del Reglamento (UE) 2021/1060</w:t>
      </w:r>
    </w:p>
    <w:p w:rsidR="00786B3E" w:rsidRDefault="00786B3E" w:rsidP="00786B3E">
      <w:pPr>
        <w:numPr>
          <w:ilvl w:val="0"/>
          <w:numId w:val="196"/>
        </w:numPr>
      </w:pPr>
      <w:r>
        <w:t>Artículo 54 del Reglamento (UE) 2021/1060</w:t>
      </w:r>
    </w:p>
    <w:p w:rsidR="00786B3E" w:rsidRDefault="00786B3E" w:rsidP="00786B3E">
      <w:pPr>
        <w:numPr>
          <w:ilvl w:val="0"/>
          <w:numId w:val="196"/>
        </w:numPr>
      </w:pPr>
      <w:r>
        <w:t>Artículos 7 (1) y 25 (3) del Reglamento (UE) n.º 651/2014</w:t>
      </w:r>
    </w:p>
    <w:p w:rsidR="00786B3E" w:rsidRDefault="00786B3E" w:rsidP="00786B3E"/>
    <w:p w:rsidR="00786B3E" w:rsidRDefault="00786B3E" w:rsidP="00786B3E">
      <w:r>
        <w:rPr>
          <w:noProof/>
          <w:lang w:val="es-ES"/>
        </w:rPr>
        <w:lastRenderedPageBreak/>
        <w:drawing>
          <wp:inline distT="0" distB="0" distL="0" distR="0" wp14:anchorId="11747FDE" wp14:editId="3D5A16A1">
            <wp:extent cx="152435" cy="152435"/>
            <wp:effectExtent l="0" t="0" r="0" b="0"/>
            <wp:docPr id="100869" name="Imagen 1008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786B3E" w:rsidRDefault="00786B3E" w:rsidP="00786B3E"/>
    <w:p w:rsidR="00786B3E" w:rsidRDefault="00786B3E" w:rsidP="00786B3E">
      <w:r>
        <w:t>Contexto:</w:t>
      </w:r>
    </w:p>
    <w:p w:rsidR="00786B3E" w:rsidRDefault="00786B3E" w:rsidP="00786B3E">
      <w:r>
        <w:t>El Reglamento (UE) 2023/1315 de la Comisión introdujo el siguiente tipo fijo en el Reglamento (UE) n.º 651/2014 (RGEC):</w:t>
      </w:r>
    </w:p>
    <w:p w:rsidR="00786B3E" w:rsidRDefault="00786B3E" w:rsidP="00786B3E">
      <w:r>
        <w:t>(23) el artículo 25 se modifica como sigue: a) en el apartado 3, la letra e) se sustituye por el texto siguiente:</w:t>
      </w:r>
    </w:p>
    <w:p w:rsidR="00786B3E" w:rsidRDefault="00786B3E" w:rsidP="00786B3E">
      <w:r>
        <w:t>«e) gastos generales adicionales y otros gastos de funcionamiento, incluidos los costes de materiales, suministros y productos similares, directamente derivados del proyecto; sin perjuicio de lo dispuesto en el artículo 7, apartado 1, tercera frase, dichos costes del proyecto de I + D podrán calcularse alternativamente sobre la base de un enfoque de costes simplificados en forma de un porcentaje fijo de hasta el 20 %, aplicado a los costes totales subvencionables del proyecto de I + D a que se refieren las letras a) a d). En este caso, los costes del proyecto de I + D utilizados para el cálculo de los costes indirectos se establecerán sobre la base de las prácticas contables normales e incluirán únicamente los costes subvencionables del proyecto de I + D a que se refieren las letras a) a d).».</w:t>
      </w:r>
    </w:p>
    <w:p w:rsidR="00786B3E" w:rsidRDefault="00786B3E" w:rsidP="00786B3E">
      <w:r>
        <w:t>Necesitamos su ayuda para aclarar las implicaciones de esta enmienda en relación con el uso de OCS en el apoyo del FEDER a proyectos de I + D.</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Más concretamente, ¿en qué punto del apartado 3, el artículo 53 del RDC puede aplicarse este tipo fijo del 20 % a los costes indirectos en las operaciones de I + D financiadas por el FEDER?</w:t>
      </w:r>
    </w:p>
    <w:p w:rsidR="00786B3E" w:rsidRDefault="00786B3E" w:rsidP="00786B3E"/>
    <w:p w:rsidR="00786B3E" w:rsidRDefault="00786B3E" w:rsidP="00786B3E">
      <w:pPr>
        <w:pStyle w:val="P68B1DB1-Normal1"/>
      </w:pPr>
      <w:r>
        <w:t>Respuesta.</w:t>
      </w:r>
    </w:p>
    <w:p w:rsidR="00786B3E" w:rsidRDefault="00786B3E" w:rsidP="00786B3E">
      <w:r>
        <w:t>El artículo 7, apartado 1, del Reglamento (UE) n.º 651/2014 («RGEC»), modificado en último lugar por el Reglamento (UE) 2023/1315, permite calcular el importe de los costes subvencionables utilizando las opciones de costes simplificados establecidas en las normas pertinentes que rigen el fondo de la Unión, siempre que:</w:t>
      </w:r>
    </w:p>
    <w:p w:rsidR="00786B3E" w:rsidRDefault="00786B3E" w:rsidP="00786B3E">
      <w:pPr>
        <w:numPr>
          <w:ilvl w:val="0"/>
          <w:numId w:val="197"/>
        </w:numPr>
      </w:pPr>
      <w:r>
        <w:t>una operación se financia, al menos en parte, a través de un fondo de la Unión que permite el uso de opciones de costes simplificados;</w:t>
      </w:r>
    </w:p>
    <w:p w:rsidR="00786B3E" w:rsidRDefault="00786B3E" w:rsidP="00786B3E">
      <w:pPr>
        <w:numPr>
          <w:ilvl w:val="0"/>
          <w:numId w:val="197"/>
        </w:numPr>
      </w:pPr>
      <w:r>
        <w:t>la categoría de costes es subvencionable con arreglo a la disposición de exención pertinente.</w:t>
      </w:r>
    </w:p>
    <w:p w:rsidR="00786B3E" w:rsidRDefault="00786B3E" w:rsidP="00786B3E">
      <w:r>
        <w:t>El artículo 25, apartado 3, letra e), del RGEC introduce un tipo fijo de hasta el 20 % que puede aplicarse alternativamente a los proyectos de investigación y desarrollo para calcular los gastos generales adicionales y otros gastos de funcionamiento, incluidos los costes de materiales, suministros y productos similares, directamente derivados del proyecto, sin perjuicio de lo dispuesto en el artículo 7, apartado 1, del RGEC. El tipo fijo se aplicará a los costes totales subvencionables de los proyectos de investigación y desarrollo a que se refiere el artículo 25, apartado 3, letra a), del RGEC.</w:t>
      </w:r>
    </w:p>
    <w:p w:rsidR="00786B3E" w:rsidRDefault="00786B3E" w:rsidP="00786B3E"/>
    <w:p w:rsidR="00786B3E" w:rsidRDefault="00786B3E" w:rsidP="00786B3E">
      <w:r>
        <w:lastRenderedPageBreak/>
        <w:t>Cabe señalar que el artículo 54 del RDC no enumera exhaustivamente todas las alternativas disponibles para reembolsar los costes indirectos de una operación utilizando un tipo fijo. Así pues, el Estado miembro puede utilizar el tipo fijo introducido por el RGEC para las operaciones cofinanciadas por los fondos de la política de cohesión de conformidad con el artículo 53, apartado 3, letra c), del Reglamento (UE) 2021/1060 («RDC») como tipo fijo correspondiente aplicable a las políticas de la Unión para un tipo similar de operación.</w:t>
      </w:r>
    </w:p>
    <w:p w:rsidR="00786B3E" w:rsidRDefault="00786B3E" w:rsidP="00786B3E">
      <w:r>
        <w:t>Al aplicar los métodos utilizados en otras políticas de la Unión, el Estado miembro debe asegurarse de que el método se utiliza en su totalidad y de que el método se aplica a tipos de operaciones similares.</w:t>
      </w:r>
    </w:p>
    <w:p w:rsidR="00786B3E" w:rsidRDefault="00786B3E" w:rsidP="00786B3E"/>
    <w:p w:rsidR="00786B3E" w:rsidRDefault="00786B3E" w:rsidP="00786B3E"/>
    <w:p w:rsidR="00786B3E" w:rsidRDefault="00786B3E" w:rsidP="00786B3E">
      <w:pPr>
        <w:pStyle w:val="Ttulo1"/>
      </w:pPr>
      <w:bookmarkStart w:id="432" w:name="scroll-bookmark-494"/>
      <w:bookmarkStart w:id="433" w:name="scroll-bookmark-495"/>
      <w:bookmarkEnd w:id="432"/>
      <w:r>
        <w:t>QA00243 — Localización de las operaciones</w:t>
      </w:r>
      <w:bookmarkEnd w:id="433"/>
    </w:p>
    <w:p w:rsidR="00786B3E" w:rsidRDefault="00786B3E" w:rsidP="00786B3E">
      <w:r>
        <w:rPr>
          <w:noProof/>
          <w:lang w:val="es-ES"/>
        </w:rPr>
        <w:drawing>
          <wp:inline distT="0" distB="0" distL="0" distR="0" wp14:anchorId="4422F40E" wp14:editId="0BF9A790">
            <wp:extent cx="152435" cy="152435"/>
            <wp:effectExtent l="0" t="0" r="0" b="0"/>
            <wp:docPr id="100871" name="Imagen 1008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pPr>
        <w:numPr>
          <w:ilvl w:val="0"/>
          <w:numId w:val="198"/>
        </w:numPr>
      </w:pPr>
      <w:r>
        <w:t>Artículo 49, apartado 3, letra l), y letra m), del RDC</w:t>
      </w:r>
    </w:p>
    <w:p w:rsidR="00786B3E" w:rsidRDefault="00786B3E" w:rsidP="00786B3E">
      <w:pPr>
        <w:numPr>
          <w:ilvl w:val="0"/>
          <w:numId w:val="198"/>
        </w:numPr>
      </w:pPr>
      <w:r>
        <w:t>Artículo 50, apartado 1, del RDC</w:t>
      </w:r>
    </w:p>
    <w:p w:rsidR="00786B3E" w:rsidRDefault="00786B3E" w:rsidP="00786B3E">
      <w:r>
        <w:rPr>
          <w:noProof/>
          <w:lang w:val="es-ES"/>
        </w:rPr>
        <w:drawing>
          <wp:inline distT="0" distB="0" distL="0" distR="0" wp14:anchorId="039DF710" wp14:editId="5E1BD9AE">
            <wp:extent cx="152435" cy="152435"/>
            <wp:effectExtent l="0" t="0" r="0" b="0"/>
            <wp:docPr id="100873" name="Imagen 1008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SI</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el artículo 49, apartado 3, del RDC, la autoridad de gestión debe poner a disposición del público en el sitio web la lista de operaciones seleccionadas para recibir ayuda de los Fondos. El mismo artículo sigue enumerando los datos que deben facilitarse para cada operación. Dos de estos campos de datos solicitan localización:</w:t>
      </w:r>
    </w:p>
    <w:p w:rsidR="00786B3E" w:rsidRDefault="00786B3E" w:rsidP="00786B3E">
      <w:pPr>
        <w:pStyle w:val="P68B1DB1-Normal4"/>
      </w:pPr>
      <w:r>
        <w:t>L) indicador de lugar o geolocalización para la operación y el país de que se trate.</w:t>
      </w:r>
    </w:p>
    <w:p w:rsidR="00786B3E" w:rsidRDefault="00786B3E" w:rsidP="00786B3E">
      <w:pPr>
        <w:pStyle w:val="P68B1DB1-Normal4"/>
      </w:pPr>
      <w:r>
        <w:t>m) en el caso de las operaciones móviles o de aquellas que abarquen varias localizaciones, localización del beneficiario cuando este sea una entidad jurídica; o la región de nivel NUTS 2, cuando el beneficiario sea una persona física;</w:t>
      </w:r>
    </w:p>
    <w:p w:rsidR="00786B3E" w:rsidRDefault="00786B3E" w:rsidP="00786B3E">
      <w:r>
        <w:t>1) ¿qué debe considerarse la ubicación de una operación, es decir, qué criterios se utilizan para definir una ubicación: los logros del proyecto, el lugar en el que se incurre el gasto, la dirección del beneficiario, etc.?</w:t>
      </w:r>
    </w:p>
    <w:p w:rsidR="00786B3E" w:rsidRDefault="00786B3E" w:rsidP="00786B3E">
      <w:r>
        <w:t>2) ¿qué tipo de operación debe considerarse una operación móvil o una operación que abarca varios lugares?</w:t>
      </w:r>
    </w:p>
    <w:p w:rsidR="00786B3E" w:rsidRDefault="00786B3E" w:rsidP="00786B3E"/>
    <w:p w:rsidR="00786B3E" w:rsidRDefault="00786B3E" w:rsidP="00786B3E">
      <w:pPr>
        <w:pStyle w:val="P68B1DB1-Normal1"/>
      </w:pPr>
      <w:r>
        <w:t>Respuesta.</w:t>
      </w:r>
    </w:p>
    <w:p w:rsidR="00786B3E" w:rsidRDefault="00786B3E" w:rsidP="00786B3E">
      <w:r>
        <w:t xml:space="preserve">El artículo 49, apartado 3, del RDC establece campos de datos que garantizan la transparencia y la visibilidad de las operaciones financiadas, incluida la ubicación en la </w:t>
      </w:r>
      <w:r>
        <w:lastRenderedPageBreak/>
        <w:t>que se están ejecutando los proyectos, y debe leerse conjuntamente con el considerando 39 del RDC 2021-2027, que subraya la importancia de sensibilizar sobre los logros de la financiación de la Unión y de una información verdadera, exacta y actualizada.</w:t>
      </w:r>
    </w:p>
    <w:p w:rsidR="00786B3E" w:rsidRDefault="00786B3E" w:rsidP="00786B3E">
      <w:r>
        <w:t>Por lo tanto, las disposiciones anteriores pueden interpretarse en el sentido de que tienen por objeto informar al público sobre los proyectos y sus logros sobre el terreno. La obligación de reconocer la ayuda de los Fondos (artículo 50, apartado 1,) del RDC puede tenerse en cuenta a la hora de determinar la ubicación solicitada en el artículo 49, apartado 3, del RDC.</w:t>
      </w:r>
    </w:p>
    <w:p w:rsidR="00786B3E" w:rsidRDefault="00786B3E" w:rsidP="00786B3E">
      <w:r>
        <w:t>La ubicación de una operación a que se refiere el artículo 49, apartado 3, letra l), del RDC es la ubicación en la que se ha realizado la inversión física, el equipo adquirido instalado o las actividades más significativas o la mayoría de las actividades del proyecto ejecutadas. Es el lugar donde deben exhibirse placas, vallas publicitarias o carteles duraderos claramente visibles para el público. Las autoridades de gestión deben proporcionar un indicador de ubicación o una geolocalización, cuando esta última aporte más precisión.</w:t>
      </w:r>
    </w:p>
    <w:p w:rsidR="00786B3E" w:rsidRDefault="00786B3E" w:rsidP="00786B3E">
      <w:r>
        <w:t>Las operaciones móviles u operaciones que abarcan varias ubicaciones a que se refiere el artículo 49, apartado 3, letra m), del RDC se refieren a operaciones como proyectos de formación (con múltiples centros o con participantes de múltiples regiones/ubicaciones), proyectos que establecen servicios digitales, universidades virtuales o tipos similares. Estos proyectos deben indicar la ubicación del beneficiario (beneficiarios).</w:t>
      </w:r>
    </w:p>
    <w:p w:rsidR="00786B3E" w:rsidRDefault="00786B3E" w:rsidP="00786B3E"/>
    <w:p w:rsidR="00786B3E" w:rsidRDefault="00786B3E" w:rsidP="00786B3E"/>
    <w:p w:rsidR="00786B3E" w:rsidRDefault="00786B3E" w:rsidP="00786B3E">
      <w:pPr>
        <w:pStyle w:val="Ttulo1"/>
      </w:pPr>
      <w:bookmarkStart w:id="434" w:name="scroll-bookmark-496"/>
      <w:bookmarkStart w:id="435" w:name="scroll-bookmark-497"/>
      <w:bookmarkEnd w:id="434"/>
      <w:r>
        <w:t>QA00244 — Inversiones en la captura de calor residual de fuentes de calor preexistentes y su uso para la calefacción urbana</w:t>
      </w:r>
      <w:bookmarkEnd w:id="435"/>
    </w:p>
    <w:p w:rsidR="00786B3E" w:rsidRDefault="00786B3E" w:rsidP="00786B3E">
      <w:r>
        <w:rPr>
          <w:noProof/>
          <w:lang w:val="es-ES"/>
        </w:rPr>
        <w:drawing>
          <wp:inline distT="0" distB="0" distL="0" distR="0" wp14:anchorId="6D7AE33E" wp14:editId="1E6CA51B">
            <wp:extent cx="152435" cy="152435"/>
            <wp:effectExtent l="0" t="0" r="0" b="0"/>
            <wp:docPr id="100875" name="Imagen 1008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pPr>
        <w:numPr>
          <w:ilvl w:val="0"/>
          <w:numId w:val="199"/>
        </w:numPr>
      </w:pPr>
      <w:r>
        <w:t>Artículo 8 (2) y artículo 9, letra d), del Reglamento del FTJ</w:t>
      </w:r>
    </w:p>
    <w:p w:rsidR="00786B3E" w:rsidRDefault="00786B3E" w:rsidP="00786B3E">
      <w:pPr>
        <w:numPr>
          <w:ilvl w:val="0"/>
          <w:numId w:val="199"/>
        </w:numPr>
      </w:pPr>
      <w:r>
        <w:t>Artículo 2, apartado 9, de la Directiva sobre fuentes de energía renovables II (Directiva (UE) 2018/2001 del Parlamento Europeo y del Consejo, de 11 de diciembre de 2018, relativa al fomento del uso de energía procedente de fuentes renovables)</w:t>
      </w:r>
    </w:p>
    <w:p w:rsidR="00786B3E" w:rsidRDefault="00786B3E" w:rsidP="00786B3E">
      <w:r>
        <w:rPr>
          <w:noProof/>
          <w:lang w:val="es-ES"/>
        </w:rPr>
        <w:drawing>
          <wp:inline distT="0" distB="0" distL="0" distR="0" wp14:anchorId="4906BFB8" wp14:editId="22F5D78D">
            <wp:extent cx="152435" cy="152435"/>
            <wp:effectExtent l="0" t="0" r="0" b="0"/>
            <wp:docPr id="100877" name="Imagen 1008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 xml:space="preserve">En el caso de inversiones en la captura y el uso de calor residual procedente de fuentes de calor no renovables, pero también no fósiles, que se incorporen a las redes de </w:t>
      </w:r>
      <w:r>
        <w:lastRenderedPageBreak/>
        <w:t>calefacción urbana, cuáles de las siguientes normas son aplicables en los casos concretos descritos a continuación: El artículo 8, apartado 2, letra e), 2, letra</w:t>
      </w:r>
      <w:r w:rsidR="00713B5D">
        <w:t xml:space="preserve"> </w:t>
      </w:r>
      <w:r w:rsidRPr="00767CF5">
        <w:t>b</w:t>
      </w:r>
      <w:r>
        <w:t>), alternativa (medida de eficiencia energética), el artículo 8, apartado 2, letra g),</w:t>
      </w:r>
      <w:r w:rsidRPr="00767CF5">
        <w:t>1</w:t>
      </w:r>
      <w:r>
        <w:t>, segunda alternativa (rehabilitación y mejora de las redes de calefacción urbana con vistas a mejorar la eficiencia energética de los sistemas de calefacción urbana) o el artículo 8, apartado</w:t>
      </w:r>
      <w:r w:rsidRPr="00767CF5">
        <w:t>2,</w:t>
      </w:r>
      <w:r>
        <w:t xml:space="preserve"> letra g), punto 2, segunda alternativa, del Reglamento TFC (producción de calor)? Esta diferenciación es importante, </w:t>
      </w:r>
      <w:r w:rsidR="002F3719">
        <w:t xml:space="preserve">ya que, </w:t>
      </w:r>
      <w:r>
        <w:t>si se considerara una inversión con arreglo al artículo 8, apartado 2, letra g), apartado</w:t>
      </w:r>
      <w:r w:rsidRPr="00767CF5">
        <w:t>2</w:t>
      </w:r>
      <w:r>
        <w:t>, segunda alternativa, del Reglamento del FTJ (producción de calor), no podría optar a la financiación del JTF.</w:t>
      </w:r>
    </w:p>
    <w:p w:rsidR="00786B3E" w:rsidRDefault="00786B3E" w:rsidP="00786B3E"/>
    <w:p w:rsidR="00786B3E" w:rsidRDefault="00786B3E" w:rsidP="00786B3E">
      <w:pPr>
        <w:pStyle w:val="P68B1DB1-Normal1"/>
      </w:pPr>
      <w:r>
        <w:t>Caso 1: Inversión en el uso del calor residual por parte de un centro de datos</w:t>
      </w:r>
    </w:p>
    <w:p w:rsidR="00786B3E" w:rsidRDefault="00786B3E" w:rsidP="00786B3E">
      <w:r>
        <w:t xml:space="preserve">En un </w:t>
      </w:r>
      <w:r>
        <w:rPr>
          <w:i/>
        </w:rPr>
        <w:t>centro de datos, un sistema de refrigeración de componentes mainframe genera calor residual central</w:t>
      </w:r>
      <w:r>
        <w:t xml:space="preserve"> a escala de megavatios. Hasta ahora, el calor residual se ha entregado a la zona circundante a través de células de refrigeración húmedas (principalmente a través de agua de evaporación). Con la ayuda de la inversión en un cesionista de calor, incluida la infraestructura y los equipos técnicos conexos, el calor residual ya no se suministrará a la zona circundante a través de las celdas de refrigeración húmedas, sino </w:t>
      </w:r>
      <w:r>
        <w:rPr>
          <w:i/>
        </w:rPr>
        <w:t>que se utilizará directamente para calentar los edificios circundantes</w:t>
      </w:r>
      <w:r>
        <w:t>.</w:t>
      </w:r>
    </w:p>
    <w:p w:rsidR="00786B3E" w:rsidRDefault="00786B3E" w:rsidP="00786B3E"/>
    <w:p w:rsidR="00786B3E" w:rsidRDefault="00786B3E" w:rsidP="00786B3E">
      <w:pPr>
        <w:pStyle w:val="P68B1DB1-Normal1"/>
      </w:pPr>
      <w:r>
        <w:t>Caso 2: Inversión en el uso del calor residual de las aguas residuales</w:t>
      </w:r>
    </w:p>
    <w:p w:rsidR="00786B3E" w:rsidRDefault="00786B3E" w:rsidP="00786B3E">
      <w:r>
        <w:t xml:space="preserve">Las aguas residuales de un barrio se recogen y se vierten de forma centralizada en un sistema de aguas residuales. El objetivo de la inversión subvencionada es adquirir una </w:t>
      </w:r>
      <w:r>
        <w:rPr>
          <w:i/>
        </w:rPr>
        <w:t>gran bomba de calor, incluida la infraestructura y el equipo técnico necesario para calentar el barrio, como fuente de calor desde las aguas residuales hasta la bomba de calor a través de un cesionista de calor</w:t>
      </w:r>
      <w:r>
        <w:t xml:space="preserve"> (como insumo; funcionamiento con un 100 % de electricidad procedente de fuentes de energía renovables) debe utilizar la energía suministrada.</w:t>
      </w:r>
    </w:p>
    <w:p w:rsidR="00786B3E" w:rsidRDefault="00786B3E" w:rsidP="00786B3E"/>
    <w:p w:rsidR="00786B3E" w:rsidRDefault="00786B3E" w:rsidP="00786B3E">
      <w:pPr>
        <w:pStyle w:val="P68B1DB1-Normal1"/>
      </w:pPr>
      <w:r>
        <w:t>Respuesta.</w:t>
      </w:r>
    </w:p>
    <w:p w:rsidR="00786B3E" w:rsidRDefault="00786B3E" w:rsidP="00786B3E">
      <w:r>
        <w:t>Entendemos que la pregunta se refiere a las inversiones en calefacción urbana y, por lo tanto, respondemos en el contexto del artículo 8 (2) (g) del Reglamento del FTJ.</w:t>
      </w:r>
    </w:p>
    <w:p w:rsidR="00786B3E" w:rsidRDefault="00786B3E" w:rsidP="00786B3E">
      <w:r>
        <w:t>De conformidad con el artículo 8 (2) (g), las inversiones en calefacción urbana entran en el ámbito de aplicación del apoyo del FTJ, siempre que dichas inversiones no estén relacionadas con la producción, la transformación, el transporte, la distribución, el almacenamiento o la combustión de combustibles fósiles [artículo 9, letra d), del Reglamento del FTJ]. En particular, la rehabilitación y la mejora de las redes de calefacción urbana (por ejemplo, que implican obras en gasoductos sin cambiar la fuente de calor) son posibles si tales inversiones dan lugar a mejoras en la eficiencia energética de los sistemas de calefacción urbana. Las inversiones en producción de calor solo son posibles si se basan exclusivamente en fuentes de energía renovables y en consonancia con los requisitos de la Directiva sobre fuentes de energía renovables.</w:t>
      </w:r>
    </w:p>
    <w:p w:rsidR="00786B3E" w:rsidRDefault="00786B3E" w:rsidP="00786B3E">
      <w:r>
        <w:lastRenderedPageBreak/>
        <w:t>Para el primer proyecto («Inversión en el uso del calor residual por un centro de datos»), la información facilitada es insuficiente para permitir a la Comisión determinar si la inversión prevista está destinada a la rehabilitación o mejora de la red o a cambiar la fuente de calor del sistema de calefacción urbana</w:t>
      </w:r>
      <w:hyperlink w:anchor="scroll-bookmark-498" w:history="1">
        <w:r>
          <w:rPr>
            <w:rStyle w:val="Hipervnculo"/>
          </w:rPr>
          <w:t>[1]</w:t>
        </w:r>
      </w:hyperlink>
      <w:r>
        <w:t xml:space="preserve">. Por lo tanto, no estamos en condiciones de dar una respuesta concluyente.   Si el proyecto se refiere a una mejora de la red de calefacción urbana, podría ser subvencionable en virtud del artículo 8, apartado 2, letra g), del FTJ, primera alternativa (rehabilitación y mejora de las redes de calefacción urbana), siempre que la inversión no cambie la fuente de calor del sistema actual que suministra calor a los edificios circundantes a que se refiere la pregunta. Si la inversión cambia la fuente de calor del sistema existente, se aplicaría la segunda alternativa del artículo 8, apartado 2, letra g), del FTJ (inversiones en producción de calor), y la inversión no sería subvencionable, </w:t>
      </w:r>
      <w:r w:rsidR="002F3719">
        <w:t xml:space="preserve">ya que, </w:t>
      </w:r>
      <w:r>
        <w:t>el calor residual no es una fuente de energía renovable.</w:t>
      </w:r>
    </w:p>
    <w:p w:rsidR="00786B3E" w:rsidRDefault="00786B3E" w:rsidP="00786B3E">
      <w:r>
        <w:t xml:space="preserve">Para el segundo proyecto («Inversión en el uso del calor residual de las aguas residuales»), la falta de información mencionada anteriormente es irrelevante, </w:t>
      </w:r>
      <w:r w:rsidR="002F3719">
        <w:t xml:space="preserve">ya que, </w:t>
      </w:r>
      <w:r>
        <w:t>el proyecto es subvencionable en cualquier caso. Esto se debe a que este calor se considera energía ambiente y, por tanto, una fuente de energía renovable con arreglo a la Directiva sobre fuentes de energía renovables. Así pues, el proyecto podría ser subvencionable con arreglo al artículo 8, apartado 2, letra g), 2.a alternativa (inversiones en producción de calor).</w:t>
      </w:r>
    </w:p>
    <w:p w:rsidR="00786B3E" w:rsidRDefault="00786B3E" w:rsidP="00786B3E"/>
    <w:p w:rsidR="00786B3E" w:rsidRDefault="00FC0FB1" w:rsidP="00786B3E">
      <w:hyperlink w:anchor="scroll-bookmark-499" w:history="1">
        <w:r w:rsidR="00786B3E">
          <w:rPr>
            <w:rStyle w:val="Hipervnculo"/>
          </w:rPr>
          <w:t>[1]</w:t>
        </w:r>
      </w:hyperlink>
      <w:r w:rsidR="00786B3E">
        <w:t xml:space="preserve"> Tampoco está claro si las redes en cuestión están cubiertas por el anexo I de la Directiva 2003/87/CE (Directiva RCDE).</w:t>
      </w:r>
    </w:p>
    <w:p w:rsidR="00786B3E" w:rsidRDefault="00786B3E" w:rsidP="00786B3E"/>
    <w:p w:rsidR="00786B3E" w:rsidRDefault="00786B3E" w:rsidP="00786B3E"/>
    <w:p w:rsidR="00786B3E" w:rsidRDefault="00786B3E" w:rsidP="00786B3E"/>
    <w:p w:rsidR="00786B3E" w:rsidRDefault="00786B3E" w:rsidP="00786B3E">
      <w:pPr>
        <w:pStyle w:val="Ttulo1"/>
      </w:pPr>
      <w:bookmarkStart w:id="436" w:name="scroll-bookmark-500"/>
      <w:bookmarkStart w:id="437" w:name="scroll-bookmark-501"/>
      <w:bookmarkEnd w:id="436"/>
      <w:r>
        <w:t>QA00245 — DLP — límite máximo de selección conjunta, costes de gestión</w:t>
      </w:r>
      <w:bookmarkEnd w:id="437"/>
    </w:p>
    <w:p w:rsidR="00786B3E" w:rsidRDefault="00786B3E" w:rsidP="00786B3E">
      <w:r>
        <w:rPr>
          <w:noProof/>
          <w:lang w:val="es-ES"/>
        </w:rPr>
        <w:drawing>
          <wp:inline distT="0" distB="0" distL="0" distR="0" wp14:anchorId="4C5B10AB" wp14:editId="5C9B3ECB">
            <wp:extent cx="152435" cy="152435"/>
            <wp:effectExtent l="0" t="0" r="0" b="0"/>
            <wp:docPr id="100879" name="Imagen 1008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31 (3) y 34 (2) del RDC</w:t>
      </w:r>
    </w:p>
    <w:p w:rsidR="00786B3E" w:rsidRDefault="00786B3E" w:rsidP="00786B3E">
      <w:r>
        <w:rPr>
          <w:noProof/>
          <w:lang w:val="es-ES"/>
        </w:rPr>
        <w:drawing>
          <wp:inline distT="0" distB="0" distL="0" distR="0" wp14:anchorId="4AC4E74F" wp14:editId="7EEA9B4F">
            <wp:extent cx="152435" cy="152435"/>
            <wp:effectExtent l="0" t="0" r="0" b="0"/>
            <wp:docPr id="100881" name="Imagen 1008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786B3E" w:rsidRDefault="00786B3E" w:rsidP="00786B3E"/>
    <w:p w:rsidR="00786B3E" w:rsidRDefault="00786B3E" w:rsidP="00786B3E">
      <w:r>
        <w:t>La autoridad de gestión (AG) del programa regional del FSE + Sardegna 2021-2027 (FSE + RP Sardegna 2021-2027) está a punto de lanzar una convocatoria relacionada con la formación y las políticas activas en los sectores de la economía verde y azul, en la que participan los grupos de acción local (GAL) de Cerdeña.</w:t>
      </w:r>
    </w:p>
    <w:p w:rsidR="00786B3E" w:rsidRDefault="00786B3E" w:rsidP="00786B3E">
      <w:r>
        <w:t>La estrategia de desarrollo local participativo (DLP) del FSE + prevé una estrecha coordinación entre los fondos que invierten en los mismos territorios (es decir, el Feader y el FEDER), a fin de garantizar la sinergia y complementariedad a lo largo de toda la ejecución.</w:t>
      </w:r>
    </w:p>
    <w:p w:rsidR="00786B3E" w:rsidRDefault="00786B3E" w:rsidP="00786B3E">
      <w:r>
        <w:lastRenderedPageBreak/>
        <w:t>En este punto, es fundamental que la AG del PR FSE + Sardegna 2021-2027 disipe cualquier duda sobre la interpretación de los dos artículos siguientes.</w:t>
      </w:r>
    </w:p>
    <w:p w:rsidR="00786B3E" w:rsidRDefault="00786B3E" w:rsidP="00786B3E"/>
    <w:p w:rsidR="00786B3E" w:rsidRDefault="00786B3E" w:rsidP="00786B3E">
      <w:pPr>
        <w:pStyle w:val="P68B1DB1-Normal1"/>
      </w:pPr>
      <w:r>
        <w:t>Pregunta 1 (incluidos los hechos e información pertinentes):</w:t>
      </w:r>
    </w:p>
    <w:p w:rsidR="00786B3E" w:rsidRDefault="00713B5D" w:rsidP="00786B3E">
      <w:r>
        <w:t>El</w:t>
      </w:r>
      <w:r>
        <w:rPr>
          <w:b/>
        </w:rPr>
        <w:t xml:space="preserve"> artículo</w:t>
      </w:r>
      <w:r w:rsidR="00786B3E">
        <w:rPr>
          <w:b/>
        </w:rPr>
        <w:t xml:space="preserve"> 31, apartado 3, del Reglamento (UE) 2021/1060 </w:t>
      </w:r>
      <w:r w:rsidR="00786B3E">
        <w:t>establece lo siguiente:</w:t>
      </w:r>
    </w:p>
    <w:p w:rsidR="00786B3E" w:rsidRDefault="00786B3E" w:rsidP="00786B3E">
      <w:r>
        <w:rPr>
          <w:i/>
        </w:rPr>
        <w:t>«Cuando la ayuda a las estrategias a que se refiere el apartado 2, letra c), esté disponible a través de más de un Fondo, las autoridades de gestión pertinentes organizarán una convocatoria conjunta para la selección de dichas estrategias y establecerán un comité conjunto para todos los Fondos afectados a fin de supervisar la ejecución de dichas estrategias</w:t>
      </w:r>
      <w:r>
        <w:t>».</w:t>
      </w:r>
    </w:p>
    <w:p w:rsidR="00786B3E" w:rsidRDefault="00786B3E" w:rsidP="00786B3E">
      <w:r>
        <w:t>Dada la naturaleza específica de los Fondos (es decir, el FSE +, el Feader, etc.), los sistemas de gestión y control y los procedimientos, ¿es posible publicar convocatorias separadas para seleccionar estrategias de desarrollo local para el FSE + y el Feader si se garantiza que la ayuda de ambos fondos es complementaria?</w:t>
      </w:r>
    </w:p>
    <w:p w:rsidR="00786B3E" w:rsidRDefault="00786B3E" w:rsidP="00786B3E"/>
    <w:p w:rsidR="00786B3E" w:rsidRDefault="00786B3E" w:rsidP="00786B3E">
      <w:pPr>
        <w:pStyle w:val="P68B1DB1-Normal1"/>
      </w:pPr>
      <w:r>
        <w:t>Pregunta 2:</w:t>
      </w:r>
    </w:p>
    <w:p w:rsidR="00786B3E" w:rsidRDefault="00786B3E" w:rsidP="00786B3E">
      <w:r>
        <w:t xml:space="preserve">De conformidad con el artículo 34, apartado 2, </w:t>
      </w:r>
      <w:r>
        <w:rPr>
          <w:b/>
        </w:rPr>
        <w:t xml:space="preserve">párrafo segundo, del Reglamento (UE) 2021/1060, </w:t>
      </w:r>
      <w:r w:rsidR="00893DFD">
        <w:rPr>
          <w:b/>
        </w:rPr>
        <w:t>“</w:t>
      </w:r>
      <w:r>
        <w:rPr>
          <w:i/>
        </w:rPr>
        <w:t xml:space="preserve">la ayuda a que se refiere el apartado 1, letra c), no excederá del 25 % de la contribución pública total a </w:t>
      </w:r>
      <w:r w:rsidR="00713B5D">
        <w:rPr>
          <w:i/>
        </w:rPr>
        <w:t>la</w:t>
      </w:r>
      <w:r w:rsidR="00713B5D">
        <w:t xml:space="preserve"> estrategia</w:t>
      </w:r>
      <w:r>
        <w:t>».</w:t>
      </w:r>
    </w:p>
    <w:p w:rsidR="00786B3E" w:rsidRDefault="00786B3E" w:rsidP="00786B3E">
      <w:r>
        <w:rPr>
          <w:i/>
        </w:rPr>
        <w:t xml:space="preserve">Sin embargo, en el período 2014-2020, el artículo 35, apartado 2, </w:t>
      </w:r>
      <w:hyperlink r:id="rId508" w:history="1">
        <w:r>
          <w:rPr>
            <w:rStyle w:val="Hipervnculo"/>
          </w:rPr>
          <w:t>del Reglamento (UE) n.o</w:t>
        </w:r>
      </w:hyperlink>
      <w:r>
        <w:rPr>
          <w:i/>
        </w:rPr>
        <w:t xml:space="preserve"> 1303/2013 establecía claramente que «la ayuda para los costes de funcionamiento y animación a que se refiere el apartado 1, letras d) y e), no superará el 25 % del gasto público </w:t>
      </w:r>
      <w:r>
        <w:rPr>
          <w:i/>
          <w:u w:val="single"/>
        </w:rPr>
        <w:t>total</w:t>
      </w:r>
      <w:r>
        <w:rPr>
          <w:i/>
        </w:rPr>
        <w:t xml:space="preserve"> realizado en el marco de la estrategia de desarrollo local participativo</w:t>
      </w:r>
      <w:r>
        <w:t>».</w:t>
      </w:r>
    </w:p>
    <w:p w:rsidR="00786B3E" w:rsidRDefault="00786B3E" w:rsidP="00786B3E"/>
    <w:p w:rsidR="00786B3E" w:rsidRDefault="00786B3E" w:rsidP="00786B3E">
      <w:r>
        <w:t>Los GAL serán organismos intermedios, por lo que necesitan recursos claros para reforzar la estructura organizativa, por lo que las actividades de conformidad con el artículo 34, apartado 1, letra c), se centrarán más bien en la gestión de las estrategias que no esté estrictamente vinculada a los gastos incurridos durante la aplicación de la estrategia.</w:t>
      </w:r>
    </w:p>
    <w:p w:rsidR="00786B3E" w:rsidRDefault="00786B3E" w:rsidP="00786B3E">
      <w:r>
        <w:t>Por lo tanto, y teniendo en cuenta la diferente redacción de los Reglamentos de Ejecución 2014-2020 y 2021-2027, la AG desea publicar un anuncio con el 25 % del presupuesto asignado a la estrategia y no con los gastos reales efectuados. ¿Se trata de una interpretación viable de la disposición?</w:t>
      </w:r>
    </w:p>
    <w:p w:rsidR="00786B3E" w:rsidRDefault="00786B3E" w:rsidP="00786B3E"/>
    <w:p w:rsidR="00786B3E" w:rsidRDefault="00786B3E" w:rsidP="00786B3E">
      <w:pPr>
        <w:pStyle w:val="P68B1DB1-Normal1"/>
      </w:pPr>
      <w:r>
        <w:t>Respuesta.</w:t>
      </w:r>
    </w:p>
    <w:p w:rsidR="00786B3E" w:rsidRDefault="00786B3E" w:rsidP="00786B3E">
      <w:r>
        <w:t xml:space="preserve">(1) De conformidad con el artículo 31, apartado 1, cuando las mismas estrategias de desarrollo local vayan a recibir ayuda de más de un fondo, las autoridades de gestión pertinentes de los programas (y Fondos) de que se trate organizarán una convocatoria conjunta de selección de dichas estrategias. Por lo tanto, el artículo no deja ningún margen de reflexión, sino que establece como obligación la publicación de una convocatoria conjunta de selección y la creación de un comité conjunto para el </w:t>
      </w:r>
      <w:r>
        <w:lastRenderedPageBreak/>
        <w:t>seguimiento de dichas estrategias. Este requisito no se aplica a las estrategias que solo reciben apoyo de un Fondo.</w:t>
      </w:r>
    </w:p>
    <w:p w:rsidR="00786B3E" w:rsidRDefault="00786B3E" w:rsidP="00786B3E">
      <w:r>
        <w:t>Por lo tanto, teniendo en cuenta que las estrategias específicas en cuestión pueden recibir ayuda de más de un Fondo, el enfoque propuesto no se ajusta a la disposición reglamentaria.</w:t>
      </w:r>
    </w:p>
    <w:p w:rsidR="00786B3E" w:rsidRDefault="00786B3E" w:rsidP="00786B3E">
      <w:r>
        <w:t xml:space="preserve">(2) Como ya se ha explicado en </w:t>
      </w:r>
      <w:r w:rsidR="00F70C5D">
        <w:t>la QA</w:t>
      </w:r>
      <w:r>
        <w:t>00058, el límite máximo del 25 % está vinculado a la contribución pública total de (todos) los Fondos. Tal como se define en el artículo 2, punto 28, del RDC, el término «contribución pública» está vinculado a las fuentes de financiación. Por lo tanto, el límite máximo del 25 %, tal como se define en el artículo 34, apartado 2, del RDC, debe calcularse sobre la base de la contribución pública total a la estrategia y no está vinculado al importe de los gastos efectuados en el marco de dichas estrategias.</w:t>
      </w:r>
    </w:p>
    <w:p w:rsidR="00786B3E" w:rsidRDefault="00786B3E" w:rsidP="00786B3E">
      <w:r>
        <w:t>Cabe señalar que la contribución pública total a la estrategia puede ser igual o inferior al presupuesto total asignado a la estrategia en función de la disponibilidad de contribución no pública.</w:t>
      </w:r>
    </w:p>
    <w:p w:rsidR="00786B3E" w:rsidRDefault="00786B3E" w:rsidP="00786B3E"/>
    <w:p w:rsidR="00786B3E" w:rsidRDefault="00786B3E" w:rsidP="00786B3E"/>
    <w:p w:rsidR="00786B3E" w:rsidRDefault="00786B3E" w:rsidP="00786B3E">
      <w:pPr>
        <w:pStyle w:val="Ttulo1"/>
      </w:pPr>
      <w:bookmarkStart w:id="438" w:name="scroll-bookmark-502"/>
      <w:bookmarkStart w:id="439" w:name="scroll-bookmark-503"/>
      <w:bookmarkEnd w:id="438"/>
      <w:r>
        <w:t>QA00246 — Pregunta relativa a la financiación a tanto alzado a nivel de los beneficiarios</w:t>
      </w:r>
      <w:bookmarkEnd w:id="439"/>
    </w:p>
    <w:p w:rsidR="00786B3E" w:rsidRDefault="00786B3E" w:rsidP="00786B3E">
      <w:r>
        <w:rPr>
          <w:noProof/>
          <w:lang w:val="es-ES"/>
        </w:rPr>
        <w:drawing>
          <wp:inline distT="0" distB="0" distL="0" distR="0" wp14:anchorId="09552F32" wp14:editId="240050A1">
            <wp:extent cx="152435" cy="152435"/>
            <wp:effectExtent l="0" t="0" r="0" b="0"/>
            <wp:docPr id="100883" name="Imagen 1008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54 a 56 del RDC </w:t>
      </w:r>
    </w:p>
    <w:p w:rsidR="00786B3E" w:rsidRDefault="00786B3E" w:rsidP="00786B3E">
      <w:r>
        <w:rPr>
          <w:noProof/>
          <w:lang w:val="es-ES"/>
        </w:rPr>
        <w:drawing>
          <wp:inline distT="0" distB="0" distL="0" distR="0" wp14:anchorId="3B22048F" wp14:editId="2315B426">
            <wp:extent cx="152435" cy="152435"/>
            <wp:effectExtent l="0" t="0" r="0" b="0"/>
            <wp:docPr id="100885" name="Imagen 1008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Observación introductoria:</w:t>
      </w:r>
    </w:p>
    <w:p w:rsidR="00786B3E" w:rsidRDefault="00786B3E" w:rsidP="00786B3E">
      <w:r>
        <w:t>La autoridad de gestión de un programa Interreg ha establecido el modelo de OCS que ofrece diferentes opciones presupuestarias para que los beneficiarios sean seleccionados en una convocatoria. Cada opción presupuestaria incluye diferentes tipos de costes. Varias de estas opciones incluyen una financiación a tanto alzado «hasta el...%», tal como se define en el RDC (véase el resumen a continuación).</w:t>
      </w:r>
    </w:p>
    <w:p w:rsidR="00786B3E" w:rsidRDefault="00786B3E" w:rsidP="00786B3E">
      <w:r>
        <w:t>Como parte de la planificación de los presupuestos del proyecto, los socios del proyecto seleccionan la opción presupuestaria más adecuada en la solicitud de subvención y definen el porcentaje exacto dentro del intervalo indicado para los tipos fijos. Una vez celebrado el acuerdo de financiación, las opciones presupuestarias, incluidos los tipos de costes, son fijas e inalterables. </w:t>
      </w:r>
    </w:p>
    <w:p w:rsidR="00786B3E" w:rsidRDefault="00786B3E" w:rsidP="00786B3E">
      <w:r>
        <w:t>No es posible modificar las opciones presupuestarias durante la ejecución del proyecto.</w:t>
      </w:r>
    </w:p>
    <w:p w:rsidR="00786B3E" w:rsidRDefault="00786B3E" w:rsidP="00786B3E"/>
    <w:tbl>
      <w:tblPr>
        <w:tblStyle w:val="ScrollTableNormal"/>
        <w:tblW w:w="5000" w:type="pct"/>
        <w:tblLook w:val="0000" w:firstRow="0" w:lastRow="0" w:firstColumn="0" w:lastColumn="0" w:noHBand="0" w:noVBand="0"/>
      </w:tblPr>
      <w:tblGrid>
        <w:gridCol w:w="1257"/>
        <w:gridCol w:w="1429"/>
        <w:gridCol w:w="1452"/>
        <w:gridCol w:w="1452"/>
        <w:gridCol w:w="1452"/>
        <w:gridCol w:w="1452"/>
      </w:tblGrid>
      <w:tr w:rsidR="00786B3E" w:rsidTr="00786B3E">
        <w:tc>
          <w:tcPr>
            <w:tcW w:w="0" w:type="auto"/>
          </w:tcPr>
          <w:p w:rsidR="00786B3E" w:rsidRDefault="00786B3E" w:rsidP="00786B3E">
            <w:pPr>
              <w:pStyle w:val="P68B1DB1-Normal5"/>
              <w:spacing w:after="0"/>
              <w:jc w:val="left"/>
            </w:pPr>
            <w:r>
              <w:t>Fase de proyecto</w:t>
            </w:r>
          </w:p>
        </w:tc>
        <w:tc>
          <w:tcPr>
            <w:tcW w:w="0" w:type="auto"/>
          </w:tcPr>
          <w:p w:rsidR="00786B3E" w:rsidRDefault="00786B3E" w:rsidP="00786B3E">
            <w:pPr>
              <w:pStyle w:val="P68B1DB1-Normal5"/>
              <w:spacing w:after="0"/>
              <w:jc w:val="left"/>
            </w:pPr>
            <w:r>
              <w:t>Categoría de costes</w:t>
            </w:r>
          </w:p>
        </w:tc>
        <w:tc>
          <w:tcPr>
            <w:tcW w:w="0" w:type="auto"/>
          </w:tcPr>
          <w:p w:rsidR="00786B3E" w:rsidRDefault="00786B3E" w:rsidP="00786B3E">
            <w:pPr>
              <w:pStyle w:val="P68B1DB1-Normal5"/>
              <w:spacing w:after="0"/>
              <w:jc w:val="left"/>
            </w:pPr>
            <w:r>
              <w:t>Opción presupuestaria 1</w:t>
            </w:r>
          </w:p>
        </w:tc>
        <w:tc>
          <w:tcPr>
            <w:tcW w:w="0" w:type="auto"/>
          </w:tcPr>
          <w:p w:rsidR="00786B3E" w:rsidRDefault="00786B3E" w:rsidP="00786B3E">
            <w:pPr>
              <w:pStyle w:val="P68B1DB1-Normal5"/>
              <w:spacing w:after="0"/>
              <w:jc w:val="left"/>
            </w:pPr>
            <w:r>
              <w:t>Opción presupuestaria 2</w:t>
            </w:r>
          </w:p>
        </w:tc>
        <w:tc>
          <w:tcPr>
            <w:tcW w:w="0" w:type="auto"/>
          </w:tcPr>
          <w:p w:rsidR="00786B3E" w:rsidRDefault="00786B3E" w:rsidP="00786B3E">
            <w:pPr>
              <w:pStyle w:val="P68B1DB1-Normal5"/>
              <w:spacing w:after="0"/>
              <w:jc w:val="left"/>
            </w:pPr>
            <w:r>
              <w:t>Opción presupuestaria 3</w:t>
            </w:r>
          </w:p>
        </w:tc>
        <w:tc>
          <w:tcPr>
            <w:tcW w:w="0" w:type="auto"/>
          </w:tcPr>
          <w:p w:rsidR="00786B3E" w:rsidRDefault="00786B3E" w:rsidP="00786B3E">
            <w:pPr>
              <w:pStyle w:val="P68B1DB1-Normal5"/>
              <w:spacing w:after="0"/>
              <w:jc w:val="left"/>
            </w:pPr>
            <w:r>
              <w:t>Opción presupuestaria 4</w:t>
            </w:r>
          </w:p>
        </w:tc>
      </w:tr>
      <w:tr w:rsidR="00786B3E" w:rsidTr="00786B3E">
        <w:tc>
          <w:tcPr>
            <w:tcW w:w="0" w:type="auto"/>
          </w:tcPr>
          <w:p w:rsidR="00786B3E" w:rsidRDefault="00786B3E" w:rsidP="00786B3E">
            <w:pPr>
              <w:pStyle w:val="P68B1DB1-Normal5"/>
              <w:spacing w:after="0"/>
              <w:jc w:val="left"/>
            </w:pPr>
            <w:r>
              <w:lastRenderedPageBreak/>
              <w:t>Preparación</w:t>
            </w:r>
          </w:p>
        </w:tc>
        <w:tc>
          <w:tcPr>
            <w:tcW w:w="0" w:type="auto"/>
          </w:tcPr>
          <w:p w:rsidR="00786B3E" w:rsidRDefault="00786B3E" w:rsidP="00786B3E">
            <w:pPr>
              <w:pStyle w:val="P68B1DB1-Normal2"/>
              <w:spacing w:after="0"/>
              <w:jc w:val="left"/>
            </w:pPr>
            <w:r>
              <w:t>—</w:t>
            </w:r>
          </w:p>
        </w:tc>
        <w:tc>
          <w:tcPr>
            <w:tcW w:w="0" w:type="auto"/>
            <w:gridSpan w:val="4"/>
          </w:tcPr>
          <w:p w:rsidR="00786B3E" w:rsidRDefault="00786B3E" w:rsidP="00786B3E">
            <w:pPr>
              <w:pStyle w:val="P68B1DB1-Normal2"/>
              <w:spacing w:after="0"/>
              <w:jc w:val="left"/>
            </w:pPr>
            <w:r>
              <w:t>Cantidad a tanto alzado para los costes preparatorios: 13,200 EUR por proyecto (solo socio principal) *</w:t>
            </w:r>
          </w:p>
        </w:tc>
      </w:tr>
      <w:tr w:rsidR="00786B3E" w:rsidTr="00786B3E">
        <w:tc>
          <w:tcPr>
            <w:tcW w:w="0" w:type="auto"/>
            <w:vMerge w:val="restart"/>
          </w:tcPr>
          <w:p w:rsidR="00786B3E" w:rsidRDefault="00786B3E" w:rsidP="00786B3E">
            <w:pPr>
              <w:pStyle w:val="P68B1DB1-Normal5"/>
              <w:spacing w:after="0"/>
              <w:jc w:val="left"/>
            </w:pPr>
            <w:r>
              <w:t>Aplicación</w:t>
            </w:r>
          </w:p>
        </w:tc>
        <w:tc>
          <w:tcPr>
            <w:tcW w:w="0" w:type="auto"/>
          </w:tcPr>
          <w:p w:rsidR="00786B3E" w:rsidRDefault="00786B3E" w:rsidP="00786B3E">
            <w:pPr>
              <w:pStyle w:val="P68B1DB1-Normal2"/>
              <w:spacing w:after="0"/>
              <w:jc w:val="left"/>
            </w:pPr>
            <w:r>
              <w:t>KK 1 Gastos de personal</w:t>
            </w:r>
          </w:p>
        </w:tc>
        <w:tc>
          <w:tcPr>
            <w:tcW w:w="0" w:type="auto"/>
          </w:tcPr>
          <w:p w:rsidR="00786B3E" w:rsidRDefault="00786B3E" w:rsidP="00786B3E">
            <w:pPr>
              <w:pStyle w:val="P68B1DB1-Normal2"/>
              <w:spacing w:after="0"/>
              <w:jc w:val="left"/>
            </w:pPr>
            <w:r>
              <w:t>Costes reales.</w:t>
            </w:r>
          </w:p>
        </w:tc>
        <w:tc>
          <w:tcPr>
            <w:tcW w:w="0" w:type="auto"/>
          </w:tcPr>
          <w:p w:rsidR="00786B3E" w:rsidRDefault="00786B3E" w:rsidP="00786B3E">
            <w:pPr>
              <w:pStyle w:val="P68B1DB1-Normal2"/>
              <w:spacing w:after="0"/>
              <w:jc w:val="left"/>
            </w:pPr>
            <w:r>
              <w:t>Costes reales.</w:t>
            </w:r>
          </w:p>
        </w:tc>
        <w:tc>
          <w:tcPr>
            <w:tcW w:w="0" w:type="auto"/>
          </w:tcPr>
          <w:p w:rsidR="00786B3E" w:rsidRDefault="00786B3E" w:rsidP="00786B3E">
            <w:pPr>
              <w:pStyle w:val="P68B1DB1-Normal2"/>
              <w:spacing w:after="0"/>
              <w:jc w:val="left"/>
            </w:pPr>
            <w:r>
              <w:t xml:space="preserve">Porcentaje a tanto alzado de </w:t>
            </w:r>
            <w:r>
              <w:rPr>
                <w:b/>
              </w:rPr>
              <w:t>hasta el</w:t>
            </w:r>
            <w:r>
              <w:t xml:space="preserve"> 10 % de los gastos reales efectuados por KK 4-6 *</w:t>
            </w:r>
          </w:p>
        </w:tc>
        <w:tc>
          <w:tcPr>
            <w:tcW w:w="0" w:type="auto"/>
          </w:tcPr>
          <w:p w:rsidR="00786B3E" w:rsidRDefault="00786B3E" w:rsidP="00786B3E">
            <w:pPr>
              <w:pStyle w:val="P68B1DB1-Normal2"/>
              <w:spacing w:after="0"/>
              <w:jc w:val="left"/>
            </w:pPr>
            <w:r>
              <w:t xml:space="preserve">Porcentaje a tanto alzado de </w:t>
            </w:r>
            <w:r>
              <w:rPr>
                <w:b/>
              </w:rPr>
              <w:t xml:space="preserve">hasta el </w:t>
            </w:r>
            <w:r>
              <w:t>20 % de los gastos reales de KK 4 y KK5 *</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2 Costes de oficina</w:t>
            </w:r>
          </w:p>
        </w:tc>
        <w:tc>
          <w:tcPr>
            <w:tcW w:w="0" w:type="auto"/>
          </w:tcPr>
          <w:p w:rsidR="00786B3E" w:rsidRDefault="00786B3E" w:rsidP="00786B3E">
            <w:pPr>
              <w:pStyle w:val="P68B1DB1-Normal2"/>
              <w:spacing w:after="0"/>
              <w:jc w:val="left"/>
            </w:pPr>
            <w:r>
              <w:t>—</w:t>
            </w:r>
          </w:p>
        </w:tc>
        <w:tc>
          <w:tcPr>
            <w:tcW w:w="0" w:type="auto"/>
            <w:gridSpan w:val="3"/>
          </w:tcPr>
          <w:p w:rsidR="00786B3E" w:rsidRDefault="00786B3E" w:rsidP="00786B3E">
            <w:pPr>
              <w:pStyle w:val="P68B1DB1-Normal2"/>
              <w:spacing w:after="0"/>
              <w:jc w:val="left"/>
            </w:pPr>
            <w:r>
              <w:t xml:space="preserve">Porcentaje a tanto alzado </w:t>
            </w:r>
            <w:r>
              <w:rPr>
                <w:b/>
              </w:rPr>
              <w:t>de hasta el</w:t>
            </w:r>
            <w:r>
              <w:t xml:space="preserve"> 10 % para los gastos de personal (KK1) *</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3 Gastos de viaje</w:t>
            </w:r>
          </w:p>
        </w:tc>
        <w:tc>
          <w:tcPr>
            <w:tcW w:w="0" w:type="auto"/>
          </w:tcPr>
          <w:p w:rsidR="00786B3E" w:rsidRDefault="00786B3E" w:rsidP="00786B3E">
            <w:pPr>
              <w:pStyle w:val="P68B1DB1-Normal2"/>
              <w:spacing w:after="0"/>
              <w:jc w:val="left"/>
            </w:pPr>
            <w:r>
              <w:t>—</w:t>
            </w:r>
          </w:p>
        </w:tc>
        <w:tc>
          <w:tcPr>
            <w:tcW w:w="0" w:type="auto"/>
            <w:gridSpan w:val="3"/>
          </w:tcPr>
          <w:p w:rsidR="00786B3E" w:rsidRDefault="00786B3E" w:rsidP="00786B3E">
            <w:pPr>
              <w:pStyle w:val="P68B1DB1-Normal2"/>
              <w:spacing w:after="0"/>
              <w:jc w:val="left"/>
            </w:pPr>
            <w:r>
              <w:t>Cantidad a tanto alzado para los gastos de personal (KK1) *</w:t>
            </w:r>
          </w:p>
          <w:p w:rsidR="00786B3E" w:rsidRDefault="00786B3E" w:rsidP="00786B3E">
            <w:pPr>
              <w:pStyle w:val="P68B1DB1-Normal2"/>
              <w:spacing w:after="0"/>
              <w:jc w:val="left"/>
            </w:pPr>
            <w:r>
              <w:t xml:space="preserve">De socios </w:t>
            </w:r>
            <w:r>
              <w:rPr>
                <w:b/>
              </w:rPr>
              <w:t>hasta el</w:t>
            </w:r>
            <w:r>
              <w:t xml:space="preserve"> 4 %</w:t>
            </w:r>
          </w:p>
          <w:p w:rsidR="00786B3E" w:rsidRDefault="00786B3E" w:rsidP="00786B3E">
            <w:pPr>
              <w:pStyle w:val="P68B1DB1-Normal2"/>
              <w:spacing w:after="0"/>
              <w:jc w:val="left"/>
            </w:pPr>
            <w:r>
              <w:t xml:space="preserve">Socios de PL </w:t>
            </w:r>
            <w:r>
              <w:rPr>
                <w:b/>
              </w:rPr>
              <w:t>hasta el</w:t>
            </w:r>
            <w:r>
              <w:t xml:space="preserve"> 6 %</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4 Costes de servicios externos</w:t>
            </w:r>
          </w:p>
        </w:tc>
        <w:tc>
          <w:tcPr>
            <w:tcW w:w="0" w:type="auto"/>
          </w:tcPr>
          <w:p w:rsidR="00786B3E" w:rsidRDefault="00786B3E" w:rsidP="00786B3E">
            <w:pPr>
              <w:pStyle w:val="P68B1DB1-Normal2"/>
              <w:spacing w:after="0"/>
              <w:jc w:val="left"/>
            </w:pPr>
            <w:r>
              <w:t>—</w:t>
            </w:r>
          </w:p>
        </w:tc>
        <w:tc>
          <w:tcPr>
            <w:tcW w:w="0" w:type="auto"/>
            <w:gridSpan w:val="3"/>
          </w:tcPr>
          <w:p w:rsidR="00786B3E" w:rsidRDefault="00786B3E" w:rsidP="00786B3E">
            <w:pPr>
              <w:pStyle w:val="P68B1DB1-Normal2"/>
              <w:spacing w:after="0"/>
              <w:jc w:val="left"/>
            </w:pPr>
            <w:r>
              <w:t>Costes reales.</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5 Equipos</w:t>
            </w:r>
          </w:p>
        </w:tc>
        <w:tc>
          <w:tcPr>
            <w:tcW w:w="0" w:type="auto"/>
          </w:tcPr>
          <w:p w:rsidR="00786B3E" w:rsidRDefault="00786B3E" w:rsidP="00786B3E">
            <w:pPr>
              <w:pStyle w:val="P68B1DB1-Normal2"/>
              <w:spacing w:after="0"/>
              <w:jc w:val="left"/>
            </w:pPr>
            <w:r>
              <w:t>—</w:t>
            </w:r>
          </w:p>
        </w:tc>
        <w:tc>
          <w:tcPr>
            <w:tcW w:w="0" w:type="auto"/>
            <w:gridSpan w:val="3"/>
          </w:tcPr>
          <w:p w:rsidR="00786B3E" w:rsidRDefault="00786B3E" w:rsidP="00786B3E">
            <w:pPr>
              <w:pStyle w:val="P68B1DB1-Normal2"/>
              <w:spacing w:after="0"/>
              <w:jc w:val="left"/>
            </w:pPr>
            <w:r>
              <w:t>Costes reales.</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6 Infraestructura</w:t>
            </w:r>
          </w:p>
        </w:tc>
        <w:tc>
          <w:tcPr>
            <w:tcW w:w="0" w:type="auto"/>
          </w:tcPr>
          <w:p w:rsidR="00786B3E" w:rsidRDefault="00786B3E" w:rsidP="00786B3E">
            <w:pPr>
              <w:pStyle w:val="P68B1DB1-Normal2"/>
              <w:spacing w:after="0"/>
              <w:jc w:val="left"/>
            </w:pPr>
            <w:r>
              <w:t>—</w:t>
            </w:r>
          </w:p>
        </w:tc>
        <w:tc>
          <w:tcPr>
            <w:tcW w:w="0" w:type="auto"/>
            <w:gridSpan w:val="2"/>
          </w:tcPr>
          <w:p w:rsidR="00786B3E" w:rsidRDefault="00786B3E" w:rsidP="00786B3E">
            <w:pPr>
              <w:pStyle w:val="P68B1DB1-Normal2"/>
              <w:spacing w:after="0"/>
              <w:jc w:val="left"/>
            </w:pPr>
            <w:r>
              <w:t>Costes reales.</w:t>
            </w:r>
          </w:p>
        </w:tc>
        <w:tc>
          <w:tcPr>
            <w:tcW w:w="0" w:type="auto"/>
          </w:tcPr>
          <w:p w:rsidR="00786B3E" w:rsidRDefault="00786B3E" w:rsidP="00786B3E">
            <w:pPr>
              <w:pStyle w:val="P68B1DB1-Normal2"/>
              <w:spacing w:after="0"/>
              <w:jc w:val="left"/>
            </w:pPr>
            <w:r>
              <w:t>—</w:t>
            </w:r>
          </w:p>
        </w:tc>
      </w:tr>
      <w:tr w:rsidR="00786B3E" w:rsidTr="00786B3E">
        <w:tc>
          <w:tcPr>
            <w:tcW w:w="0" w:type="auto"/>
            <w:vMerge/>
          </w:tcPr>
          <w:p w:rsidR="00786B3E" w:rsidRDefault="00786B3E" w:rsidP="00786B3E">
            <w:pPr>
              <w:spacing w:after="0"/>
              <w:jc w:val="left"/>
            </w:pPr>
          </w:p>
        </w:tc>
        <w:tc>
          <w:tcPr>
            <w:tcW w:w="0" w:type="auto"/>
          </w:tcPr>
          <w:p w:rsidR="00786B3E" w:rsidRDefault="00786B3E" w:rsidP="00786B3E">
            <w:pPr>
              <w:pStyle w:val="P68B1DB1-Normal2"/>
              <w:spacing w:after="0"/>
              <w:jc w:val="left"/>
            </w:pPr>
            <w:r>
              <w:t>KK 7 Costes restantes</w:t>
            </w:r>
          </w:p>
        </w:tc>
        <w:tc>
          <w:tcPr>
            <w:tcW w:w="0" w:type="auto"/>
          </w:tcPr>
          <w:p w:rsidR="00786B3E" w:rsidRDefault="00786B3E" w:rsidP="00786B3E">
            <w:pPr>
              <w:pStyle w:val="P68B1DB1-Normal2"/>
              <w:spacing w:after="0"/>
              <w:jc w:val="left"/>
            </w:pPr>
            <w:r>
              <w:t xml:space="preserve">Porcentaje a tanto alzado de </w:t>
            </w:r>
            <w:r>
              <w:rPr>
                <w:b/>
              </w:rPr>
              <w:t>hasta el</w:t>
            </w:r>
            <w:r>
              <w:t xml:space="preserve"> 40 % para los gastos de personal (KK1)</w:t>
            </w:r>
          </w:p>
        </w:tc>
        <w:tc>
          <w:tcPr>
            <w:tcW w:w="0" w:type="auto"/>
          </w:tcPr>
          <w:p w:rsidR="00786B3E" w:rsidRDefault="00786B3E" w:rsidP="00786B3E">
            <w:pPr>
              <w:pStyle w:val="P68B1DB1-Normal2"/>
              <w:spacing w:after="0"/>
              <w:jc w:val="left"/>
            </w:pPr>
            <w:r>
              <w:t>—</w:t>
            </w:r>
          </w:p>
        </w:tc>
        <w:tc>
          <w:tcPr>
            <w:tcW w:w="0" w:type="auto"/>
          </w:tcPr>
          <w:p w:rsidR="00786B3E" w:rsidRDefault="00786B3E" w:rsidP="00786B3E">
            <w:pPr>
              <w:pStyle w:val="P68B1DB1-Normal2"/>
              <w:spacing w:after="0"/>
              <w:jc w:val="left"/>
            </w:pPr>
            <w:r>
              <w:t>—</w:t>
            </w:r>
          </w:p>
        </w:tc>
        <w:tc>
          <w:tcPr>
            <w:tcW w:w="0" w:type="auto"/>
          </w:tcPr>
          <w:p w:rsidR="00786B3E" w:rsidRDefault="00786B3E" w:rsidP="00786B3E">
            <w:pPr>
              <w:pStyle w:val="P68B1DB1-Normal2"/>
              <w:spacing w:after="0"/>
              <w:jc w:val="left"/>
            </w:pPr>
            <w:r>
              <w:t>—</w:t>
            </w:r>
          </w:p>
        </w:tc>
      </w:tr>
      <w:tr w:rsidR="00786B3E" w:rsidTr="00786B3E">
        <w:tc>
          <w:tcPr>
            <w:tcW w:w="0" w:type="auto"/>
          </w:tcPr>
          <w:p w:rsidR="00786B3E" w:rsidRDefault="00786B3E" w:rsidP="00786B3E">
            <w:pPr>
              <w:pStyle w:val="P68B1DB1-Normal5"/>
              <w:spacing w:after="0"/>
              <w:jc w:val="left"/>
            </w:pPr>
            <w:r>
              <w:t>Cierre</w:t>
            </w:r>
          </w:p>
        </w:tc>
        <w:tc>
          <w:tcPr>
            <w:tcW w:w="0" w:type="auto"/>
          </w:tcPr>
          <w:p w:rsidR="00786B3E" w:rsidRDefault="00786B3E" w:rsidP="00786B3E">
            <w:pPr>
              <w:pStyle w:val="P68B1DB1-Normal2"/>
              <w:spacing w:after="0"/>
              <w:jc w:val="left"/>
            </w:pPr>
            <w:r>
              <w:t>—</w:t>
            </w:r>
          </w:p>
        </w:tc>
        <w:tc>
          <w:tcPr>
            <w:tcW w:w="0" w:type="auto"/>
            <w:gridSpan w:val="4"/>
          </w:tcPr>
          <w:p w:rsidR="00786B3E" w:rsidRDefault="00786B3E" w:rsidP="00786B3E">
            <w:pPr>
              <w:pStyle w:val="P68B1DB1-Normal2"/>
              <w:spacing w:after="0"/>
              <w:jc w:val="left"/>
            </w:pPr>
            <w:r>
              <w:t>Cantidad a tanto alzado para los costes de cierre: 6,200 EUR por proyecto (solo socio principal) *</w:t>
            </w:r>
          </w:p>
        </w:tc>
      </w:tr>
    </w:tbl>
    <w:p w:rsidR="00786B3E" w:rsidRDefault="00786B3E" w:rsidP="00786B3E">
      <w:r>
        <w:t>* Es posible la exención total del uso del tipo fijo o de la cantidad a tanto alzado </w:t>
      </w:r>
    </w:p>
    <w:p w:rsidR="00786B3E" w:rsidRDefault="00786B3E" w:rsidP="00786B3E"/>
    <w:p w:rsidR="00786B3E" w:rsidRDefault="00786B3E" w:rsidP="00786B3E">
      <w:pPr>
        <w:pStyle w:val="P68B1DB1-Normal1"/>
      </w:pPr>
      <w:r>
        <w:t>Pregunta (incluidos los hechos y la información pertinentes):</w:t>
      </w:r>
    </w:p>
    <w:p w:rsidR="00786B3E" w:rsidRDefault="00786B3E" w:rsidP="00786B3E">
      <w:r>
        <w:t>¿Es posible que un beneficiario seleccione las opciones presupuestarias con diferentes OCS, así como diferentes porcentajes para tipos fijos dentro de una opción presupuestaria?</w:t>
      </w:r>
    </w:p>
    <w:p w:rsidR="00786B3E" w:rsidRDefault="00786B3E" w:rsidP="00786B3E">
      <w:r>
        <w:t>¿Se ajusta este procedimiento a los artículos 54 a 56 del Reglamento (UE) 2021/1060?</w:t>
      </w:r>
    </w:p>
    <w:p w:rsidR="00786B3E" w:rsidRDefault="00786B3E" w:rsidP="00786B3E"/>
    <w:p w:rsidR="00786B3E" w:rsidRDefault="00786B3E" w:rsidP="00786B3E">
      <w:r>
        <w:rPr>
          <w:b/>
        </w:rPr>
        <w:t>Respuesta</w:t>
      </w:r>
      <w:r>
        <w:t>.</w:t>
      </w:r>
    </w:p>
    <w:p w:rsidR="00786B3E" w:rsidRDefault="00786B3E" w:rsidP="00786B3E">
      <w:r>
        <w:lastRenderedPageBreak/>
        <w:t>Las autoridades del programa podrán decidir ofrecer varias formas de subvención para la misma categoría de costes a nivel de una operación Interreg, siempre que cada formulario se utilice para diferentes presupuestos de cada socio.</w:t>
      </w:r>
    </w:p>
    <w:p w:rsidR="00786B3E" w:rsidRDefault="00786B3E" w:rsidP="00786B3E">
      <w:r>
        <w:t>Es responsabilidad de las autoridades del programa establecer OCS de conformidad con las disposiciones legales pertinentes, en particular los artículos 53 a 56 del Reglamento (UE) 2021/1060 y los artículos 39 a 44 del Reglamento (UE) 2021/1059. La Comisión no aprueba las OCS ex ante definidas al nivel inferior, es decir, la autoridad de gestión — beneficiario, y no expresa ninguna opinión sobre las diferentes opciones presupuestarias incluidas en la pregunta. </w:t>
      </w:r>
    </w:p>
    <w:p w:rsidR="00786B3E" w:rsidRDefault="00786B3E" w:rsidP="00786B3E">
      <w:r>
        <w:t xml:space="preserve">El considerando (42) del Reglamento (UE) 2021/1059 establece: </w:t>
      </w:r>
      <w:r>
        <w:rPr>
          <w:i/>
        </w:rPr>
        <w:t>«[...] Cuando una autoridad de gestión tenga la intención de proponer el uso de una opción de costes simplificados en una convocatoria de propuestas, debe ser posible consultar al comité de seguimiento. Los importes y porcentajes establecidos por los Estados miembros deben ser una aproximación fiable a los costes reales. [...]».</w:t>
      </w:r>
    </w:p>
    <w:p w:rsidR="00786B3E" w:rsidRDefault="00786B3E" w:rsidP="00786B3E">
      <w:r>
        <w:t>Así pues, las OCS deben ser un sustituto fiable de los costes reales, definidos de antemano, y el uso de las OCS y los métodos de establecimiento de las OCS deben mencionarse en las convocatorias de propuestas dirigidas a los posibles beneficiarios/socios del proyecto. También se trata de garantizar el respeto de los principios de transparencia, igualdad de trato y no discriminación de los beneficiarios/socios del proyecto.</w:t>
      </w:r>
    </w:p>
    <w:p w:rsidR="00786B3E" w:rsidRDefault="00786B3E" w:rsidP="00786B3E">
      <w:r>
        <w:t>En este contexto, la Comisión recomienda encarecidamente que las autoridades del programa fijen el porcentaje de un tipo fijo «listo para su uso» para una determinada categoría de costes, dentro de los límites definidos en las disposiciones legales pertinentes, y no deje a los beneficiarios/socios del proyecto la fijación del porcentaje.</w:t>
      </w:r>
    </w:p>
    <w:p w:rsidR="00786B3E" w:rsidRDefault="00786B3E" w:rsidP="00786B3E">
      <w:r>
        <w:t>De conformidad con el artículo 22, apartado 6, del Reglamento (UE) 2021/1059, la autoridad de gestión debe establecer claramente todas las condiciones de la ayuda para cada operación en un documento facilitado al beneficiario/socio del proyecto, incluido el método que debe aplicarse para determinar los costes de la operación y las condiciones de pago de la ayuda.</w:t>
      </w:r>
    </w:p>
    <w:p w:rsidR="00786B3E" w:rsidRDefault="00786B3E" w:rsidP="00786B3E">
      <w:r>
        <w:t>Sobre la base de la muy limitada información disponible sobre el régimen propuesto en la pregunta, y si se utiliza el régimen anterior, deben adoptarse medidas de mitigación adecuadas para hacer frente al riesgo de doble financiación cuando se utilicen tipos fijos para cubrir diferentes categorías de costes.</w:t>
      </w:r>
    </w:p>
    <w:p w:rsidR="00786B3E" w:rsidRDefault="00786B3E" w:rsidP="00786B3E"/>
    <w:p w:rsidR="00786B3E" w:rsidRDefault="00786B3E" w:rsidP="00786B3E"/>
    <w:p w:rsidR="00786B3E" w:rsidRDefault="00786B3E" w:rsidP="00786B3E">
      <w:pPr>
        <w:pStyle w:val="Ttulo1"/>
      </w:pPr>
      <w:bookmarkStart w:id="440" w:name="scroll-bookmark-504"/>
      <w:bookmarkStart w:id="441" w:name="scroll-bookmark-505"/>
      <w:bookmarkEnd w:id="440"/>
      <w:r>
        <w:t>QA00247 — Posibilidad de definir las OCS aprobadas en el apéndice 1 como importes máximos/importes a tanto alzado</w:t>
      </w:r>
      <w:bookmarkEnd w:id="441"/>
    </w:p>
    <w:p w:rsidR="00786B3E" w:rsidRDefault="00786B3E" w:rsidP="00786B3E">
      <w:r>
        <w:rPr>
          <w:noProof/>
          <w:lang w:val="es-ES"/>
        </w:rPr>
        <w:drawing>
          <wp:inline distT="0" distB="0" distL="0" distR="0" wp14:anchorId="12ACD340" wp14:editId="0B30EFA2">
            <wp:extent cx="152435" cy="152435"/>
            <wp:effectExtent l="0" t="0" r="0" b="0"/>
            <wp:docPr id="100887" name="Imagen 1008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91 (4) (b), 93 y 94 del RDC</w:t>
      </w:r>
    </w:p>
    <w:p w:rsidR="00786B3E" w:rsidRDefault="00786B3E" w:rsidP="00786B3E">
      <w:r>
        <w:rPr>
          <w:noProof/>
          <w:lang w:val="es-ES"/>
        </w:rPr>
        <w:drawing>
          <wp:inline distT="0" distB="0" distL="0" distR="0" wp14:anchorId="6F65C1DC" wp14:editId="2DCB14FA">
            <wp:extent cx="152435" cy="152435"/>
            <wp:effectExtent l="0" t="0" r="0" b="0"/>
            <wp:docPr id="100889" name="Imagen 1008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¿Permite el artículo 94 del RDC que las OCS aprobadas en el apéndice 1 se definan como importes máximos/tipos fijos (costes unitarios máximos, tipos fijos o cantidades a tanto alzado)? Durante la ejecución, el importe declarado por la AG a la Comisión para los gastos cubiertos por OCS en virtud del artículo 94 podría ser inferior al máximo aprobado en el apéndice 1 del PO, en función de factores como el resultado de una subasta o de una contratación pública.</w:t>
      </w:r>
    </w:p>
    <w:p w:rsidR="00786B3E" w:rsidRDefault="00786B3E" w:rsidP="00786B3E">
      <w:pPr>
        <w:pStyle w:val="P68B1DB1-Normal1"/>
      </w:pPr>
      <w:r>
        <w:t>Respuesta.</w:t>
      </w:r>
    </w:p>
    <w:p w:rsidR="00786B3E" w:rsidRDefault="00786B3E" w:rsidP="00786B3E">
      <w:r>
        <w:t>De conformidad con el artículo 94 del RDC, la Comisión podrá reembolsar la contribución de la Unión a un programa sobre la base de las OCS basadas en los importes y porcentajes aprobados por una decisión de la Comisión.</w:t>
      </w:r>
    </w:p>
    <w:p w:rsidR="00786B3E" w:rsidRDefault="00786B3E" w:rsidP="00786B3E">
      <w:r>
        <w:t>A tal efecto, un Estado miembro debe presentar una propuesta a la Comisión de conformidad con el modelo que figura en el apéndice 1 del anexo V del RDC, como parte de la presentación del programa o de una solicitud de modificación del mismo. Al establecer las OCS propuestas, el Estado miembro debe utilizar uno de los métodos enumerados en el artículo 94, apartado 2, del RDC y garantizar que las OCS calculadas representen una aproximación fiable de los costes reales.</w:t>
      </w:r>
    </w:p>
    <w:p w:rsidR="00786B3E" w:rsidRDefault="00786B3E" w:rsidP="00786B3E">
      <w:r>
        <w:t>De conformidad con el artículo 94, apartado 3, del RDC, la decisión por la que se aprueba el programa (o su modificación) debe establecer los tipos de operaciones cubiertas por el reembolso sobre la base de las OCS, la definición y los importes cubiertos por dichas OCS y los métodos de ajuste de los importes.</w:t>
      </w:r>
    </w:p>
    <w:p w:rsidR="00786B3E" w:rsidRDefault="00786B3E" w:rsidP="00786B3E">
      <w:r>
        <w:t>Además, el</w:t>
      </w:r>
      <w:r>
        <w:rPr>
          <w:b/>
        </w:rPr>
        <w:t xml:space="preserve"> </w:t>
      </w:r>
      <w:r>
        <w:t>artículo 91, apartado 4, letra b), del RDC especifica que, cuando la contribución de la Unión adopte la forma de OCS, los importes incluidos en una solicitud de pago son los importes determinados de conformidad con la decisión por la que se aprueba el programa (o su modificación).</w:t>
      </w:r>
    </w:p>
    <w:p w:rsidR="00786B3E" w:rsidRDefault="00786B3E" w:rsidP="00786B3E">
      <w:r>
        <w:t>Sobre la base de lo anterior, los importes de las OCS aprobados por la Decisión de la Comisión son vinculantes y, por lo tanto, el Estado miembro debe declarar a la Comisión los importes aprobados, es decir, no puede incluir en las solicitudes de pago a la Comisión importes distintos de los de la decisión por la que se aprueba el programa (o su modificación).</w:t>
      </w:r>
    </w:p>
    <w:p w:rsidR="00786B3E" w:rsidRDefault="00786B3E" w:rsidP="00786B3E">
      <w:r>
        <w:t>Cualquier modificación de las OCS que no esté cubierta por el método de ajuste en la decisión por la que se aprueba el programa (o su modificación) requeriría una modificación de la decisión.</w:t>
      </w:r>
    </w:p>
    <w:p w:rsidR="00786B3E" w:rsidRDefault="00786B3E" w:rsidP="00786B3E"/>
    <w:p w:rsidR="00786B3E" w:rsidRDefault="00786B3E" w:rsidP="00786B3E">
      <w:r>
        <w:t xml:space="preserve">Por último, cabe recordar que el RDC no exige una correspondencia exacta entre el importe pagado al beneficiario por esas operaciones y el importe declarado por el Estado miembro a la Comisión (y abonado al Estado miembro). De conformidad con el artículo 94, apartado 3, del RDC, los Estados miembros pueden elegir cualquier forma de ayuda a los beneficiarios. No obstante, los Estados miembros deben garantizar que, al cierre del programa, la contribución de la Unión al programa no sea superior al </w:t>
      </w:r>
      <w:r>
        <w:lastRenderedPageBreak/>
        <w:t>importe total abonado a los beneficiarios en el marco de la prioridad [artículo 93, apartado 5, letra b), del RDC].</w:t>
      </w:r>
    </w:p>
    <w:p w:rsidR="00786B3E" w:rsidRDefault="00786B3E" w:rsidP="00786B3E"/>
    <w:p w:rsidR="00786B3E" w:rsidRDefault="00786B3E" w:rsidP="00786B3E"/>
    <w:p w:rsidR="00786B3E" w:rsidRDefault="00786B3E" w:rsidP="00786B3E">
      <w:pPr>
        <w:pStyle w:val="Ttulo1"/>
      </w:pPr>
      <w:bookmarkStart w:id="442" w:name="scroll-bookmark-506"/>
      <w:bookmarkStart w:id="443" w:name="scroll-bookmark-507"/>
      <w:bookmarkEnd w:id="442"/>
      <w:r>
        <w:t>QA00248 — Cumplimiento parcial de los resultados intermedios en el marco de un régimen de financiación específica del Estado miembro no vinculado a los costes</w:t>
      </w:r>
      <w:bookmarkEnd w:id="443"/>
    </w:p>
    <w:p w:rsidR="00786B3E" w:rsidRDefault="00786B3E" w:rsidP="00786B3E">
      <w:r>
        <w:rPr>
          <w:noProof/>
          <w:lang w:val="es-ES"/>
        </w:rPr>
        <w:drawing>
          <wp:inline distT="0" distB="0" distL="0" distR="0" wp14:anchorId="62F07EA1" wp14:editId="3F36CF17">
            <wp:extent cx="152435" cy="152435"/>
            <wp:effectExtent l="0" t="0" r="0" b="0"/>
            <wp:docPr id="100891" name="Imagen 1008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95 del RDC</w:t>
      </w:r>
    </w:p>
    <w:p w:rsidR="00786B3E" w:rsidRDefault="00786B3E" w:rsidP="00786B3E">
      <w:r>
        <w:rPr>
          <w:noProof/>
          <w:lang w:val="es-ES"/>
        </w:rPr>
        <w:drawing>
          <wp:inline distT="0" distB="0" distL="0" distR="0" wp14:anchorId="34B36EB6" wp14:editId="62AB0F49">
            <wp:extent cx="152435" cy="152435"/>
            <wp:effectExtent l="0" t="0" r="0" b="0"/>
            <wp:docPr id="100893" name="Imagen 1008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Un sistema FNLC puede incluir varias realizaciones/condiciones/resultados para cada entregable intermedio. Si los resultados intermedios no se cumplen completamente en la fecha correspondiente prevista en el apéndice 2 del programa, ¿cuáles serían las consecuencias financieras?</w:t>
      </w:r>
    </w:p>
    <w:p w:rsidR="00786B3E" w:rsidRDefault="00786B3E" w:rsidP="00786B3E">
      <w:r>
        <w:t> </w:t>
      </w:r>
      <w:r>
        <w:rPr>
          <w:b/>
        </w:rPr>
        <w:t>Respuesta.</w:t>
      </w:r>
    </w:p>
    <w:p w:rsidR="00786B3E" w:rsidRDefault="00786B3E" w:rsidP="00786B3E">
      <w:r>
        <w:t>De conformidad con el artículo 91, apartado 4, letra a), del Reglamento (UE) 2021/1060 («RDC»), cuando la contribución de la Unión al programa adopte la forma de una financiación no vinculada a los costes, tal como se establece en el artículo 51, letra a), del RDC, los importes incluidos en una solicitud de pago son los importes justificados por los avances en el cumplimiento de las condiciones o la consecución de resultados, de conformidad con la decisión a que se refiere el artículo 95, apartado 2, del RDC.</w:t>
      </w:r>
    </w:p>
    <w:p w:rsidR="00786B3E" w:rsidRDefault="00786B3E" w:rsidP="00786B3E">
      <w:r>
        <w:t>Por lo tanto, depende de las condiciones establecidas en la decisión por la que se aprueba el programa y, en concreto, de lo que se indica en el apéndice 2 del programa para cada tipo de operación, es decir, se requiere una evaluación caso por caso.</w:t>
      </w:r>
    </w:p>
    <w:p w:rsidR="00786B3E" w:rsidRDefault="00786B3E" w:rsidP="00786B3E">
      <w:r>
        <w:t>En general, si nada se establece específicamente en el apéndice 2 del programa para determinar los importes que deben reembolsarse en caso de cumplimiento parcial de un entregable intermedio, si un entregable intermedio solo se cumple parcialmente en la fecha prevista, se considerará que la prestación intermedia en su totalidad no se ha alcanzado y el gasto correspondiente no se declarará a la Comisión. No obstante, los gastos correspondientes podrán declararse más adelante (es decir, después de la fecha prevista establecida en el apéndice 2 del programa), una vez que se haya alcanzado plenamente el resultado intermedio.</w:t>
      </w:r>
    </w:p>
    <w:p w:rsidR="00786B3E" w:rsidRDefault="00786B3E" w:rsidP="00786B3E">
      <w:r>
        <w:t xml:space="preserve">Sin embargo, puede darse el caso de que el apéndice 2 del programa establezca elementos más específicos en caso de que no se alcance plenamente un resultado intermedio en una fecha prevista. Por ejemplo, puede establecer un reembolso prorrateado en caso de cumplimiento parcial de un entregable intermedio. En tal caso, </w:t>
      </w:r>
      <w:r>
        <w:lastRenderedPageBreak/>
        <w:t>estos elementos se aplican y serán tenidos en cuenta por el Estado miembro al declarar el gasto correspondiente a la Comisión de conformidad con el artículo 91, apartado 4, letra a), del RDC y por la Comisión al reembolsar la contribución de la Unión, de conformidad con el artículo 95 del RDC.</w:t>
      </w:r>
    </w:p>
    <w:p w:rsidR="00786B3E" w:rsidRDefault="00786B3E" w:rsidP="00786B3E"/>
    <w:p w:rsidR="00786B3E" w:rsidRDefault="00786B3E" w:rsidP="00786B3E"/>
    <w:p w:rsidR="00786B3E" w:rsidRDefault="00786B3E" w:rsidP="00786B3E">
      <w:pPr>
        <w:pStyle w:val="Ttulo1"/>
      </w:pPr>
      <w:bookmarkStart w:id="444" w:name="scroll-bookmark-508"/>
      <w:bookmarkStart w:id="445" w:name="scroll-bookmark-509"/>
      <w:bookmarkEnd w:id="444"/>
      <w:r>
        <w:t>QA00249 — Admisibilidad de los costes de transporte y eliminación de residuos que contienen amianto en el marco de los programas para el período 2021-2027</w:t>
      </w:r>
      <w:bookmarkEnd w:id="445"/>
    </w:p>
    <w:p w:rsidR="00786B3E" w:rsidRDefault="00786B3E" w:rsidP="00786B3E">
      <w:r>
        <w:rPr>
          <w:noProof/>
          <w:lang w:val="es-ES"/>
        </w:rPr>
        <w:drawing>
          <wp:inline distT="0" distB="0" distL="0" distR="0" wp14:anchorId="5776552F" wp14:editId="71AEDAF7">
            <wp:extent cx="152435" cy="152435"/>
            <wp:effectExtent l="0" t="0" r="0" b="0"/>
            <wp:docPr id="100895" name="Imagen 1008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7.1, letra f), del FEDER</w:t>
      </w:r>
    </w:p>
    <w:p w:rsidR="00786B3E" w:rsidRDefault="00786B3E" w:rsidP="00786B3E">
      <w:r>
        <w:rPr>
          <w:noProof/>
          <w:lang w:val="es-ES"/>
        </w:rPr>
        <w:drawing>
          <wp:inline distT="0" distB="0" distL="0" distR="0" wp14:anchorId="5C132F56" wp14:editId="670BEEF3">
            <wp:extent cx="152435" cy="152435"/>
            <wp:effectExtent l="0" t="0" r="0" b="0"/>
            <wp:docPr id="100897" name="Imagen 1008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Artículo 7, apartado 1, letra f), del Reglamento (UE) 2021/1058 del Parlamento Europeo y del Consejo, de 24 de junio de 2021, relativo al Fondo Europeo de Desarrollo Regional y al Fondo de Cohesión (en lo sucesivo, Reglamento del FEDER y del Fondo de Cohesión), afirma que «</w:t>
      </w:r>
      <w:r>
        <w:rPr>
          <w:i/>
        </w:rPr>
        <w:t>el FEDER y el Fondo de Cohesión no apoyarán: (...) F) inversiones en la eliminación de residuos en vertederos</w:t>
      </w:r>
      <w:r>
        <w:t xml:space="preserve"> (...). La DG REGIO ha interpretado ampliamente esta exclusión durante las negociaciones de los programas 2021-2027 y ha solicitado que los programas polacos no apoyen el transporte y el depósito en vertederos de residuos de amianto generados durante la ejecución de proyectos relacionados con la eliminación de residuos de amianto de edificios públicos o privados. Las autoridades polacas no están de acuerdo con la interpretación basada en los siguientes argumentos:</w:t>
      </w:r>
    </w:p>
    <w:p w:rsidR="00786B3E" w:rsidRDefault="00786B3E" w:rsidP="00786B3E">
      <w:pPr>
        <w:numPr>
          <w:ilvl w:val="0"/>
          <w:numId w:val="200"/>
        </w:numPr>
      </w:pPr>
      <w:r>
        <w:t>El depósito en vertederos de residuos generados como consecuencia de la ejecución del proyecto no queda excluido a la luz del artículo 7, apartado 1, del Reglamento (CE) no 2021/1058. El Reglamento se refiere a las «inversiones en la eliminación de residuos en vertederos», que deben entenderse como inversiones en la construcción, modernización o mejora de un vertedero;</w:t>
      </w:r>
    </w:p>
    <w:p w:rsidR="00786B3E" w:rsidRDefault="00786B3E" w:rsidP="00786B3E">
      <w:pPr>
        <w:numPr>
          <w:ilvl w:val="0"/>
          <w:numId w:val="200"/>
        </w:numPr>
      </w:pPr>
      <w:r>
        <w:t>El amianto es un residuo peligroso que se está retirando para proteger la salud y el medio ambiente. Debido a las características y propiedades del amianto (no puede reciclarse, recuperarse y supone un grave peligro para la salud), no existe una alternativa más viable desde el punto de vista económico o técnico que el contener amianto en los vertederos. Por lo tanto, el depósito en vertederos de residuos de amianto no plantearía ningún riesgo para la consecución de los objetivos de la economía circular.</w:t>
      </w:r>
    </w:p>
    <w:p w:rsidR="00786B3E" w:rsidRDefault="00786B3E" w:rsidP="00786B3E">
      <w:pPr>
        <w:numPr>
          <w:ilvl w:val="0"/>
          <w:numId w:val="200"/>
        </w:numPr>
      </w:pPr>
      <w:r>
        <w:t>Cualquier tipo de proyecto financiado por el FEDER y el FC puede dar lugar a la generación de residuos. Del mismo modo, el depósito de residuos en vertederos no debería poder optar a la ayuda de la UE, pero no es así.</w:t>
      </w:r>
    </w:p>
    <w:p w:rsidR="00786B3E" w:rsidRDefault="00786B3E" w:rsidP="00786B3E"/>
    <w:p w:rsidR="00786B3E" w:rsidRDefault="00786B3E" w:rsidP="00786B3E">
      <w:r>
        <w:lastRenderedPageBreak/>
        <w:t>En resumen, hay dos preguntas:</w:t>
      </w:r>
    </w:p>
    <w:p w:rsidR="00786B3E" w:rsidRDefault="00786B3E" w:rsidP="00786B3E">
      <w:pPr>
        <w:numPr>
          <w:ilvl w:val="0"/>
          <w:numId w:val="201"/>
        </w:numPr>
      </w:pPr>
      <w:r>
        <w:t>¿Pueden optar a la ayuda del FEDER y del FC los costes relacionados con el depósito en vertederos de residuos generados como consecuencia de la ejecución del proyecto? </w:t>
      </w:r>
    </w:p>
    <w:p w:rsidR="00786B3E" w:rsidRDefault="00786B3E" w:rsidP="00786B3E">
      <w:pPr>
        <w:numPr>
          <w:ilvl w:val="0"/>
          <w:numId w:val="201"/>
        </w:numPr>
      </w:pPr>
      <w:r>
        <w:t>En relación con lo anterior, ¿el transporte y el depósito en vertederos de residuos de amianto pueden optar a la ayuda del FEDER y del FC?</w:t>
      </w:r>
    </w:p>
    <w:p w:rsidR="00786B3E" w:rsidRDefault="00786B3E" w:rsidP="00786B3E"/>
    <w:p w:rsidR="00786B3E" w:rsidRDefault="00786B3E" w:rsidP="00786B3E">
      <w:pPr>
        <w:pStyle w:val="P68B1DB1-Normal1"/>
      </w:pPr>
      <w:r>
        <w:t>Respuesta.</w:t>
      </w:r>
    </w:p>
    <w:p w:rsidR="00786B3E" w:rsidRDefault="00786B3E" w:rsidP="00786B3E">
      <w:r>
        <w:t xml:space="preserve">El artículo 7, apartado 1, letra f), del Reglamento del FEDER y del Fondo de Cohesión excluye del ámbito de aplicación de los Fondos las inversiones en la eliminación de residuos en vertederos. El considerando (41) aclara cuáles son las actividades que quedan fuera del ámbito de aplicación del FEDER y del Fondo de Cohesión. Especifica que el FEDER y el Fondo de Cohesión no deben apoyar la inversión en </w:t>
      </w:r>
      <w:r>
        <w:rPr>
          <w:b/>
        </w:rPr>
        <w:t>instalaciones</w:t>
      </w:r>
      <w:r>
        <w:t xml:space="preserve"> para el depósito en vertederos. La intención de los colegisladores era excluir las inversiones en vertederos en el sentido de inversiones en instalaciones de vertedero, no en el sentido de excluir partidas de costes específicas vinculadas al depósito en vertederos de materiales (especialmente materiales peligrosos) dentro de una operación.</w:t>
      </w:r>
    </w:p>
    <w:p w:rsidR="00786B3E" w:rsidRDefault="00786B3E" w:rsidP="00786B3E">
      <w:r>
        <w:t>La justificación de este limitado ámbito de subvencionabilidad en el ámbito de la gestión de residuos es evitar las inversiones en las instalaciones de vertedero como tales, lo que podría dar lugar a un aumento de la capacidad de dichos vertederos y, de este modo, garantizar que el apoyo del presupuesto de la UE en el marco de la política de cohesión contribuya adecuadamente a la consecución de los objetivos de la legislación de la UE en materia de residuos</w:t>
      </w:r>
      <w:hyperlink w:anchor="scroll-bookmark-510" w:history="1">
        <w:r>
          <w:rPr>
            <w:rStyle w:val="Hipervnculo"/>
          </w:rPr>
          <w:t>[1]</w:t>
        </w:r>
      </w:hyperlink>
      <w:r>
        <w:t>.</w:t>
      </w:r>
    </w:p>
    <w:p w:rsidR="00786B3E" w:rsidRDefault="00786B3E" w:rsidP="00786B3E">
      <w:r>
        <w:t>Sobre esta base, pueden darse las siguientes respuestas a las cuestiones planteadas:</w:t>
      </w:r>
    </w:p>
    <w:p w:rsidR="00786B3E" w:rsidRDefault="00786B3E" w:rsidP="00786B3E">
      <w:pPr>
        <w:numPr>
          <w:ilvl w:val="0"/>
          <w:numId w:val="202"/>
        </w:numPr>
      </w:pPr>
      <w:r>
        <w:t>La eliminación de residuos en vertederos, generados como resultado de la ejecución del proyecto (por ejemplo, renovación de la eficiencia energética de los edificios), puede optar a la ayuda de los Fondos. En consonancia con el principio de «no causar un perjuicio significativo» y, en particular, con su objetivo de economía circular</w:t>
      </w:r>
      <w:hyperlink w:anchor="scroll-bookmark-511" w:history="1">
        <w:r>
          <w:rPr>
            <w:rStyle w:val="Hipervnculo"/>
          </w:rPr>
          <w:t>[2]</w:t>
        </w:r>
      </w:hyperlink>
      <w:r>
        <w:t>, el FEDER y el Fondo de Cohesión no deben apoyar los gastos relacionados con el depósito en vertederos de residuos aptos para el reciclado u otro tipo de valorización.</w:t>
      </w:r>
    </w:p>
    <w:p w:rsidR="00786B3E" w:rsidRDefault="00786B3E" w:rsidP="00786B3E">
      <w:pPr>
        <w:numPr>
          <w:ilvl w:val="0"/>
          <w:numId w:val="202"/>
        </w:numPr>
      </w:pPr>
      <w:r>
        <w:t xml:space="preserve">El principal objetivo de las inversiones en la eliminación del amianto es gestionar el riesgo de exposición y el riesgo para la salud asociado. Los materiales resultantes de demoliciones de edificios que contengan amianto se consideran residuos si la intención o la obligación es desprenderse de ellos. Según la lista de residuos peligrosos (establecida en la </w:t>
      </w:r>
      <w:hyperlink r:id="rId509" w:history="1">
        <w:r>
          <w:rPr>
            <w:rStyle w:val="Hipervnculo"/>
          </w:rPr>
          <w:t>Decisión 2000/532/CE de la Comisión</w:t>
        </w:r>
      </w:hyperlink>
      <w:r>
        <w:t xml:space="preserve"> de conformidad con el artículo 7 de la Directiva marco sobre residuos), el amianto se considera residuo peligroso. Los residuos retirados o demolidos que contengan amianto de los edificios deben gestionarse, lo que requiere transporte y eliminación adecuada. La falta general de instalaciones y de capacidad de tratamientos alternativos sigue haciendo que el depósito en vertederos sea el único enfoque viable en la actualidad para tratar los residuos de demolición que contienen amianto generados en la UE. Para evitar </w:t>
      </w:r>
      <w:r>
        <w:rPr>
          <w:b/>
        </w:rPr>
        <w:t>efectos perjudiciales para la salud y el medio ambiente</w:t>
      </w:r>
      <w:r>
        <w:t xml:space="preserve">, la gestión de los residuos que </w:t>
      </w:r>
      <w:r>
        <w:lastRenderedPageBreak/>
        <w:t xml:space="preserve">contienen amianto está regulada en términos de sus obligaciones en materia de transporte, gestión, retirada, notificación y trazabilidad. La </w:t>
      </w:r>
      <w:hyperlink r:id="rId510" w:history="1">
        <w:r>
          <w:rPr>
            <w:rStyle w:val="Hipervnculo"/>
          </w:rPr>
          <w:t>eliminación de los residuos de amianto en los vertederos</w:t>
        </w:r>
      </w:hyperlink>
      <w:r>
        <w:t xml:space="preserve"> (regulada por la </w:t>
      </w:r>
      <w:hyperlink r:id="rId511" w:history="1">
        <w:r>
          <w:rPr>
            <w:rStyle w:val="Hipervnculo"/>
          </w:rPr>
          <w:t>Decisión 2003/33/CE del Consejo</w:t>
        </w:r>
      </w:hyperlink>
      <w:r>
        <w:rPr>
          <w:b/>
        </w:rPr>
        <w:t xml:space="preserve">) </w:t>
      </w:r>
      <w:r>
        <w:t xml:space="preserve">está estrictamente controlada en virtud del </w:t>
      </w:r>
      <w:hyperlink r:id="rId512" w:history="1">
        <w:r>
          <w:rPr>
            <w:rStyle w:val="Hipervnculo"/>
          </w:rPr>
          <w:t>Protocolo y las directrices de gestión de residuos de construcción y demolición en la UE</w:t>
        </w:r>
      </w:hyperlink>
      <w:r>
        <w:t>.</w:t>
      </w:r>
    </w:p>
    <w:p w:rsidR="00786B3E" w:rsidRDefault="00786B3E" w:rsidP="00786B3E">
      <w:r>
        <w:t xml:space="preserve">Con el fin de contribuir plenamente a la consecución del objetivo específico del FEDER y del Fondo de Cohesión de «reducir todas las formas de contaminación» [artículo 3, apartado 1, letra b), inciso vii), del Reglamento del FEDER y del Fondo de Cohesión], el transporte y la eliminación de residuos que contengan amianto en los vertederos existentes pueden optar a la ayuda de los Fondos. En el sentido del considerando (41) del Reglamento del FEDER y del Fondo de Cohesión, el apoyo a estas acciones no entra dentro de la exclusión prevista en el artículo 7, apartado 1, letra f), </w:t>
      </w:r>
      <w:r w:rsidR="002F3719">
        <w:t xml:space="preserve">ya que, </w:t>
      </w:r>
      <w:r>
        <w:t>estas inversiones no aumentan la capacidad de las instalaciones de vertederos.</w:t>
      </w:r>
    </w:p>
    <w:p w:rsidR="00786B3E" w:rsidRDefault="00786B3E" w:rsidP="00786B3E">
      <w:r>
        <w:t>TIERNA _</w:t>
      </w:r>
    </w:p>
    <w:p w:rsidR="00786B3E" w:rsidRDefault="00FC0FB1" w:rsidP="00786B3E">
      <w:hyperlink w:anchor="scroll-bookmark-512" w:history="1">
        <w:r w:rsidR="00786B3E">
          <w:rPr>
            <w:rStyle w:val="Hipervnculo"/>
          </w:rPr>
          <w:t>[1]</w:t>
        </w:r>
      </w:hyperlink>
      <w:r w:rsidR="00786B3E">
        <w:t xml:space="preserve"> En particular, el objetivo de la Directiva relativa al vertido de residuos (Directiva 1999/31/CE) es garantizar una reducción progresiva del vertido de residuos, en particular de residuos aptos para el reciclado u otro tipo de valorización. Exige que, para 2035, la cantidad de residuos municipales depositados en vertederos se reduzca al 10 % o menos de la cantidad total de residuos municipales generados (en peso).</w:t>
      </w:r>
    </w:p>
    <w:p w:rsidR="00786B3E" w:rsidRDefault="00FC0FB1" w:rsidP="00786B3E">
      <w:hyperlink w:anchor="scroll-bookmark-513" w:history="1">
        <w:r w:rsidR="00786B3E">
          <w:rPr>
            <w:rStyle w:val="Hipervnculo"/>
          </w:rPr>
          <w:t>[2]</w:t>
        </w:r>
      </w:hyperlink>
      <w:r w:rsidR="00786B3E">
        <w:t xml:space="preserve"> Se considera que una actividad causa un perjuicio significativo a la economía circular, incluidos la prevención y el reciclado de residuos, si da lugar a ineficiencias significativas en el uso de materiales o en el uso directo o indirecto de recursos naturales, o si aumenta significativamente la generación, incineración o eliminación de residuos, o si la eliminación a largo plazo de residuos puede causar daños medioambientales significativos y a largo plazo.</w:t>
      </w:r>
    </w:p>
    <w:p w:rsidR="00786B3E" w:rsidRDefault="00786B3E" w:rsidP="00786B3E"/>
    <w:p w:rsidR="00786B3E" w:rsidRDefault="00786B3E" w:rsidP="00786B3E"/>
    <w:p w:rsidR="00786B3E" w:rsidRDefault="00786B3E" w:rsidP="00786B3E">
      <w:pPr>
        <w:pStyle w:val="Ttulo1"/>
      </w:pPr>
      <w:bookmarkStart w:id="446" w:name="scroll-bookmark-514"/>
      <w:bookmarkStart w:id="447" w:name="scroll-bookmark-515"/>
      <w:bookmarkEnd w:id="446"/>
      <w:r>
        <w:t>QA00250 — Aplicabilidad de la operación (completada)</w:t>
      </w:r>
      <w:bookmarkEnd w:id="447"/>
    </w:p>
    <w:p w:rsidR="00786B3E" w:rsidRDefault="00786B3E" w:rsidP="00786B3E">
      <w:r>
        <w:rPr>
          <w:noProof/>
          <w:lang w:val="es-ES"/>
        </w:rPr>
        <w:drawing>
          <wp:inline distT="0" distB="0" distL="0" distR="0" wp14:anchorId="4FDAD205" wp14:editId="18B7D951">
            <wp:extent cx="152435" cy="152435"/>
            <wp:effectExtent l="0" t="0" r="0" b="0"/>
            <wp:docPr id="100899" name="Imagen 1008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pPr>
        <w:numPr>
          <w:ilvl w:val="0"/>
          <w:numId w:val="203"/>
        </w:numPr>
      </w:pPr>
      <w:r>
        <w:t>Artículo 2, apartado 4, letra a), del Reglamento (UE) 2021/1060</w:t>
      </w:r>
    </w:p>
    <w:p w:rsidR="00786B3E" w:rsidRDefault="00786B3E" w:rsidP="00786B3E">
      <w:pPr>
        <w:numPr>
          <w:ilvl w:val="0"/>
          <w:numId w:val="203"/>
        </w:numPr>
      </w:pPr>
      <w:r>
        <w:t>Artículo 2, apartado 9, letra d), del Reglamento (UE) 2021/1060</w:t>
      </w:r>
    </w:p>
    <w:p w:rsidR="00786B3E" w:rsidRDefault="00786B3E" w:rsidP="00786B3E">
      <w:pPr>
        <w:numPr>
          <w:ilvl w:val="0"/>
          <w:numId w:val="203"/>
        </w:numPr>
      </w:pPr>
      <w:r>
        <w:t>Artículo 2, apartado 37, Reglamento (UE) 2021/1060</w:t>
      </w:r>
    </w:p>
    <w:p w:rsidR="00786B3E" w:rsidRDefault="00786B3E" w:rsidP="00786B3E">
      <w:pPr>
        <w:numPr>
          <w:ilvl w:val="0"/>
          <w:numId w:val="203"/>
        </w:numPr>
      </w:pPr>
      <w:r>
        <w:t>Artículo 63, apartado 6, Reglamento (UE) 2021/1060</w:t>
      </w:r>
    </w:p>
    <w:p w:rsidR="00786B3E" w:rsidRDefault="00786B3E" w:rsidP="00786B3E">
      <w:r>
        <w:rPr>
          <w:noProof/>
          <w:lang w:val="es-ES"/>
        </w:rPr>
        <w:drawing>
          <wp:inline distT="0" distB="0" distL="0" distR="0" wp14:anchorId="6018C78C" wp14:editId="31AC3EDF">
            <wp:extent cx="152435" cy="152435"/>
            <wp:effectExtent l="0" t="0" r="0" b="0"/>
            <wp:docPr id="100901" name="Imagen 1009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 xml:space="preserve">En Letonia, la Agencia de Inversión y Desarrollo de Letonia (LIDA) presta apoyo al acceso de las PYME a los mercados extranjeros y el programa es una continuación de la medida </w:t>
      </w:r>
      <w:r>
        <w:lastRenderedPageBreak/>
        <w:t>analógica 2014-2020. Hasta ahora, para el período 2021-2027, el programa de apoyo a las PYME en cuestión se está preparando para la convocatoria de propuestas restringida, pero todavía no se ha celebrado un acuerdo con el beneficiario (Agencia letona de Inversión y Desarrollo (LIDA)). Después, cuando se celebre el acuerdo, los beneficiarios finales tendrán que solicitar ayuda a LIDA. Según el concepto del programa de apoyo a las PYME, los beneficiarios finales también pueden recibir ayuda si participaron en exposiciones internacionales antes de la celebración del acuerdo con LIDA.</w:t>
      </w:r>
    </w:p>
    <w:p w:rsidR="00786B3E" w:rsidRDefault="00786B3E" w:rsidP="00786B3E"/>
    <w:p w:rsidR="00786B3E" w:rsidRDefault="00786B3E" w:rsidP="00786B3E">
      <w:r>
        <w:t>Lida selecciona a los beneficiarios finales en tres actividades diferentes:</w:t>
      </w:r>
    </w:p>
    <w:p w:rsidR="00786B3E" w:rsidRDefault="00786B3E" w:rsidP="00786B3E">
      <w:pPr>
        <w:numPr>
          <w:ilvl w:val="0"/>
          <w:numId w:val="204"/>
        </w:numPr>
      </w:pPr>
      <w:r>
        <w:t>en la actividad de motivación de la innovación, LIDA presta apoyo no financiero a comerciantes, trabajadores por cuenta propia y personas físicas;</w:t>
      </w:r>
    </w:p>
    <w:p w:rsidR="00786B3E" w:rsidRDefault="00786B3E" w:rsidP="00786B3E">
      <w:pPr>
        <w:numPr>
          <w:ilvl w:val="0"/>
          <w:numId w:val="204"/>
        </w:numPr>
      </w:pPr>
      <w:r>
        <w:t>en la actividad de incubación de empresas, LIDA proporciona apoyo financiero a los comerciantes y apoyo no financiero a comerciantes y personas físicas;</w:t>
      </w:r>
    </w:p>
    <w:p w:rsidR="00786B3E" w:rsidRDefault="00786B3E" w:rsidP="00786B3E">
      <w:pPr>
        <w:numPr>
          <w:ilvl w:val="0"/>
          <w:numId w:val="204"/>
        </w:numPr>
      </w:pPr>
      <w:r>
        <w:t>en la actividad de promoción de las exportaciones, LIDA presta apoyo financiero y no financiero a comerciantes, asociaciones y fundaciones.</w:t>
      </w:r>
    </w:p>
    <w:p w:rsidR="00786B3E" w:rsidRDefault="00786B3E" w:rsidP="00786B3E"/>
    <w:p w:rsidR="00786B3E" w:rsidRDefault="00786B3E" w:rsidP="00786B3E">
      <w:r>
        <w:t>Financiación y cofinanciación nacional; 74 350 000 EUR (incluido el importe de la financiación de flexibilidad de 11 726 878 EUR), incluida la financiación del Fondo Europeo de Desarrollo Regional (en lo sucesivo, «FEDER») 63 197 500 EUR (incluido el importe de la financiación de flexibilidad de 9 967 846 EUR) y la financiación del presupuesto estatal — 11 152 500 EUR (incluido el importe de la financiación de flexibilidad de 1 759 032 EUR).</w:t>
      </w:r>
    </w:p>
    <w:p w:rsidR="00786B3E" w:rsidRDefault="00786B3E" w:rsidP="00786B3E">
      <w:r>
        <w:t>En relación con la pregunta 1, nos gustaría aclarar que los sistemas LIDA no constituyen un instrumento financiero. Lida es un beneficiario, mientras que las pymes son «beneficiarios finales».</w:t>
      </w:r>
    </w:p>
    <w:p w:rsidR="00786B3E" w:rsidRDefault="00786B3E" w:rsidP="00786B3E"/>
    <w:p w:rsidR="00786B3E" w:rsidRDefault="00786B3E" w:rsidP="00786B3E">
      <w:pPr>
        <w:pStyle w:val="P68B1DB1-Normal1"/>
      </w:pPr>
      <w:r>
        <w:t>Preguntas:</w:t>
      </w:r>
    </w:p>
    <w:p w:rsidR="00786B3E" w:rsidRDefault="00786B3E" w:rsidP="00786B3E">
      <w:r>
        <w:t>Las autoridades letonas desean recabar la opinión de la Comisión sobre la interpretación correcta de la «</w:t>
      </w:r>
      <w:r>
        <w:rPr>
          <w:i/>
        </w:rPr>
        <w:t>operación completada</w:t>
      </w:r>
      <w:r>
        <w:t xml:space="preserve">» en el sentido del artículo 2, apartado 37, * del Reglamento (UE) 2021/1060 (RDC) en el marco de un proyecto marco, en el que un intermediario (beneficiario) presta apoyo a los beneficiarios finales en el marco del </w:t>
      </w:r>
      <w:r>
        <w:rPr>
          <w:i/>
        </w:rPr>
        <w:t>régimen de</w:t>
      </w:r>
      <w:r>
        <w:t xml:space="preserve"> minimis * *.</w:t>
      </w:r>
    </w:p>
    <w:p w:rsidR="00786B3E" w:rsidRDefault="00786B3E" w:rsidP="00786B3E">
      <w:pPr>
        <w:pStyle w:val="P68B1DB1-Normal1"/>
      </w:pPr>
      <w:r>
        <w:t>Pregunta no 1:</w:t>
      </w:r>
    </w:p>
    <w:p w:rsidR="00786B3E" w:rsidRDefault="00786B3E" w:rsidP="00786B3E">
      <w:r>
        <w:t xml:space="preserve">¿A qué nivel es aplicable la definición de la </w:t>
      </w:r>
      <w:r>
        <w:rPr>
          <w:i/>
        </w:rPr>
        <w:t>operación</w:t>
      </w:r>
      <w:r>
        <w:t xml:space="preserve"> a que se refiere el artículo 2, apartado 4, letra a), del RDC * * * * — al beneficiario, a los beneficiarios finales o a ambos?</w:t>
      </w:r>
    </w:p>
    <w:p w:rsidR="00786B3E" w:rsidRDefault="00786B3E" w:rsidP="00786B3E">
      <w:pPr>
        <w:pStyle w:val="P68B1DB1-Normal1"/>
      </w:pPr>
      <w:r>
        <w:t>Pregunta no 2:</w:t>
      </w:r>
    </w:p>
    <w:p w:rsidR="00786B3E" w:rsidRDefault="00786B3E" w:rsidP="00786B3E">
      <w:r>
        <w:t>¿Es aplicable el término «operación» del artículo 63, apartado 6, * * * del RDC al beneficiario final o solo al beneficiario?</w:t>
      </w:r>
    </w:p>
    <w:p w:rsidR="00786B3E" w:rsidRDefault="00786B3E" w:rsidP="00786B3E">
      <w:pPr>
        <w:pStyle w:val="P68B1DB1-Normal1"/>
      </w:pPr>
      <w:r>
        <w:t>Pregunta n.º 3:</w:t>
      </w:r>
    </w:p>
    <w:p w:rsidR="00786B3E" w:rsidRDefault="00786B3E" w:rsidP="00786B3E">
      <w:r>
        <w:lastRenderedPageBreak/>
        <w:t>Si el artículo 63, apartado 6, * * * del RDC también es aplicable al beneficiario final, ¿puede recibir ayuda el beneficiario final si se ha completado una de sus actividades previstas, pero también hay otras actividades incluidas en la solicitud del proyecto?</w:t>
      </w:r>
    </w:p>
    <w:p w:rsidR="00786B3E" w:rsidRDefault="00786B3E" w:rsidP="00786B3E"/>
    <w:p w:rsidR="00786B3E" w:rsidRDefault="00786B3E" w:rsidP="00786B3E">
      <w:pPr>
        <w:pStyle w:val="P68B1DB1-Normal4"/>
      </w:pPr>
      <w:r>
        <w:t> —</w:t>
      </w:r>
    </w:p>
    <w:p w:rsidR="00786B3E" w:rsidRDefault="00786B3E" w:rsidP="00786B3E">
      <w:pPr>
        <w:pStyle w:val="P68B1DB1-Normal4"/>
      </w:pPr>
      <w:r>
        <w:t>* Artículo 2, apartado 37, del RDC: «operación completada»: una operación completada materialmente o ejecutada en su totalidad con respecto a la cual los beneficiarios han efectuado todos los pagos pertinentes y han percibido la contribución pública correspondiente;</w:t>
      </w:r>
    </w:p>
    <w:p w:rsidR="00786B3E" w:rsidRDefault="00786B3E" w:rsidP="00786B3E">
      <w:pPr>
        <w:pStyle w:val="P68B1DB1-Normal4"/>
      </w:pPr>
      <w:r>
        <w:t>* * la ayuda se concederá con arreglo al Marco de minimis, que permite la concesión de ayudas para operaciones finalizadas.</w:t>
      </w:r>
    </w:p>
    <w:p w:rsidR="00786B3E" w:rsidRDefault="00786B3E" w:rsidP="00786B3E">
      <w:pPr>
        <w:pStyle w:val="P68B1DB1-Normal4"/>
      </w:pPr>
      <w:r>
        <w:t>Artículo 63, apartado 6, del RDC: Las operaciones no se seleccionarán para recibir ayuda de los Fondos si han concluido materialmente o se han ejecutado íntegramente antes de que se presente la solicitud de financiación conforme al programa, con independencia de que se hayan efectuado todos los pagos relacionados.</w:t>
      </w:r>
    </w:p>
    <w:p w:rsidR="00786B3E" w:rsidRDefault="00786B3E" w:rsidP="00786B3E">
      <w:pPr>
        <w:pStyle w:val="P68B1DB1-Normal4"/>
      </w:pPr>
      <w:r>
        <w:t>* * * * artículo 2, apartado 4, letra a), del RDC: «operación» un proyecto, contrato, acción o grupo de proyectos seleccionados en el marco de los programas de que se trate.</w:t>
      </w:r>
    </w:p>
    <w:p w:rsidR="00786B3E" w:rsidRDefault="00786B3E" w:rsidP="00786B3E"/>
    <w:p w:rsidR="00786B3E" w:rsidRDefault="00786B3E" w:rsidP="00786B3E">
      <w:pPr>
        <w:pStyle w:val="P68B1DB1-Normal1"/>
      </w:pPr>
      <w:r>
        <w:t>Respuesta.</w:t>
      </w:r>
    </w:p>
    <w:p w:rsidR="00786B3E" w:rsidRDefault="00786B3E" w:rsidP="00713B5D">
      <w:pPr>
        <w:numPr>
          <w:ilvl w:val="0"/>
          <w:numId w:val="205"/>
        </w:numPr>
      </w:pPr>
      <w:r>
        <w:t xml:space="preserve">De conformidad con el artículo 2, apartado 9, letra d), del RDC, en el contexto de las ayudas de minimis concedidas de conformidad con los Reglamentos (UE) n.º 1407/2013 o (UE) n.º 717/2014 de la Comisión, el Estado miembro puede decidir que el beneficiario sea el organismo que concede la ayuda (para más información, consúltese: </w:t>
      </w:r>
      <w:hyperlink w:anchor="scroll-bookmark-246" w:history="1">
        <w:r>
          <w:rPr>
            <w:rStyle w:val="Hipervnculo"/>
          </w:rPr>
          <w:t xml:space="preserve">QA00132 — Financiación </w:t>
        </w:r>
        <w:r w:rsidR="00713B5D">
          <w:rPr>
            <w:rStyle w:val="Hipervnculo"/>
          </w:rPr>
          <w:t>en</w:t>
        </w:r>
        <w:r>
          <w:rPr>
            <w:rStyle w:val="Hipervnculo"/>
          </w:rPr>
          <w:t xml:space="preserve"> </w:t>
        </w:r>
        <w:r w:rsidR="00713B5D">
          <w:rPr>
            <w:rStyle w:val="Hipervnculo"/>
          </w:rPr>
          <w:t>c</w:t>
        </w:r>
        <w:r>
          <w:rPr>
            <w:rStyle w:val="Hipervnculo"/>
          </w:rPr>
          <w:t>ascad</w:t>
        </w:r>
        <w:r w:rsidR="00713B5D">
          <w:rPr>
            <w:rStyle w:val="Hipervnculo"/>
          </w:rPr>
          <w:t>a</w:t>
        </w:r>
        <w:r>
          <w:rPr>
            <w:rStyle w:val="Hipervnculo"/>
          </w:rPr>
          <w:t xml:space="preserve"> — RegioWiki Extranet — RegioWiki (europa.eu)</w:t>
        </w:r>
      </w:hyperlink>
      <w:r>
        <w:t xml:space="preserve">; </w:t>
      </w:r>
      <w:hyperlink w:anchor="scroll-bookmark-422" w:history="1">
        <w:r>
          <w:rPr>
            <w:rStyle w:val="Hipervnculo"/>
          </w:rPr>
          <w:t xml:space="preserve">QA00206 — Financiación </w:t>
        </w:r>
        <w:r w:rsidR="00713B5D" w:rsidRPr="00713B5D">
          <w:rPr>
            <w:rStyle w:val="Hipervnculo"/>
          </w:rPr>
          <w:t xml:space="preserve">en cascada </w:t>
        </w:r>
        <w:r>
          <w:rPr>
            <w:rStyle w:val="Hipervnculo"/>
          </w:rPr>
          <w:t>— seguimiento del QA00132 — RegioWiki Extranet — RegioWiki (europa.eu)</w:t>
        </w:r>
      </w:hyperlink>
      <w:r>
        <w:t xml:space="preserve">). Por lo tanto, en el caso de Letonia, el apoyo a la Agencia de Inversión y Desarrollo de Letonia (LIDA) puede considerarse una operación en la que la agencia es el beneficiario que, además, </w:t>
      </w:r>
      <w:r w:rsidR="00F82B27">
        <w:t>canaliza</w:t>
      </w:r>
      <w:r>
        <w:t xml:space="preserve"> la subvención a otras entidades. </w:t>
      </w:r>
    </w:p>
    <w:p w:rsidR="00786B3E" w:rsidRDefault="00786B3E" w:rsidP="00786B3E">
      <w:pPr>
        <w:numPr>
          <w:ilvl w:val="0"/>
          <w:numId w:val="205"/>
        </w:numPr>
      </w:pPr>
      <w:r>
        <w:t xml:space="preserve">El régimen en el que el beneficiario sigue casando una subvención a otras entidades en el contexto </w:t>
      </w:r>
      <w:r>
        <w:rPr>
          <w:i/>
        </w:rPr>
        <w:t>de las ayudas de minimis</w:t>
      </w:r>
      <w:r>
        <w:t xml:space="preserve"> constituiría una única operación. El artículo 63, apartado 6, del RDC se aplica al nivel de una operación (para más información, consúltese: </w:t>
      </w:r>
      <w:hyperlink r:id="rId513" w:history="1">
        <w:r>
          <w:rPr>
            <w:rStyle w:val="Hipervnculo"/>
          </w:rPr>
          <w:t>QA00227 — Admisibilidad de las operaciones presentadas a las convocatorias publicadas antes de la adopción de los programas 2021-27 y que se completaron en el período comprendido entre la solicitud y la adopción del programa — QA 21-27 — RegioWiki (europa.eu)</w:t>
        </w:r>
      </w:hyperlink>
      <w:r>
        <w:t>. De conformidad con el artículo 73, apartado 2, letra f), del RDC, al seleccionar las operaciones, la autoridad de gestión es responsable de verificar que, cuando las operaciones hayan comenzado antes de la presentación de una solicitud de financiación a la autoridad de gestión, se haya cumplido la legislación aplicable.</w:t>
      </w:r>
    </w:p>
    <w:p w:rsidR="00786B3E" w:rsidRDefault="00786B3E" w:rsidP="00786B3E">
      <w:pPr>
        <w:numPr>
          <w:ilvl w:val="0"/>
          <w:numId w:val="205"/>
        </w:numPr>
      </w:pPr>
      <w:r>
        <w:t xml:space="preserve"> De conformidad con el artículo 63, apartado 6, del RDC, siempre que la operación no se haya completado físicamente o no se haya ejecutado </w:t>
      </w:r>
      <w:r>
        <w:lastRenderedPageBreak/>
        <w:t>íntegramente antes de que se presente la solicitud de financiación en el marco del programa, independientemente de que se hayan efectuado todos los pagos correspondientes, la operación podrá ser seleccionada para recibir ayuda de los Fondos.</w:t>
      </w:r>
    </w:p>
    <w:p w:rsidR="00786B3E" w:rsidRDefault="00786B3E" w:rsidP="00786B3E"/>
    <w:p w:rsidR="00786B3E" w:rsidRDefault="00786B3E" w:rsidP="00786B3E"/>
    <w:p w:rsidR="00786B3E" w:rsidRDefault="00786B3E" w:rsidP="00786B3E"/>
    <w:p w:rsidR="00786B3E" w:rsidRDefault="00786B3E" w:rsidP="00786B3E">
      <w:pPr>
        <w:pStyle w:val="Ttulo1"/>
      </w:pPr>
      <w:bookmarkStart w:id="448" w:name="scroll-bookmark-516"/>
      <w:bookmarkStart w:id="449" w:name="scroll-bookmark-517"/>
      <w:bookmarkEnd w:id="448"/>
      <w:r>
        <w:t>QA00251 — Condiciones de habilitación (apéndice 2 de la solicitud de pago)</w:t>
      </w:r>
      <w:bookmarkEnd w:id="449"/>
    </w:p>
    <w:p w:rsidR="00786B3E" w:rsidRDefault="00786B3E" w:rsidP="00786B3E">
      <w:r>
        <w:rPr>
          <w:noProof/>
          <w:lang w:val="es-ES"/>
        </w:rPr>
        <w:drawing>
          <wp:inline distT="0" distB="0" distL="0" distR="0" wp14:anchorId="37F4B1E7" wp14:editId="4159A9EF">
            <wp:extent cx="152435" cy="152435"/>
            <wp:effectExtent l="0" t="0" r="0" b="0"/>
            <wp:docPr id="100903" name="Imagen 1009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 15 (6) RDC y Apéndice 2</w:t>
      </w:r>
    </w:p>
    <w:p w:rsidR="00786B3E" w:rsidRDefault="00786B3E" w:rsidP="00786B3E">
      <w:r>
        <w:rPr>
          <w:noProof/>
          <w:lang w:val="es-ES"/>
        </w:rPr>
        <w:drawing>
          <wp:inline distT="0" distB="0" distL="0" distR="0" wp14:anchorId="27D90673" wp14:editId="4BD92E56">
            <wp:extent cx="152435" cy="152435"/>
            <wp:effectExtent l="0" t="0" r="0" b="0"/>
            <wp:docPr id="100905" name="Imagen 1009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SK</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Según el título del apéndice 2 de la solicitud de pago, los datos relativos al incumplimiento y al cumplimiento de las condiciones favorecedoras se cumplimentan de forma acumulativa desde el inicio del período de programación. </w:t>
      </w:r>
      <w:r>
        <w:rPr>
          <w:b/>
        </w:rPr>
        <w:t>Llamamos su atención sobre la discrepancia en la nota a pie de página n.º 2</w:t>
      </w:r>
      <w:r>
        <w:t>, en la que se afirma que los importes por cumplir las condiciones favorables (o contribuir al cumplimiento) deben ser idénticos a los importes enumerados en el primer cuadro de la solicitud de pago en la columna (E). Sin embargo, este cuadro se completa anualmente.</w:t>
      </w:r>
    </w:p>
    <w:p w:rsidR="00786B3E" w:rsidRDefault="00786B3E" w:rsidP="00786B3E">
      <w:pPr>
        <w:pStyle w:val="P68B1DB1-Normal1"/>
      </w:pPr>
      <w:r>
        <w:t>Respuesta.</w:t>
      </w:r>
    </w:p>
    <w:p w:rsidR="00786B3E" w:rsidRDefault="00786B3E" w:rsidP="00786B3E">
      <w:r>
        <w:t xml:space="preserve">En el módulo SFC para las solicitudes de pago, las columnas D y E del apéndice 2 (apéndice 3 para los fondos HOME) serán cumplimentadas </w:t>
      </w:r>
      <w:r>
        <w:rPr>
          <w:u w:val="single"/>
        </w:rPr>
        <w:t xml:space="preserve">automáticamente </w:t>
      </w:r>
      <w:r>
        <w:t>por el sistema sobre la base del primer cuadro del anexo XXIII del RDC en todas las solicitudes de pago presentadas hasta la fecha, de modo que puedan conciliarse los importes acumulados desde el inicio del período de programación.</w:t>
      </w:r>
      <w:r>
        <w:rPr>
          <w:b/>
        </w:rPr>
        <w:t xml:space="preserve">   </w:t>
      </w:r>
    </w:p>
    <w:p w:rsidR="00786B3E" w:rsidRDefault="00786B3E" w:rsidP="00786B3E">
      <w:pPr>
        <w:pStyle w:val="P68B1DB1-Normal1"/>
      </w:pPr>
      <w:r>
        <w:t> </w:t>
      </w:r>
    </w:p>
    <w:p w:rsidR="00786B3E" w:rsidRDefault="00786B3E" w:rsidP="00786B3E">
      <w:pPr>
        <w:pStyle w:val="P68B1DB1-Normal1"/>
      </w:pPr>
      <w:r>
        <w:t>Pregunta 2 (incluidos los hechos e información pertinentes):</w:t>
      </w:r>
    </w:p>
    <w:p w:rsidR="00786B3E" w:rsidRDefault="00786B3E" w:rsidP="00786B3E">
      <w:r>
        <w:t>En caso de que la condición favorable solo se cumpla durante el período de programación, los gastos correspondientes al período en el que se notificó como no cumplidos se trasladarán de las columnas (B) y (C) a las columnas (D) y (E) del apéndice 2?</w:t>
      </w:r>
    </w:p>
    <w:p w:rsidR="00786B3E" w:rsidRDefault="00786B3E" w:rsidP="00786B3E">
      <w:pPr>
        <w:pStyle w:val="P68B1DB1-Normal1"/>
      </w:pPr>
      <w:r>
        <w:t>Respuesta.</w:t>
      </w:r>
    </w:p>
    <w:p w:rsidR="00786B3E" w:rsidRDefault="00786B3E" w:rsidP="00786B3E">
      <w:r>
        <w:t>Los EM trasladarán estos gastos de las columnas (B) y (C) del apéndice 2 (apéndice 3 para los fondos HOME) al primer cuadro del anexo XXIII del RDC y, como se ha explicado anteriormente, se tendrán en cuenta automáticamente para las columnas D y E del apéndice 2 (apéndice 3 para los fondos HOME).</w:t>
      </w:r>
    </w:p>
    <w:p w:rsidR="00786B3E" w:rsidRDefault="00786B3E" w:rsidP="00786B3E">
      <w:r>
        <w:lastRenderedPageBreak/>
        <w:t xml:space="preserve">Compárese con la pregunta 117, respuesta a la pregunta 2: </w:t>
      </w:r>
      <w:hyperlink w:anchor="scroll-bookmark-210" w:history="1">
        <w:r>
          <w:rPr>
            <w:rStyle w:val="Hipervnculo"/>
          </w:rPr>
          <w:t>QA00117 — Aclaración relativa a los anexos XXIII (solicitud de pago) y XXIV (cuentas) del RDC en el período de programación 2021-2027 — RegioWiki Extranet — RegioWiki (europa.eu).</w:t>
        </w:r>
      </w:hyperlink>
    </w:p>
    <w:p w:rsidR="00786B3E" w:rsidRDefault="00786B3E" w:rsidP="00786B3E"/>
    <w:p w:rsidR="00786B3E" w:rsidRDefault="00786B3E" w:rsidP="00786B3E">
      <w:pPr>
        <w:pStyle w:val="P68B1DB1-Normal1"/>
      </w:pPr>
      <w:r>
        <w:t>Pregunta 3 (incluidos los hechos e información pertinentes):</w:t>
      </w:r>
    </w:p>
    <w:p w:rsidR="00786B3E" w:rsidRDefault="00786B3E" w:rsidP="00786B3E">
      <w:r>
        <w:t>¿Podría haber cambios en el apéndice 2 en los importes que, en el momento de informar a la Comisión, pertenecían al grupo que cumplía las condiciones y, por tanto, figuraban en las columnas D y E (es decir, en relación con las condiciones favorables cumplidas), y posteriormente algunos objetivos específicos dejan de cumplir las condiciones? ¿Permanecerán en el apéndice 2 en las columnas D y E los importes que ya se hayan abonado antes (cuando el objetivo específico cumpliera las condiciones favorecedoras), o estos importes se trasladarán a las columnas B y C (en relación con las condiciones favorecedoras no cumplidas)?</w:t>
      </w:r>
    </w:p>
    <w:p w:rsidR="00786B3E" w:rsidRDefault="00786B3E" w:rsidP="00786B3E">
      <w:pPr>
        <w:pStyle w:val="P68B1DB1-Normal1"/>
      </w:pPr>
      <w:r>
        <w:t>Respuesta.</w:t>
      </w:r>
    </w:p>
    <w:p w:rsidR="00786B3E" w:rsidRDefault="00786B3E" w:rsidP="00786B3E">
      <w:r>
        <w:t>Los gastos consignados en las columnas D y E del apéndice 2 (apéndice 3 para los fondos HOME) relacionados con el cumplimiento de las condiciones favorables que ya se hayan reembolsado no tendrán que trasladarse ex post a las columnas B y C. La necesidad de tal corrección solo podrá cubrir los gastos declarados en el primer cuadro o consignados en el apéndice 2 en solicitudes de pago pendientes que aún no hayan sido pagadas o reembolsadas, que estaban pendientes en el momento en que la Comisión adoptó una decisión de conformidad con el artículo 15, apartado 6, del RDC.</w:t>
      </w:r>
    </w:p>
    <w:p w:rsidR="00786B3E" w:rsidRDefault="00786B3E" w:rsidP="00786B3E">
      <w:r>
        <w:t>La condición favorable no se cumple (ya no se cumple) en la fecha de entrada en vigor de la Decisión de Ejecución de la Comisión con arreglo al artículo 15, apartado 6, del RDC, que tiene la forma de una carta.  Los gastos vinculados a la condición favorable que deje de cumplirse incluidos en el primer cuadro y en las columnas D y E del apéndice 2 de las solicitudes de pago pendientes, que no se hayan reembolsado antes de esa fecha, tendrán que ser:</w:t>
      </w:r>
    </w:p>
    <w:p w:rsidR="00786B3E" w:rsidRDefault="00786B3E" w:rsidP="00786B3E">
      <w:pPr>
        <w:numPr>
          <w:ilvl w:val="0"/>
          <w:numId w:val="206"/>
        </w:numPr>
      </w:pPr>
      <w:r>
        <w:t>suprimido del primer cuadro del anexo XXIII, que también se eliminará automáticamente de las columnas D y E del apéndice 2 (apéndice 3 para los fondos HOME).</w:t>
      </w:r>
    </w:p>
    <w:p w:rsidR="00786B3E" w:rsidRDefault="00786B3E" w:rsidP="00786B3E">
      <w:pPr>
        <w:numPr>
          <w:ilvl w:val="0"/>
          <w:numId w:val="206"/>
        </w:numPr>
      </w:pPr>
      <w:r>
        <w:t>trasladado a las columnas B y C del apéndice 2 (apéndice 3 para fondos HOME)</w:t>
      </w:r>
    </w:p>
    <w:p w:rsidR="00786B3E" w:rsidRDefault="00786B3E" w:rsidP="00786B3E"/>
    <w:p w:rsidR="00786B3E" w:rsidRDefault="00786B3E" w:rsidP="00786B3E"/>
    <w:p w:rsidR="00786B3E" w:rsidRDefault="00786B3E" w:rsidP="00786B3E"/>
    <w:p w:rsidR="00786B3E" w:rsidRDefault="00786B3E" w:rsidP="00786B3E">
      <w:pPr>
        <w:pStyle w:val="Ttulo1"/>
      </w:pPr>
      <w:bookmarkStart w:id="450" w:name="scroll-bookmark-518"/>
      <w:bookmarkStart w:id="451" w:name="scroll-bookmark-519"/>
      <w:bookmarkEnd w:id="450"/>
      <w:r>
        <w:t>QA00252 — Preguntas relativas a los anexos XXIII y XXIV del RDC</w:t>
      </w:r>
      <w:bookmarkEnd w:id="451"/>
    </w:p>
    <w:p w:rsidR="00786B3E" w:rsidRDefault="00786B3E" w:rsidP="00786B3E">
      <w:r>
        <w:rPr>
          <w:noProof/>
          <w:lang w:val="es-ES"/>
        </w:rPr>
        <w:drawing>
          <wp:inline distT="0" distB="0" distL="0" distR="0" wp14:anchorId="65D37ACC" wp14:editId="7D1AD0FA">
            <wp:extent cx="152435" cy="152435"/>
            <wp:effectExtent l="0" t="0" r="0" b="0"/>
            <wp:docPr id="100907" name="Imagen 1009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786B3E" w:rsidRDefault="00786B3E" w:rsidP="00786B3E">
      <w:pPr>
        <w:numPr>
          <w:ilvl w:val="0"/>
          <w:numId w:val="207"/>
        </w:numPr>
      </w:pPr>
      <w:r>
        <w:t>Artículo 74 del RDC</w:t>
      </w:r>
    </w:p>
    <w:p w:rsidR="00786B3E" w:rsidRDefault="00786B3E" w:rsidP="00786B3E">
      <w:pPr>
        <w:numPr>
          <w:ilvl w:val="0"/>
          <w:numId w:val="207"/>
        </w:numPr>
      </w:pPr>
      <w:r>
        <w:lastRenderedPageBreak/>
        <w:t>Anexo XXIII y apéndice 2 del RDC</w:t>
      </w:r>
    </w:p>
    <w:p w:rsidR="00786B3E" w:rsidRDefault="00786B3E" w:rsidP="00786B3E">
      <w:pPr>
        <w:numPr>
          <w:ilvl w:val="0"/>
          <w:numId w:val="207"/>
        </w:numPr>
      </w:pPr>
      <w:r>
        <w:t>Anexo XXIV del RDC </w:t>
      </w:r>
    </w:p>
    <w:p w:rsidR="00786B3E" w:rsidRDefault="00786B3E" w:rsidP="00786B3E">
      <w:r>
        <w:rPr>
          <w:noProof/>
          <w:lang w:val="es-ES"/>
        </w:rPr>
        <w:drawing>
          <wp:inline distT="0" distB="0" distL="0" distR="0" wp14:anchorId="08D0041B" wp14:editId="2F3A27E6">
            <wp:extent cx="152435" cy="152435"/>
            <wp:effectExtent l="0" t="0" r="0" b="0"/>
            <wp:docPr id="100909" name="Imagen 1009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BG</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En la fase de preparación de la solicitud de pago a la CE, ¿deben llevarse a cabo los controles de la existencia de irregularidades y la evaluación en curso de la legalidad y regularidad de los gastos incluidos en el anexo XXIII, apéndice 2 (información sobre los gastos relativos a objetivos específicos para los que no se han cumplido las condiciones para la subvención)? En caso de irregularidad o evaluación en curso, ¿debe retirarse o excluirse el gasto en cuestión del apéndice 2 de la solicitud de pago?</w:t>
      </w:r>
    </w:p>
    <w:p w:rsidR="00786B3E" w:rsidRDefault="00786B3E" w:rsidP="00786B3E">
      <w:pPr>
        <w:pStyle w:val="P68B1DB1-Normal1"/>
      </w:pPr>
      <w:r>
        <w:t>Pregunta 2 (incluidos los hechos e información pertinentes):</w:t>
      </w:r>
    </w:p>
    <w:p w:rsidR="00786B3E" w:rsidRDefault="00786B3E" w:rsidP="00786B3E">
      <w:r>
        <w:t>En la fase de preparación de las cuentas anuales, ¿deben llevarse a cabo controles de la existencia de irregularidades y de la evaluación en curso de la legalidad y regularidad de los gastos incluidos en el anexo XXIV, apéndice 5 (información sobre los gastos vinculados a objetivos específicos para los que no se cumplen las condiciones favorables)? En caso de irregularidad o evaluación en curso, ¿debe retirarse el gasto en cuestión del apéndice 5 de las cuentas anuales?</w:t>
      </w:r>
    </w:p>
    <w:p w:rsidR="00786B3E" w:rsidRDefault="00786B3E" w:rsidP="00786B3E">
      <w:r>
        <w:rPr>
          <w:u w:val="single"/>
        </w:rPr>
        <w:t>Entendemos que, en relación con las preguntas 1 y 2</w:t>
      </w:r>
      <w:r>
        <w:t>, los controles de las irregularidades y la evaluación continua deben llevarse a cabo únicamente sobre los gastos, incluidos en el cuadro «Gastos desglosados por prioridad y, en su caso, por categoría de región, tal como se anotan en las cuentas del organismo que desempeña la función de contabilidad» del anexo XXIII y en el cuadro «Importes anotados en los sistemas contables de la función de contabilidad — artículo 98, apartado 3, letra a)» del anexo XXIV. ¿Es correcto?</w:t>
      </w:r>
    </w:p>
    <w:p w:rsidR="00786B3E" w:rsidRDefault="00786B3E" w:rsidP="00786B3E">
      <w:pPr>
        <w:pStyle w:val="P68B1DB1-Normal1"/>
      </w:pPr>
      <w:r>
        <w:t>Respuesta a las preguntas 1 y 2:</w:t>
      </w:r>
    </w:p>
    <w:p w:rsidR="00786B3E" w:rsidRDefault="00786B3E" w:rsidP="00786B3E">
      <w:r>
        <w:t xml:space="preserve">Las verificaciones de la gestión deben llevarse a cabo antes de la presentación de las cuentas (artículo 74 (2), párrafo segundo, del RDC), </w:t>
      </w:r>
      <w:r w:rsidR="002F3719">
        <w:t xml:space="preserve">ya que, </w:t>
      </w:r>
      <w:r>
        <w:t>el Estado miembro confirmará que el gasto consignado en las cuentas es legal y regular [artículo 74 (1) (e) del RDC].</w:t>
      </w:r>
    </w:p>
    <w:p w:rsidR="00786B3E" w:rsidRDefault="00786B3E" w:rsidP="00786B3E">
      <w:r>
        <w:t>De conformidad con el artículo 98 (6) del RDC, los gastos irregulares o los gastos que estén sujetos a una evaluación en curso de su legalidad y regularidad se deducirán de las cuentas.</w:t>
      </w:r>
    </w:p>
    <w:p w:rsidR="00786B3E" w:rsidRDefault="00786B3E" w:rsidP="00786B3E">
      <w:r>
        <w:t>Mientras no se cumplan las condiciones favorables, los gastos correspondientes a los objetivos específicos correspondientes:</w:t>
      </w:r>
    </w:p>
    <w:p w:rsidR="00786B3E" w:rsidRDefault="00786B3E" w:rsidP="00786B3E">
      <w:pPr>
        <w:numPr>
          <w:ilvl w:val="0"/>
          <w:numId w:val="208"/>
        </w:numPr>
      </w:pPr>
      <w:r>
        <w:t>no se declara en el primer cuadro de solicitud de pago [artículo 91 (3) del RDC]; se presenta únicamente en el apéndice 2 del anexo XXIII a efectos del seguimiento de las normas sobre liberación;</w:t>
      </w:r>
    </w:p>
    <w:p w:rsidR="00786B3E" w:rsidRDefault="00786B3E" w:rsidP="00786B3E">
      <w:pPr>
        <w:numPr>
          <w:ilvl w:val="0"/>
          <w:numId w:val="208"/>
        </w:numPr>
      </w:pPr>
      <w:r>
        <w:lastRenderedPageBreak/>
        <w:t>no forma parte del paquete de fiabilidad, incluidas las cuentas (artículo 98 (4) del RDC); solo se presenta en el apéndice 5 del anexo XXIV a efectos del seguimiento de las normas sobre liberación.</w:t>
      </w:r>
    </w:p>
    <w:p w:rsidR="00786B3E" w:rsidRDefault="00786B3E" w:rsidP="00786B3E">
      <w:r>
        <w:t>Así pues, la obligación legal de llevar a cabo controles y de deducir dichos importes no se aplica mientras los gastos no se hayan declarado en el primer cuadro de solicitudes de pago y se hayan incluido en la contabilidad.</w:t>
      </w:r>
    </w:p>
    <w:p w:rsidR="00786B3E" w:rsidRDefault="00786B3E" w:rsidP="00786B3E">
      <w:r>
        <w:t>De conformidad con el artículo 98 (4) del RDC, «</w:t>
      </w:r>
      <w:r w:rsidR="002B6B31">
        <w:t>el</w:t>
      </w:r>
      <w:r w:rsidR="002B6B31">
        <w:rPr>
          <w:i/>
        </w:rPr>
        <w:t xml:space="preserve"> paquete</w:t>
      </w:r>
      <w:r>
        <w:rPr>
          <w:i/>
        </w:rPr>
        <w:t xml:space="preserve"> de fiabilidad no se referirá al importe total del gasto subvencionable en que hayan incurrido los beneficiarios y pagado en la ejecución de operaciones o a la contribución pública correspondiente realizada o que vaya a realizarse en relación con objetivos específicos para los que no se cumplan las condiciones favorecedoras, a excepción de las operaciones que contribuyan al cumplimiento de las condiciones favorecedoras»</w:t>
      </w:r>
      <w:r>
        <w:t>.</w:t>
      </w:r>
    </w:p>
    <w:p w:rsidR="00786B3E" w:rsidRDefault="00786B3E" w:rsidP="00786B3E">
      <w:r>
        <w:t>Como tales, no se alega que los importes presentados en el apéndice 5 del anexo XXIV del RDC sean legales y regulares y no serán auditados por la autoridad de auditoría (AA) de conformidad con el artículo 3 (3) del Reglamento sobre muestreo; por consiguiente, el AA tampoco emitirá un dictamen al respecto. Estos importes se reintroducirán en una solicitud de pago (una vez que se cumplan las condiciones favorables). Cuando esto ocurra (puede tratarse de un ejercicio contable diferente), estos gastos serán auditados, y el Estado miembro «reclamará» su legalidad y regularidad (siguiendo también los resultados del trabajo de auditoría). Solo entonces formarán parte del paquete de fiabilidad.</w:t>
      </w:r>
    </w:p>
    <w:p w:rsidR="00786B3E" w:rsidRDefault="00786B3E" w:rsidP="00786B3E">
      <w:pPr>
        <w:pStyle w:val="P68B1DB1-Normal1"/>
      </w:pPr>
      <w:r>
        <w:t>Pregunta 3 (incluidos los hechos e información pertinentes):</w:t>
      </w:r>
    </w:p>
    <w:p w:rsidR="00786B3E" w:rsidRDefault="00786B3E" w:rsidP="00786B3E">
      <w:r>
        <w:t>En el caso de los gastos para instrumentos financieros y anticipos de ayudas estatales incluidos en el anexo XXIII, apéndice 2 del PA (información sobre los gastos relativos a objetivos específicos para los que no se han cumplido las condiciones para la subvención), entendemos que ambos no están incluidos en el anexo XXIII, apéndices 1 y 4, respectivamente. En los apéndices 1 y 4 solo se incluyen los gastos incluidos en «Gastos desglosados por prioridad y, en su caso, por categoría de región según se hayan anotado en las cuentas del organismo que desempeña la función de contabilidad» del anexo XXIII. ¿Es correcto?</w:t>
      </w:r>
    </w:p>
    <w:p w:rsidR="00786B3E" w:rsidRDefault="00786B3E" w:rsidP="00786B3E">
      <w:pPr>
        <w:pStyle w:val="P68B1DB1-Normal1"/>
      </w:pPr>
      <w:r>
        <w:t>Respuesta.</w:t>
      </w:r>
    </w:p>
    <w:p w:rsidR="00786B3E" w:rsidRDefault="00786B3E" w:rsidP="00786B3E">
      <w:r>
        <w:t>Nota: «[...] no se han cumplido las condiciones para la subvención» utilizadas en la cuestión prejudicial en el sentido de que se refieren a «no se han cumplido las condiciones favorables».</w:t>
      </w:r>
    </w:p>
    <w:p w:rsidR="00786B3E" w:rsidRDefault="00786B3E" w:rsidP="00786B3E">
      <w:r>
        <w:t>Sí, su comprensión es correcta.</w:t>
      </w:r>
    </w:p>
    <w:p w:rsidR="00786B3E" w:rsidRDefault="00786B3E" w:rsidP="00786B3E">
      <w:pPr>
        <w:pStyle w:val="P68B1DB1-Normal6"/>
      </w:pPr>
      <w:r>
        <w:t>En relación con los instrumentos financieros:</w:t>
      </w:r>
    </w:p>
    <w:p w:rsidR="00786B3E" w:rsidRDefault="00786B3E" w:rsidP="00786B3E">
      <w:pPr>
        <w:numPr>
          <w:ilvl w:val="0"/>
          <w:numId w:val="209"/>
        </w:numPr>
      </w:pPr>
      <w:r>
        <w:rPr>
          <w:b/>
        </w:rPr>
        <w:t>Si no se cumple</w:t>
      </w:r>
      <w:r>
        <w:t xml:space="preserve"> una condición favorable para el pliego de cargos en virtud del cual se ejecutan los instrumentos financieros, el importe de hasta el 30 % debe presentarse únicamente en el apéndice 2 y no debe incluirse en el primer cuadro de la solicitud de pago ni debe presentarse en el apéndice 1.</w:t>
      </w:r>
    </w:p>
    <w:p w:rsidR="00786B3E" w:rsidRDefault="00786B3E" w:rsidP="00786B3E">
      <w:pPr>
        <w:numPr>
          <w:ilvl w:val="0"/>
          <w:numId w:val="209"/>
        </w:numPr>
      </w:pPr>
      <w:r>
        <w:rPr>
          <w:b/>
        </w:rPr>
        <w:t>Si se cumple</w:t>
      </w:r>
      <w:r>
        <w:t xml:space="preserve"> una condición favorable para el pliego de cargos en virtud del cual se ejecutan los instrumentos financieros, el importe de hasta el 30 % debe </w:t>
      </w:r>
      <w:r>
        <w:lastRenderedPageBreak/>
        <w:t>incluirse en el primer cuadro de la solicitud de pago y presentarse en el apéndice 1;</w:t>
      </w:r>
    </w:p>
    <w:p w:rsidR="00786B3E" w:rsidRDefault="00786B3E" w:rsidP="00786B3E">
      <w:r>
        <w:t>Más detalladamente (cuando se cumple una condición favorable para el pliego de cargos en virtud del cual se aplican los instrumentos financieros):</w:t>
      </w:r>
    </w:p>
    <w:p w:rsidR="00786B3E" w:rsidRDefault="00786B3E" w:rsidP="00786B3E">
      <w:r>
        <w:t>1) el importe de hasta el 30 % del importe total de las contribuciones del programa comprometidas a los instrumentos financieros en virtud del acuerdo de financiación pertinente incluido en la primera solicitud de pago [artículo 92, apartado 2, letra a), del RDC] debe incluirse en «Gastos desglosados por prioridad y, en su caso, por categoría de región, tal como se consignen en las cuentas del organismo que desempeña la función de contabilidad» del anexo XXIII y también consignados en el apéndice 1.</w:t>
      </w:r>
    </w:p>
    <w:p w:rsidR="00786B3E" w:rsidRDefault="00786B3E" w:rsidP="00786B3E">
      <w:r>
        <w:t>2) dado que los gastos subvencionables se efectúan de conformidad con el artículo 68, apartado 1, del RDC, se presentan en solicitudes de pago posteriores [artículo 92, apartado 2, letra b), del RDC] hasta el 70 % (o más del 70 % si el anticipo es inferior al 30 %) del importe total de las contribuciones del programa comprometidas a los instrumentos financieros en virtud del acuerdo de financiación pertinente en relación con los gastos subvencionables e incluidos únicamente en «Gastos desglosados por prioridad y, en su caso, por categoría de región, tal como figuren en las cuentas del organismo que desempeña la función de contabilidad» del anexo XXIII.</w:t>
      </w:r>
    </w:p>
    <w:p w:rsidR="00786B3E" w:rsidRDefault="00786B3E" w:rsidP="00786B3E">
      <w:r>
        <w:t>3) una vez que el gasto subvencionable haya alcanzado el 70 % (o más del 70 % si el anticipo es inferior al 30 %) de los importes de los recursos del programa comprometidos en el acuerdo de financiación pertinente, el importe de hasta el 30 % declarado en la primera solicitud de pago debe liquidarse con los gastos subvencionables a más tardar en el último ejercicio contable (artículo 92, apartado 3, del RDC). Los gastos subvencionables para liquidar el anticipo solo deben incluirse en el apéndice 1 del anexo XXIII.</w:t>
      </w:r>
    </w:p>
    <w:p w:rsidR="00786B3E" w:rsidRDefault="00786B3E" w:rsidP="00786B3E">
      <w:pPr>
        <w:pStyle w:val="P68B1DB1-Normal6"/>
      </w:pPr>
      <w:r>
        <w:t>En relación con los anticipos de ayudas estatales: </w:t>
      </w:r>
    </w:p>
    <w:p w:rsidR="00786B3E" w:rsidRDefault="00786B3E" w:rsidP="00786B3E">
      <w:pPr>
        <w:numPr>
          <w:ilvl w:val="0"/>
          <w:numId w:val="210"/>
        </w:numPr>
      </w:pPr>
      <w:r>
        <w:t>Si se cumple una condición favorable para el pliego de cargos en virtud de la cual se conceden anticipos de ayuda estatal, estos anticipos deben incluirse en el primer cuadro de la solicitud de pago y en el apéndice 4.</w:t>
      </w:r>
    </w:p>
    <w:p w:rsidR="00786B3E" w:rsidRDefault="00786B3E" w:rsidP="00786B3E">
      <w:pPr>
        <w:numPr>
          <w:ilvl w:val="0"/>
          <w:numId w:val="210"/>
        </w:numPr>
      </w:pPr>
      <w:r>
        <w:t>Si no se cumple una condición favorable para el pliego de cargos en virtud de la cual se conceden anticipos de ayudas estatales, estos anticipos deben presentarse únicamente en el apéndice 2 y no deben incluirse en el primer cuadro de la solicitud de pago ni presentarse en el apéndice 4.</w:t>
      </w:r>
    </w:p>
    <w:p w:rsidR="00786B3E" w:rsidRDefault="00786B3E" w:rsidP="00786B3E">
      <w:pPr>
        <w:pStyle w:val="P68B1DB1-Normal1"/>
      </w:pPr>
      <w:r>
        <w:t> </w:t>
      </w:r>
    </w:p>
    <w:p w:rsidR="00786B3E" w:rsidRDefault="00786B3E" w:rsidP="00786B3E">
      <w:pPr>
        <w:pStyle w:val="P68B1DB1-Normal1"/>
      </w:pPr>
      <w:r>
        <w:t>Pregunta 4 (incluidos los hechos e información pertinentes):</w:t>
      </w:r>
    </w:p>
    <w:p w:rsidR="00786B3E" w:rsidRDefault="00786B3E" w:rsidP="00786B3E">
      <w:r>
        <w:t xml:space="preserve">Si tenemos gastos incluidos en el cuadro «Gastos desglosados por prioridad y, en su caso, por categoría de región, tal como se anotan en las cuentas del organismo que desempeña la función de contabilidad» del anexo XXIII y reembolsados por la Comisión, y en una fase posterior el último queda excluido de este cuadro e incluido en el anexo XXIII, apéndice 2 (información sobre los gastos relativos a objetivos específicos para los que no se han cumplido las condiciones para la subvención), ¿significa que la exclusión se trata como un tipo de retirada, y el importe excluido debe consignarse </w:t>
      </w:r>
      <w:r>
        <w:lastRenderedPageBreak/>
        <w:t>como retirado en el anexo XXIV, apéndice 2 (Importes retirados durante el ejercicio contable — artículo 98, apartado 3, letra b), y artículo 98, apartado 7,)?</w:t>
      </w:r>
    </w:p>
    <w:p w:rsidR="00786B3E" w:rsidRDefault="00786B3E" w:rsidP="00786B3E">
      <w:r>
        <w:t>Entendemos que la deducción del cuadro «Gastos desglosados por prioridad y, en su caso, por categoría de región, tal como se anotan en las cuentas del organismo que desempeña la función de contabilidad» y que desplaza el mismo importe en el anexo XXIII, apéndice 2, no es retirada en el sentido de la información declarada en las cuentas anuales y el importe no debe incluirse en el anexo XXIV, apéndice 2. ¿Cierto?</w:t>
      </w:r>
    </w:p>
    <w:p w:rsidR="00786B3E" w:rsidRDefault="00786B3E" w:rsidP="00786B3E">
      <w:pPr>
        <w:pStyle w:val="P68B1DB1-Normal1"/>
      </w:pPr>
      <w:r>
        <w:t>Respuesta.</w:t>
      </w:r>
    </w:p>
    <w:p w:rsidR="00786B3E" w:rsidRDefault="00786B3E" w:rsidP="00786B3E">
      <w:r>
        <w:t>Nota: «[...] no se han cumplido las condiciones para la subvención» utilizadas en la cuestión prejudicial en el sentido de que se refieren a «no se han cumplido las condiciones favorables».</w:t>
      </w:r>
    </w:p>
    <w:p w:rsidR="00786B3E" w:rsidRDefault="00786B3E" w:rsidP="00786B3E">
      <w:r>
        <w:t>Como se indica en la respuesta a la pregunta 1, mientras no se cumplan las condiciones favorables, los gastos correspondientes a los objetivos específicos correspondientes:</w:t>
      </w:r>
    </w:p>
    <w:p w:rsidR="00786B3E" w:rsidRDefault="00786B3E" w:rsidP="00786B3E">
      <w:pPr>
        <w:numPr>
          <w:ilvl w:val="0"/>
          <w:numId w:val="211"/>
        </w:numPr>
      </w:pPr>
      <w:r>
        <w:t>no se declara en el primer cuadro de solicitud de pago [artículo 91 (3) del RDC]; se presenta únicamente en el apéndice 2 del anexo XXIII a efectos del seguimiento de las normas sobre liberación;</w:t>
      </w:r>
    </w:p>
    <w:p w:rsidR="00786B3E" w:rsidRDefault="00786B3E" w:rsidP="00786B3E">
      <w:r>
        <w:t>Cuando los Estados miembros declararon gastos relacionados con objetivos específicos para los que se cumplían las condiciones favorecedoras y dichos gastos fueron reembolsados por la Comisión (lo que significa que, en el momento del reembolso, la condición favorable se consideró cumplida), no es necesario revisar la solicitud de pago ni las cuentas.</w:t>
      </w:r>
    </w:p>
    <w:p w:rsidR="00786B3E" w:rsidRDefault="00786B3E" w:rsidP="00786B3E">
      <w:r>
        <w:t>La necesidad de revisar la solicitud de pago trasladando los gastos del primer cuadro de la solicitud de pago al apéndice 2 puede surgir en caso de que, durante el período de 60 días para la tramitación de la solicitud de pago, la condición favorable relacionada con el objetivo u objetivos específicos para los que se haya declarado el gasto no se cumpla sobre la base de la decisión adoptada de conformidad con el artículo 15, apartado 6, del RDC.</w:t>
      </w:r>
    </w:p>
    <w:p w:rsidR="00786B3E" w:rsidRDefault="00786B3E" w:rsidP="00786B3E">
      <w:r>
        <w:t>En tal caso, la interpretación del Estado miembro es correcta. No se trata de una irregularidad. No debe consignarse como retirada en el apéndice 2 de las cuentas.</w:t>
      </w:r>
    </w:p>
    <w:p w:rsidR="00786B3E" w:rsidRDefault="00786B3E" w:rsidP="00786B3E"/>
    <w:p w:rsidR="00786B3E" w:rsidRDefault="00786B3E" w:rsidP="00786B3E"/>
    <w:p w:rsidR="00786B3E" w:rsidRDefault="00786B3E" w:rsidP="00786B3E">
      <w:pPr>
        <w:pStyle w:val="Ttulo1"/>
      </w:pPr>
      <w:bookmarkStart w:id="452" w:name="scroll-bookmark-520"/>
      <w:bookmarkStart w:id="453" w:name="scroll-bookmark-521"/>
      <w:bookmarkEnd w:id="452"/>
      <w:r>
        <w:t>QA00253 — Modificaciones del programa — correcciones de redacción</w:t>
      </w:r>
      <w:bookmarkEnd w:id="453"/>
    </w:p>
    <w:p w:rsidR="00786B3E" w:rsidRDefault="00786B3E" w:rsidP="00786B3E">
      <w:r>
        <w:rPr>
          <w:noProof/>
          <w:lang w:val="es-ES"/>
        </w:rPr>
        <w:drawing>
          <wp:inline distT="0" distB="0" distL="0" distR="0" wp14:anchorId="65195CD9" wp14:editId="190BD6D0">
            <wp:extent cx="152435" cy="152435"/>
            <wp:effectExtent l="0" t="0" r="0" b="0"/>
            <wp:docPr id="100911" name="Imagen 1009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24 (6) del RDC </w:t>
      </w:r>
    </w:p>
    <w:p w:rsidR="00786B3E" w:rsidRDefault="00786B3E" w:rsidP="00786B3E">
      <w:r>
        <w:rPr>
          <w:noProof/>
          <w:lang w:val="es-ES"/>
        </w:rPr>
        <w:drawing>
          <wp:inline distT="0" distB="0" distL="0" distR="0" wp14:anchorId="763CA534" wp14:editId="0F9AAC36">
            <wp:extent cx="152435" cy="152435"/>
            <wp:effectExtent l="0" t="0" r="0" b="0"/>
            <wp:docPr id="100913" name="Imagen 1009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lastRenderedPageBreak/>
        <w:t>Le rogamos que facilite una explicación más amplia del artículo 24, apartado 6, del RDC, en concreto, lo que es «correcciones de carácter puramente administrativo o editorial».</w:t>
      </w:r>
    </w:p>
    <w:p w:rsidR="00786B3E" w:rsidRDefault="00786B3E" w:rsidP="00786B3E"/>
    <w:p w:rsidR="00786B3E" w:rsidRDefault="00786B3E" w:rsidP="00786B3E">
      <w:pPr>
        <w:pStyle w:val="P68B1DB1-Normal1"/>
      </w:pPr>
      <w:r>
        <w:t>Respuesta.</w:t>
      </w:r>
    </w:p>
    <w:p w:rsidR="00786B3E" w:rsidRDefault="00786B3E" w:rsidP="00786B3E">
      <w:r>
        <w:t>De conformidad con el artículo 24, apartado 6, del RDC, las correcciones de carácter puramente administrativo o editorial son correcciones que no afectan a la ejecución del programa. Por lo tanto, se trata de correcciones de carácter «inmaterial» sin consecuencias para la ejecución del programa, incluso en lo que se refiere a sus objetivos específicos, sus metas, etc. Por ejemplo, podrían incluir correcciones de errores ortográficos, errores manifiestos de codificación de valores numéricos, siempre que el error sea claramente evidente, problemas de formato, etc. Estas correcciones no requieren la aprobación de la Comisión, sino simplemente la notificación del Estado miembro a la Comisión. </w:t>
      </w:r>
    </w:p>
    <w:p w:rsidR="00786B3E" w:rsidRDefault="00786B3E" w:rsidP="00786B3E"/>
    <w:p w:rsidR="00786B3E" w:rsidRDefault="00786B3E" w:rsidP="00786B3E"/>
    <w:p w:rsidR="00786B3E" w:rsidRDefault="00786B3E" w:rsidP="00786B3E">
      <w:pPr>
        <w:pStyle w:val="Ttulo1"/>
      </w:pPr>
      <w:bookmarkStart w:id="454" w:name="scroll-bookmark-522"/>
      <w:bookmarkStart w:id="455" w:name="scroll-bookmark-523"/>
      <w:bookmarkEnd w:id="454"/>
      <w:r>
        <w:t>QA00254 — Facultad de apreciación entre el artículo 64, apartado 1, del RDC 2021-2027 y el artículo 7, apartado 1, del Reglamento (CE) n.º 651/20142023/1315 (RGEC)</w:t>
      </w:r>
      <w:bookmarkEnd w:id="455"/>
    </w:p>
    <w:p w:rsidR="00786B3E" w:rsidRDefault="00786B3E" w:rsidP="00786B3E">
      <w:r>
        <w:rPr>
          <w:noProof/>
          <w:lang w:val="es-ES"/>
        </w:rPr>
        <w:drawing>
          <wp:inline distT="0" distB="0" distL="0" distR="0" wp14:anchorId="3BCD51E2" wp14:editId="4ECB22C4">
            <wp:extent cx="152435" cy="152435"/>
            <wp:effectExtent l="0" t="0" r="0" b="0"/>
            <wp:docPr id="100915" name="Imagen 1009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pPr>
        <w:numPr>
          <w:ilvl w:val="0"/>
          <w:numId w:val="212"/>
        </w:numPr>
      </w:pPr>
      <w:r>
        <w:t>Artículo 64, apartado 1, del RDC 2021-2027;</w:t>
      </w:r>
    </w:p>
    <w:p w:rsidR="00786B3E" w:rsidRDefault="00786B3E" w:rsidP="00786B3E">
      <w:pPr>
        <w:numPr>
          <w:ilvl w:val="0"/>
          <w:numId w:val="212"/>
        </w:numPr>
      </w:pPr>
      <w:r>
        <w:t>Artículo 7, apartado 1, del Reglamento n.º 651/2014 (RGEC).</w:t>
      </w:r>
    </w:p>
    <w:p w:rsidR="00786B3E" w:rsidRDefault="00786B3E" w:rsidP="00786B3E">
      <w:r>
        <w:rPr>
          <w:noProof/>
          <w:lang w:val="es-ES"/>
        </w:rPr>
        <w:drawing>
          <wp:inline distT="0" distB="0" distL="0" distR="0" wp14:anchorId="6201A6F9" wp14:editId="746F7C44">
            <wp:extent cx="152435" cy="152435"/>
            <wp:effectExtent l="0" t="0" r="0" b="0"/>
            <wp:docPr id="100917" name="Imagen 1009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EE</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¿Cómo se aplica el artículo 64, apartado 1, letra c), inciso i), del RDC de 2021 si, en virtud del RGEC con el Reglamento modificativo n.º 2023/1315, el IVA recuperable no puede calcularse como intensidades de ayuda y puede optar a la ayuda?</w:t>
      </w:r>
    </w:p>
    <w:p w:rsidR="00786B3E" w:rsidRDefault="00786B3E" w:rsidP="00786B3E">
      <w:r>
        <w:t>El 23 de junio de 2023, la Comisión Europea modificó el artículo 7, apartado 1, del Reglamento general de exención por categorías (RGEC) 651/2014 mediante el Reglamento n.º 2023/1315.</w:t>
      </w:r>
    </w:p>
    <w:p w:rsidR="00786B3E" w:rsidRDefault="00786B3E" w:rsidP="00786B3E">
      <w:r>
        <w:t>«El texto del artículo 7, apartado 1, se sustituye por el siguiente:</w:t>
      </w:r>
    </w:p>
    <w:p w:rsidR="00786B3E" w:rsidRDefault="00786B3E" w:rsidP="00786B3E">
      <w:pPr>
        <w:numPr>
          <w:ilvl w:val="0"/>
          <w:numId w:val="213"/>
        </w:numPr>
      </w:pPr>
      <w:r>
        <w:t xml:space="preserve">A efectos del cálculo de la intensidad de ayuda y los costes subvencionables, todas las cifras empleadas se entenderán antes de cualquier deducción fiscal o de otras cargas. No obstante, el IVA sobre los costes subvencionables que sea recuperable con arreglo a la legislación fiscal nacional aplicable no se tendrá en cuenta a efectos del cálculo de la intensidad de la ayuda ni de los costes </w:t>
      </w:r>
      <w:r>
        <w:lastRenderedPageBreak/>
        <w:t>subvencionables. Los costes subvencionables serán avalados por pruebas documentales claras, específicas y actualizadas. El importe de los costes subvencionables podrá calcularse con arreglo a las opciones de costes simplificados, siempre que la operación esté financiada al menos en parte por un instrumento de la Unión que permita el uso de las opciones de costes simplificados y que la categoría de costes subvencionables sea subvencionable con arreglo a la disposición de exención. En tal caso, se aplicarán las opciones de costes simplificados establecidas en las normas pertinentes que rigen el instrumento de la Unión. ...»</w:t>
      </w:r>
    </w:p>
    <w:p w:rsidR="00786B3E" w:rsidRDefault="00786B3E" w:rsidP="00786B3E">
      <w:r>
        <w:t>De conformidad con el artículo 64, apartado 1, letra c), del Reglamento n.º 2021/1060 (RDC) del Parlamento Europeo y del Consejo, el IVA es, por regla general, un coste no subvencionable, salvo en los siguientes casos:</w:t>
      </w:r>
    </w:p>
    <w:p w:rsidR="00786B3E" w:rsidRDefault="00786B3E" w:rsidP="00786B3E">
      <w:pPr>
        <w:numPr>
          <w:ilvl w:val="0"/>
          <w:numId w:val="214"/>
        </w:numPr>
      </w:pPr>
      <w:r>
        <w:t>para las operaciones cuyo coste total sea inferior a 5 000 000 EUR (IVA incluido), y</w:t>
      </w:r>
    </w:p>
    <w:p w:rsidR="00786B3E" w:rsidRDefault="00786B3E" w:rsidP="00786B3E">
      <w:pPr>
        <w:numPr>
          <w:ilvl w:val="0"/>
          <w:numId w:val="214"/>
        </w:numPr>
      </w:pPr>
      <w:r>
        <w:t>actividades cuyo coste total sea de al menos 5 000 000 EUR (IVA incluido), a menos que sea recuperable con arreglo a la legislación nacional en materia de IVA.</w:t>
      </w:r>
    </w:p>
    <w:p w:rsidR="00786B3E" w:rsidRDefault="00786B3E" w:rsidP="00786B3E">
      <w:r>
        <w:t>En este contexto, se ha planteado la cuestión de que, si bien, en virtud del RGEC, el IVA recuperable debe excluirse en cualquier caso del cálculo de la intensidad de la ayuda y de los costes subvencionables, el RDC prevé una excepción a la subvencionabilidad contraria [artículo 64, apartado 1, letra c), inciso i)].</w:t>
      </w:r>
    </w:p>
    <w:p w:rsidR="00786B3E" w:rsidRDefault="00786B3E" w:rsidP="00786B3E">
      <w:pPr>
        <w:pStyle w:val="P68B1DB1-Normal1"/>
      </w:pPr>
      <w:r>
        <w:t>Respuesta.</w:t>
      </w:r>
    </w:p>
    <w:p w:rsidR="00786B3E" w:rsidRDefault="00786B3E" w:rsidP="00786B3E">
      <w:r>
        <w:t xml:space="preserve">Si bien el artículo 64, apartado 1, letra c), del Reglamento n.º 2021/1060 (RDC) establece que el IVA es un coste subvencionable para las operaciones cuyo coste total sea inferior a 5 000 000 EUR (IVA incluido), esta simplificación no es aplicable a las operaciones ejecutadas en virtud del Reglamento general de exención por categorías (RGEC), que, de conformidad con su artículo 7, apartado 1, modificado por el Reglamento (CE) n.º 2023/1315, establece que «el IVA sobre los costes subvencionables que sea recuperable con arreglo a la legislación fiscal nacional aplicable no se tendrá en cuenta a efectos del cálculo de la intensidad de la ayuda ni de los costes subvencionables». </w:t>
      </w:r>
    </w:p>
    <w:p w:rsidR="00786B3E" w:rsidRDefault="00786B3E" w:rsidP="00786B3E"/>
    <w:p w:rsidR="00786B3E" w:rsidRDefault="00786B3E" w:rsidP="00786B3E"/>
    <w:p w:rsidR="00786B3E" w:rsidRDefault="00786B3E" w:rsidP="00786B3E">
      <w:pPr>
        <w:pStyle w:val="Ttulo1"/>
      </w:pPr>
      <w:bookmarkStart w:id="456" w:name="scroll-bookmark-524"/>
      <w:bookmarkStart w:id="457" w:name="scroll-bookmark-525"/>
      <w:bookmarkEnd w:id="456"/>
      <w:r>
        <w:t>QA00255 — Publicación por parte de la AG de las entidades seleccionadas en la contratación pública (artículo 49 del RDC)</w:t>
      </w:r>
      <w:bookmarkEnd w:id="457"/>
    </w:p>
    <w:p w:rsidR="00786B3E" w:rsidRDefault="00786B3E" w:rsidP="00786B3E">
      <w:r>
        <w:rPr>
          <w:noProof/>
          <w:lang w:val="es-ES"/>
        </w:rPr>
        <w:drawing>
          <wp:inline distT="0" distB="0" distL="0" distR="0" wp14:anchorId="73FF266D" wp14:editId="1E7208D4">
            <wp:extent cx="152435" cy="152435"/>
            <wp:effectExtent l="0" t="0" r="0" b="0"/>
            <wp:docPr id="100919" name="Imagen 1009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49 (3) del RDC</w:t>
      </w:r>
    </w:p>
    <w:p w:rsidR="00786B3E" w:rsidRDefault="00786B3E" w:rsidP="00786B3E">
      <w:r>
        <w:rPr>
          <w:noProof/>
          <w:lang w:val="es-ES"/>
        </w:rPr>
        <w:drawing>
          <wp:inline distT="0" distB="0" distL="0" distR="0" wp14:anchorId="17C96FC8" wp14:editId="25D1F911">
            <wp:extent cx="152435" cy="152435"/>
            <wp:effectExtent l="0" t="0" r="0" b="0"/>
            <wp:docPr id="100921" name="Imagen 1009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El artículo 49, apartado 3, letra a), del RDC exige que la lista de operaciones seleccionadas para recibir ayuda de los Fondos contenga, en el caso de la contratación pública, los nombres de los contratistas.</w:t>
      </w:r>
    </w:p>
    <w:p w:rsidR="00786B3E" w:rsidRDefault="00786B3E" w:rsidP="00786B3E">
      <w:r>
        <w:t>A modo de recordatorio, el artículo 49, apartado 3, letra a), del RDC dispone lo siguiente: «</w:t>
      </w:r>
      <w:r>
        <w:rPr>
          <w:i/>
        </w:rPr>
        <w:t>La autoridad de gestión pondrá la lista de operaciones seleccionadas para recibir ayuda de los Fondos a disposición del público en el sitio web en al menos una de las lenguas oficiales de las instituciones de la Unión y actualizará dicha lista al menos cada 4 meses. Cada operación tendrá un código único. La lista contendrá los siguientes datos:</w:t>
      </w:r>
    </w:p>
    <w:p w:rsidR="00786B3E" w:rsidRDefault="00786B3E" w:rsidP="00786B3E">
      <w:r>
        <w:rPr>
          <w:i/>
        </w:rPr>
        <w:t>a) en el caso de las entidades jurídicas, el nombre del beneficiario y, en el caso de la contratación pública, el nombre del contratista;</w:t>
      </w:r>
      <w:r>
        <w:t>».</w:t>
      </w:r>
    </w:p>
    <w:p w:rsidR="00786B3E" w:rsidRDefault="00786B3E" w:rsidP="00786B3E">
      <w:r>
        <w:t>La interpretación de la autoridad de gestión es que tienen la responsabilidad de publicar en el sitio web mencionado en el artículo 49, apartado 1, del RDC documentos relacionados con la contratación pública que superen el umbral de valor del importe contratado con arreglo a:</w:t>
      </w:r>
    </w:p>
    <w:p w:rsidR="00786B3E" w:rsidRDefault="00786B3E" w:rsidP="00786B3E">
      <w:pPr>
        <w:numPr>
          <w:ilvl w:val="0"/>
          <w:numId w:val="215"/>
        </w:numPr>
      </w:pPr>
      <w:r>
        <w:t>Directiva 2014/24/UE sobre contratación pública.</w:t>
      </w:r>
    </w:p>
    <w:p w:rsidR="00786B3E" w:rsidRDefault="00786B3E" w:rsidP="00786B3E">
      <w:pPr>
        <w:numPr>
          <w:ilvl w:val="0"/>
          <w:numId w:val="215"/>
        </w:numPr>
      </w:pPr>
      <w:r>
        <w:t>De 10 de noviembre de 2021, por la que se modifica la Directiva 2014/24/UE del Parlamento Europeo y del Consejo en lo que se refiere a los umbrales para los contratos públicos de suministros, de servicios y de obras, y para los concursos de proyectos.</w:t>
      </w:r>
    </w:p>
    <w:p w:rsidR="00786B3E" w:rsidRDefault="00786B3E" w:rsidP="00786B3E">
      <w:pPr>
        <w:pStyle w:val="P68B1DB1-Normal1"/>
      </w:pPr>
      <w:r>
        <w:t> </w:t>
      </w:r>
    </w:p>
    <w:p w:rsidR="00786B3E" w:rsidRDefault="00786B3E" w:rsidP="00786B3E">
      <w:pPr>
        <w:pStyle w:val="P68B1DB1-Normal1"/>
      </w:pPr>
      <w:r>
        <w:t>En este contexto:</w:t>
      </w:r>
    </w:p>
    <w:p w:rsidR="00786B3E" w:rsidRDefault="00786B3E" w:rsidP="00786B3E">
      <w:r>
        <w:rPr>
          <w:b/>
        </w:rPr>
        <w:t xml:space="preserve">P1 — </w:t>
      </w:r>
      <w:r>
        <w:t>¿Se refiere el artículo 49, apartado 3, letra a), del RDC a los contratistas seleccionados por los beneficiarios en el caso de la contratación pública?</w:t>
      </w:r>
    </w:p>
    <w:p w:rsidR="00786B3E" w:rsidRDefault="00786B3E" w:rsidP="00786B3E">
      <w:r>
        <w:rPr>
          <w:b/>
        </w:rPr>
        <w:t>P2</w:t>
      </w:r>
      <w:r>
        <w:t xml:space="preserve"> — ¿Es correcta la interpretación de la autoridad de gestión anterior?</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pPr>
        <w:pStyle w:val="P68B1DB1-Normal7"/>
      </w:pPr>
      <w:r>
        <w:rPr>
          <w:i/>
        </w:rPr>
        <w:t>Esta respuesta se actualizó el 19 de abril de 2024. Los cambios se han tachado y el texto añadido aparece en azul y subrayado</w:t>
      </w:r>
      <w:r>
        <w:t>.</w:t>
      </w:r>
    </w:p>
    <w:p w:rsidR="00786B3E" w:rsidRDefault="00786B3E" w:rsidP="00786B3E">
      <w:r>
        <w:t>En interpretaciones anteriores sobre el artículo 49 del RDC</w:t>
      </w:r>
      <w:hyperlink w:anchor="scroll-bookmark-262" w:history="1">
        <w:r>
          <w:rPr>
            <w:rStyle w:val="Hipervnculo"/>
          </w:rPr>
          <w:t>(</w:t>
        </w:r>
      </w:hyperlink>
      <w:r>
        <w:t xml:space="preserve"> QA00136 </w:t>
      </w:r>
      <w:hyperlink w:anchor="scroll-bookmark-344" w:history="1">
        <w:r>
          <w:rPr>
            <w:rStyle w:val="Hipervnculo"/>
          </w:rPr>
          <w:t>y</w:t>
        </w:r>
      </w:hyperlink>
      <w:r>
        <w:t xml:space="preserve">QA00176), interpretamos que la información requerida en el artículo 49 (3) del RDC debe basarse en el anexo XVII. Esto significa que no deben recogerse datos adicionales, excepto los previstos en el anexo XVII, a efectos del artículo 49 del RDC. Además, </w:t>
      </w:r>
      <w:hyperlink w:anchor="scroll-bookmark-262" w:history="1">
        <w:r>
          <w:rPr>
            <w:rStyle w:val="Hipervnculo"/>
          </w:rPr>
          <w:t>el</w:t>
        </w:r>
      </w:hyperlink>
      <w:r>
        <w:t xml:space="preserve"> QA00136 proporciona exclusivamente interpretación del «coste de una operación» total a que se refiere el artículo 49, apartado 3, letra h), del RDC en el contexto de las responsabilidades de seguimiento de las autoridades de gestión.  </w:t>
      </w:r>
    </w:p>
    <w:p w:rsidR="00786B3E" w:rsidRDefault="00786B3E" w:rsidP="00786B3E">
      <w:r>
        <w:rPr>
          <w:color w:val="050505"/>
        </w:rPr>
        <w:t>Además, el</w:t>
      </w:r>
      <w:r>
        <w:rPr>
          <w:color w:val="0000FF"/>
        </w:rPr>
        <w:t xml:space="preserve"> </w:t>
      </w:r>
      <w:hyperlink w:anchor="scroll-bookmark-393" w:history="1">
        <w:r>
          <w:rPr>
            <w:rStyle w:val="Hipervnculo"/>
          </w:rPr>
          <w:t xml:space="preserve">QA00270 </w:t>
        </w:r>
      </w:hyperlink>
      <w:r>
        <w:rPr>
          <w:color w:val="050505"/>
        </w:rPr>
        <w:t>explica que: «</w:t>
      </w:r>
      <w:r>
        <w:rPr>
          <w:i/>
          <w:color w:val="0000FF"/>
          <w:u w:val="single"/>
        </w:rPr>
        <w:t xml:space="preserve">En el campo 23, la información sobre contratistas, sus titulares reales y contratos solo debe registrarse cuando la operación se ejecute de conformidad con las normas de contratación pública de la Unión (es decir, contratación pública por encima de los umbrales establecidos en la Directiva 2014/24/UE o en la </w:t>
      </w:r>
      <w:r>
        <w:rPr>
          <w:i/>
          <w:color w:val="0000FF"/>
          <w:u w:val="single"/>
        </w:rPr>
        <w:lastRenderedPageBreak/>
        <w:t>Directiva 2014/25/UE). La información sobre los subcontratistas del campo 24 deberá registrarse en el primer nivel de subcontratación, solo cuando la información se registre sobre un contratista en el campo 23, y únicamente en el caso de los subcontratos cuyo valor total supere los 50 000 EUR</w:t>
      </w:r>
      <w:r>
        <w:rPr>
          <w:color w:val="050505"/>
        </w:rPr>
        <w:t>.».</w:t>
      </w:r>
    </w:p>
    <w:p w:rsidR="00786B3E" w:rsidRDefault="00786B3E" w:rsidP="00786B3E">
      <w:r>
        <w:rPr>
          <w:strike/>
        </w:rPr>
        <w:t xml:space="preserve">Además, el </w:t>
      </w:r>
      <w:hyperlink w:anchor="scroll-bookmark-392" w:history="1">
        <w:r>
          <w:rPr>
            <w:rStyle w:val="Hipervnculo"/>
            <w:strike/>
          </w:rPr>
          <w:t>QA00200</w:t>
        </w:r>
      </w:hyperlink>
      <w:r>
        <w:rPr>
          <w:strike/>
        </w:rPr>
        <w:t xml:space="preserve"> explica que: «Los</w:t>
      </w:r>
      <w:r>
        <w:rPr>
          <w:b/>
          <w:i/>
          <w:strike/>
        </w:rPr>
        <w:t xml:space="preserve">datos sobre contratistas, titulares reales de contratistas o subcontratistas solo serán necesarios en caso de que el beneficiario u otras entidades que ejecuten la operación </w:t>
      </w:r>
      <w:r>
        <w:rPr>
          <w:i/>
          <w:strike/>
        </w:rPr>
        <w:t xml:space="preserve">(aunque utilicen opciones de costes simplificados) la </w:t>
      </w:r>
      <w:r>
        <w:rPr>
          <w:b/>
          <w:i/>
          <w:strike/>
        </w:rPr>
        <w:t>hagan (o parte de ella</w:t>
      </w:r>
      <w:r>
        <w:rPr>
          <w:i/>
          <w:strike/>
        </w:rPr>
        <w:t xml:space="preserve">) de </w:t>
      </w:r>
      <w:r>
        <w:rPr>
          <w:b/>
          <w:i/>
          <w:strike/>
        </w:rPr>
        <w:t>conformidad con las normas de contratación pública de la Unión</w:t>
      </w:r>
      <w:r>
        <w:rPr>
          <w:i/>
          <w:strike/>
        </w:rPr>
        <w:t xml:space="preserve"> y, en el caso de los subcontratistas del campo 24, solo cuando la información se registre sobre un contratista en el campo 23, y solo para los subcontratos</w:t>
      </w:r>
    </w:p>
    <w:p w:rsidR="00786B3E" w:rsidRDefault="00786B3E" w:rsidP="00786B3E">
      <w:pPr>
        <w:pStyle w:val="P68B1DB1-Normal8"/>
      </w:pPr>
      <w:r>
        <w:t>valor total superior a 50 000 EUR (y solo primer nivel de subcontratación).».</w:t>
      </w:r>
    </w:p>
    <w:p w:rsidR="00786B3E" w:rsidRDefault="00786B3E" w:rsidP="00786B3E">
      <w:r>
        <w:t>En conclusión, solo se publicarán con arreglo al artículo 49, apartado 3, letra a), del RDC los datos relacionados con las normas de contratación de la Unión (en particular las</w:t>
      </w:r>
      <w:hyperlink w:anchor="scroll-bookmark-526" w:history="1">
        <w:hyperlink w:anchor="scroll-bookmark-527" w:history="1">
          <w:hyperlink w:anchor="scroll-bookmark-528" w:history="1">
            <w:r w:rsidRPr="00767CF5">
              <w:rPr>
                <w:rStyle w:val="Hipervnculo"/>
              </w:rPr>
              <w:t>Directivas 2014/23/UE [</w:t>
            </w:r>
          </w:hyperlink>
          <w:r w:rsidRPr="00767CF5">
            <w:rPr>
              <w:rStyle w:val="Hipervnculo"/>
            </w:rPr>
            <w:t xml:space="preserve"> 2], 2014/24/UE [3] y</w:t>
          </w:r>
        </w:hyperlink>
        <w:r w:rsidRPr="00767CF5">
          <w:rPr>
            <w:rStyle w:val="Hipervnculo"/>
          </w:rPr>
          <w:t xml:space="preserve"> 2014/25/UE</w:t>
        </w:r>
      </w:hyperlink>
      <w:r>
        <w:t xml:space="preserve"> [1], en su versión modificada).</w:t>
      </w:r>
    </w:p>
    <w:p w:rsidR="00786B3E" w:rsidRDefault="00786B3E" w:rsidP="00786B3E">
      <w:r>
        <w:t>—</w:t>
      </w:r>
    </w:p>
    <w:p w:rsidR="00786B3E" w:rsidRDefault="00FC0FB1" w:rsidP="00786B3E">
      <w:hyperlink w:anchor="scroll-bookmark-529" w:history="1">
        <w:r w:rsidR="00786B3E">
          <w:rPr>
            <w:rStyle w:val="Hipervnculo"/>
          </w:rPr>
          <w:t>[1]</w:t>
        </w:r>
      </w:hyperlink>
      <w:r w:rsidR="00786B3E">
        <w:t xml:space="preserve"> Directiva 2014/23/UE del Parlamento Europeo y del Consejo, de 26 de febrero de 2014, relativa a la adjudicación de contratos de concesión (DO L 94 de 28.3.2014, p. 1).</w:t>
      </w:r>
    </w:p>
    <w:p w:rsidR="00786B3E" w:rsidRDefault="00FC0FB1" w:rsidP="00786B3E">
      <w:hyperlink w:anchor="scroll-bookmark-530" w:history="1">
        <w:r w:rsidR="00786B3E">
          <w:rPr>
            <w:rStyle w:val="Hipervnculo"/>
          </w:rPr>
          <w:t>[2]</w:t>
        </w:r>
      </w:hyperlink>
      <w:r w:rsidR="00786B3E">
        <w:t xml:space="preserve"> Directiva 2014/24/UE del Parlamento Europeo y del Consejo, de 26 de febrero de 2014, sobre contratación pública y por la que se deroga la Directiva 2004/18/CE (DO L 94 de 28.3.2014, p. 65).</w:t>
      </w:r>
    </w:p>
    <w:p w:rsidR="00786B3E" w:rsidRDefault="00FC0FB1" w:rsidP="00786B3E">
      <w:hyperlink w:anchor="scroll-bookmark-531" w:history="1">
        <w:r w:rsidR="00786B3E">
          <w:rPr>
            <w:rStyle w:val="Hipervnculo"/>
          </w:rPr>
          <w:t>[3]</w:t>
        </w:r>
      </w:hyperlink>
      <w:r w:rsidR="00786B3E">
        <w:t xml:space="preserve"> Directiva 2014/25/UE del Parlamento Europeo y del Consejo, de 26 de febrero de 2014, relativa a la contratación por entidades que operan en los sectores del agua, la energía, los transportes y los servicios postales y por la que se deroga la Directiva 2004/17/CE (DO L 94 de 28.3.2014, p. 243).       </w:t>
      </w:r>
    </w:p>
    <w:p w:rsidR="00786B3E" w:rsidRDefault="00786B3E" w:rsidP="00786B3E"/>
    <w:p w:rsidR="00786B3E" w:rsidRDefault="00786B3E" w:rsidP="00786B3E">
      <w:pPr>
        <w:pStyle w:val="P68B1DB1-Normal1"/>
      </w:pPr>
      <w:r>
        <w:t>Respuesta.</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458" w:name="scroll-bookmark-532"/>
      <w:bookmarkStart w:id="459" w:name="scroll-bookmark-533"/>
      <w:bookmarkEnd w:id="458"/>
      <w:r>
        <w:t>QA00256 — Necesidad de una decisión de la CE para modificar el programa en caso de modificación de la contribución nacional</w:t>
      </w:r>
      <w:bookmarkEnd w:id="459"/>
    </w:p>
    <w:p w:rsidR="00786B3E" w:rsidRDefault="00786B3E" w:rsidP="00786B3E">
      <w:r>
        <w:rPr>
          <w:noProof/>
          <w:lang w:val="es-ES"/>
        </w:rPr>
        <w:drawing>
          <wp:inline distT="0" distB="0" distL="0" distR="0" wp14:anchorId="034CB781" wp14:editId="3128776D">
            <wp:extent cx="152435" cy="152435"/>
            <wp:effectExtent l="0" t="0" r="0" b="0"/>
            <wp:docPr id="100923" name="Imagen 1009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22, 24 y 112 del RDC</w:t>
      </w:r>
    </w:p>
    <w:p w:rsidR="00786B3E" w:rsidRDefault="00786B3E" w:rsidP="00786B3E">
      <w:r>
        <w:rPr>
          <w:noProof/>
          <w:lang w:val="es-ES"/>
        </w:rPr>
        <w:drawing>
          <wp:inline distT="0" distB="0" distL="0" distR="0" wp14:anchorId="787A66D7" wp14:editId="0AC83993">
            <wp:extent cx="152435" cy="152435"/>
            <wp:effectExtent l="0" t="0" r="0" b="0"/>
            <wp:docPr id="100925" name="Imagen 1009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De conformidad con el RDC (artículo 24 (5) y (6)), los Estados miembros pueden modificar algunas partes de los programas sin necesidad de una decisión de la Comisión en los siguientes casos:</w:t>
      </w:r>
    </w:p>
    <w:p w:rsidR="00786B3E" w:rsidRDefault="00786B3E" w:rsidP="00786B3E">
      <w:pPr>
        <w:numPr>
          <w:ilvl w:val="0"/>
          <w:numId w:val="216"/>
        </w:numPr>
      </w:pPr>
      <w:r>
        <w:t>las transferencias entre prioridades existentes, dentro de umbrales específicos (art. 24 (5)), y los cambios correspondientes;</w:t>
      </w:r>
    </w:p>
    <w:p w:rsidR="00786B3E" w:rsidRDefault="00786B3E" w:rsidP="00786B3E">
      <w:pPr>
        <w:numPr>
          <w:ilvl w:val="0"/>
          <w:numId w:val="216"/>
        </w:numPr>
      </w:pPr>
      <w:r>
        <w:t>cambios puramente administrativos o de redacción que no afecten a la ejecución del programa (art. 24 (6)).</w:t>
      </w:r>
    </w:p>
    <w:p w:rsidR="00786B3E" w:rsidRDefault="00786B3E" w:rsidP="00786B3E">
      <w:r>
        <w:t>¿Es necesaria una decisión de la Comisión para modificar un programa 21-27 en lo que respecta a:</w:t>
      </w:r>
    </w:p>
    <w:p w:rsidR="00786B3E" w:rsidRDefault="00786B3E" w:rsidP="00786B3E">
      <w:pPr>
        <w:numPr>
          <w:ilvl w:val="0"/>
          <w:numId w:val="217"/>
        </w:numPr>
      </w:pPr>
      <w:r>
        <w:t xml:space="preserve">los importes de la </w:t>
      </w:r>
      <w:r>
        <w:rPr>
          <w:u w:val="single"/>
        </w:rPr>
        <w:t>contribución nacional solo</w:t>
      </w:r>
      <w:r>
        <w:t xml:space="preserve"> para cada prioridad indicada en el cuadro 11 del anexo V [art. 22 (3) g (ii)], en caso de que se cumplan todas las condiciones siguientes:</w:t>
      </w:r>
    </w:p>
    <w:p w:rsidR="00786B3E" w:rsidRDefault="00786B3E" w:rsidP="00786B3E">
      <w:pPr>
        <w:numPr>
          <w:ilvl w:val="1"/>
          <w:numId w:val="218"/>
        </w:numPr>
      </w:pPr>
      <w:r>
        <w:t>los cambios se mantienen dentro de los umbrales indicados en el artículo 24 (5);</w:t>
      </w:r>
    </w:p>
    <w:p w:rsidR="00786B3E" w:rsidRDefault="00786B3E" w:rsidP="00786B3E">
      <w:pPr>
        <w:numPr>
          <w:ilvl w:val="1"/>
          <w:numId w:val="218"/>
        </w:numPr>
      </w:pPr>
      <w:r>
        <w:t>no afecten al porcentaje total de cofinanciación para el programa y la categoría de región; la contribución nacional total o el presupuesto global del programa. Los cambios solo afectarían al porcentaje de cofinanciación a nivel de cada prioridad.</w:t>
      </w:r>
    </w:p>
    <w:p w:rsidR="00786B3E" w:rsidRDefault="00786B3E" w:rsidP="00786B3E">
      <w:r>
        <w:t>El objetivo de la enmienda es garantizar el mismo porcentaje de cofinanciación redondeado (es decir, el 40 %) para todas las prioridades de los programas.</w:t>
      </w:r>
    </w:p>
    <w:p w:rsidR="00786B3E" w:rsidRDefault="00786B3E" w:rsidP="00786B3E"/>
    <w:p w:rsidR="00786B3E" w:rsidRDefault="00786B3E" w:rsidP="00786B3E">
      <w:pPr>
        <w:pStyle w:val="P68B1DB1-Normal1"/>
      </w:pPr>
      <w:r>
        <w:t>Respuesta.</w:t>
      </w:r>
    </w:p>
    <w:p w:rsidR="00786B3E" w:rsidRDefault="00786B3E" w:rsidP="00786B3E">
      <w:r>
        <w:t>El artículo 24 del RDC establece los casos de modificaciones de programas que no requieren una decisión de la Comisión, en particular los cambios no sustanciales y conexos (artículo 24, apartado 5,) y las correcciones de carácter puramente administrativo o editorial (artículo 24, apartado 6,).</w:t>
      </w:r>
    </w:p>
    <w:p w:rsidR="00786B3E" w:rsidRDefault="00786B3E" w:rsidP="00786B3E">
      <w:r>
        <w:t>Sin embargo, el caso que nos ocupa no cumple los requisitos establecidos en ninguna de estas disposiciones.</w:t>
      </w:r>
    </w:p>
    <w:p w:rsidR="00786B3E" w:rsidRDefault="00786B3E" w:rsidP="00786B3E">
      <w:r>
        <w:t>En primer lugar, no entra en el ámbito de aplicación del artículo 24, apartado 5, del RDC, relativo a las transferencias no sustanciales y los cambios conexos, según el cual el cálculo del importe transferido se refiere a la parte de la Unión de la asignación a una prioridad. Por lo tanto, no es posible hacer uso de esta disposición a una transferencia que solo afecte a la contribución nacional.</w:t>
      </w:r>
    </w:p>
    <w:p w:rsidR="00786B3E" w:rsidRDefault="00786B3E" w:rsidP="00786B3E">
      <w:r>
        <w:t xml:space="preserve">En segundo lugar, si los cambios en la contribución nacional afectan al porcentaje de cofinanciación de cada prioridad, que se fija en la decisión de la Comisión por la que se aprueba el programa de conformidad con el artículo 112, apartado 1, del RDC, dicha modificación no puede considerarse una corrección de carácter puramente administrativo o editorial que no afecte a la ejecución del programa (artículo 24, apartado 6, del RDC). Por lo tanto, exige que el Estado miembro presente formalmente </w:t>
      </w:r>
      <w:r>
        <w:lastRenderedPageBreak/>
        <w:t>una solicitud de modificación del programa para obtener la aprobación de la Comisión de conformidad con el artículo 24, apartado 1, — (4) del RDC.</w:t>
      </w:r>
    </w:p>
    <w:p w:rsidR="00786B3E" w:rsidRDefault="00786B3E" w:rsidP="00786B3E"/>
    <w:p w:rsidR="00786B3E" w:rsidRDefault="00786B3E" w:rsidP="00786B3E"/>
    <w:p w:rsidR="00786B3E" w:rsidRDefault="00786B3E" w:rsidP="00786B3E">
      <w:pPr>
        <w:pStyle w:val="Ttulo1"/>
      </w:pPr>
      <w:bookmarkStart w:id="460" w:name="scroll-bookmark-534"/>
      <w:bookmarkStart w:id="461" w:name="scroll-bookmark-535"/>
      <w:bookmarkEnd w:id="460"/>
      <w:r>
        <w:t>QA00257 — Posibilidad de apoyar a las empresas distintas de las pymes en la mejora de las capacidades y el reciclaje profesional de los trabajadores y los solicitantes de empleo y de apoyar la búsqueda de empleo para los solicitantes de empleo</w:t>
      </w:r>
      <w:bookmarkEnd w:id="461"/>
    </w:p>
    <w:p w:rsidR="00786B3E" w:rsidRDefault="00786B3E" w:rsidP="00786B3E">
      <w:r>
        <w:rPr>
          <w:noProof/>
          <w:lang w:val="es-ES"/>
        </w:rPr>
        <w:drawing>
          <wp:inline distT="0" distB="0" distL="0" distR="0" wp14:anchorId="3E556C6F" wp14:editId="6E2DA25B">
            <wp:extent cx="152435" cy="152435"/>
            <wp:effectExtent l="0" t="0" r="0" b="0"/>
            <wp:docPr id="100927" name="Imagen 1009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786B3E" w:rsidRDefault="00786B3E" w:rsidP="00786B3E">
      <w:r>
        <w:t>Reglamento (UE) 2021/1056 del FTJ, considerando 16.</w:t>
      </w:r>
    </w:p>
    <w:p w:rsidR="00786B3E" w:rsidRDefault="00786B3E" w:rsidP="00786B3E">
      <w:r>
        <w:t>Reglamento (UE) 2021/1056 del FTJ, artículo 8</w:t>
      </w:r>
    </w:p>
    <w:p w:rsidR="00786B3E" w:rsidRDefault="00786B3E" w:rsidP="00786B3E">
      <w:r>
        <w:rPr>
          <w:noProof/>
          <w:lang w:val="es-ES"/>
        </w:rPr>
        <w:drawing>
          <wp:inline distT="0" distB="0" distL="0" distR="0" wp14:anchorId="67BA7A90" wp14:editId="77FCC9BD">
            <wp:extent cx="152435" cy="152435"/>
            <wp:effectExtent l="0" t="0" r="0" b="0"/>
            <wp:docPr id="100929" name="Imagen 1009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El programa nacional francés del FTJ (que abarca únicamente los tipos de acciones del FSE +), es decir, las medidas en virtud de los artículos 8 (2) (k) — (m, para todos los territorios admisibles) incluye medidas de mejora de las capacidades y reciclaje profesional de los trabajadores afectados por la transición </w:t>
      </w:r>
      <w:r>
        <w:rPr>
          <w:u w:val="single"/>
        </w:rPr>
        <w:t>en virtud del artículo 8, apartado 2, letra</w:t>
      </w:r>
      <w:r>
        <w:t xml:space="preserve"> k). Aunque la mayoría de las operaciones se llevarán a cabo a través del Servicio Público de Empleo (SPE), algunas operaciones podrían ser ejecutadas directamente por empresas, incluidas las grandes empresas. Dichas medidas se referirían a operaciones de perfeccionamiento o reciclaje profesional programadas en la letra k) y dirigidas a los trabajadores afectados por la transición, en los sectores de transformación determinados en los planes territoriales de transición justa pertinentes.</w:t>
      </w:r>
    </w:p>
    <w:p w:rsidR="00786B3E" w:rsidRDefault="00786B3E" w:rsidP="00786B3E">
      <w:r>
        <w:t xml:space="preserve">Del mismo modo, </w:t>
      </w:r>
      <w:r>
        <w:rPr>
          <w:u w:val="single"/>
        </w:rPr>
        <w:t>en virtud del artículo 8, apartado 2, letra l</w:t>
      </w:r>
      <w:r>
        <w:t>), las operaciones programadas deben tener por objeto reforzar el apoyo ofrecido por las instituciones de los SPE, en su capacidad de acompañar y formar a los demandantes de empleo hacia sectores de diversificación económica. Sin embargo, en la práctica, estas operaciones son promovidas principalmente por las empresas, incluidas las grandes empresas, en lugar de por los SPE. Por lo tanto, las autoridades francesas estudian la posibilidad de evitar limitar el apoyo a la asistencia en la búsqueda de empleo a los SPE en los sectores identificados como parte de las estrategias de diversificación de los territorios elegibles.</w:t>
      </w:r>
    </w:p>
    <w:p w:rsidR="00786B3E" w:rsidRDefault="00786B3E" w:rsidP="00786B3E">
      <w:r>
        <w:t xml:space="preserve"> Nos gustaría preguntarnos si esta posibilidad está en consonancia con el Reglamento del FTJ, en particular teniendo en cuenta las limitaciones establecidas en el Reglamento del FTJ en relación con el apoyo a las grandes empresas. ¿Se limitan las letras k) y l) a </w:t>
      </w:r>
      <w:r>
        <w:lastRenderedPageBreak/>
        <w:t>apoyar a los SPE o las operaciones ejecutadas por empresas, incluidas las grandes empresas, también pueden recibir apoyo en virtud de las letras k) y l)?</w:t>
      </w:r>
    </w:p>
    <w:p w:rsidR="00786B3E" w:rsidRDefault="00786B3E" w:rsidP="00786B3E">
      <w:pPr>
        <w:pStyle w:val="P68B1DB1-Normal4"/>
      </w:pPr>
      <w:r>
        <w:t> </w:t>
      </w:r>
    </w:p>
    <w:p w:rsidR="00786B3E" w:rsidRDefault="00786B3E" w:rsidP="00786B3E">
      <w:pPr>
        <w:pStyle w:val="P68B1DB1-Normal1"/>
      </w:pPr>
      <w:r>
        <w:t>Respuesta.</w:t>
      </w:r>
    </w:p>
    <w:p w:rsidR="00786B3E" w:rsidRDefault="00786B3E" w:rsidP="00786B3E">
      <w:r>
        <w:t>De conformidad con el artículo 8, apartado 2, letras k) y l), del Reglamento del FTJ, el FTJ podrá prestar apoyo, respectivamente, a la mejora de las capacidades y al reciclaje profesional de los trabajadores y los solicitantes de empleo, así como asistencia en la búsqueda de empleo.</w:t>
      </w:r>
    </w:p>
    <w:p w:rsidR="00786B3E" w:rsidRDefault="00786B3E" w:rsidP="00786B3E">
      <w:r>
        <w:t>Nada en la redacción ni en la justificación del artículo 8 (2) del FTJ impide a los Estados miembros apoyar medidas en virtud del artículo 8 (2), párrafo primero, letras k) y l), cuando las apliquen grandes empresas. De hecho, en primer lugar, la redacción del artículo 8, apartado 2, letras k- l), no se limita por ninguna referencia, por ejemplo, a las pymes, como es el caso de las «inversiones productivas» con arreglo al artículo 8, apartado 2, párrafo primero, letra a). Así pues, las grandes empresas pueden llevar a cabo las medidas contempladas en las letras k) y l) y contar con el apoyo del FTJ. En segundo lugar, las medidas contempladas en las letras k) y l), como las propuestas por las autoridades francesas, tienen una clara naturaleza social (inversiones en personas) y, por tanto, no pueden considerarse incluidas en el concepto de «inversiones productivas», tal como se define en el considerando (16) del Reglamento del FTJ.</w:t>
      </w:r>
    </w:p>
    <w:p w:rsidR="00786B3E" w:rsidRDefault="00786B3E" w:rsidP="00786B3E">
      <w:r>
        <w:t>Por lo tanto, las letras k) y l) mencionadas no se limitan a apoyar operaciones ejecutadas por los servicios públicos de empleo, sino que también pueden apoyar tales medidas cuando las apliquen las empresas, incluidas las grandes empresas.</w:t>
      </w:r>
    </w:p>
    <w:p w:rsidR="00786B3E" w:rsidRDefault="00786B3E" w:rsidP="00786B3E">
      <w:r>
        <w:t> </w:t>
      </w:r>
    </w:p>
    <w:p w:rsidR="00786B3E" w:rsidRDefault="00786B3E" w:rsidP="00786B3E">
      <w:r>
        <w:t>No obstante, para ser admisibles en el marco del FTJ, las medidas mencionadas deben seguir cumpliendo todas las demás condiciones en el marco del FTJ, en particular estar directamente vinculadas al objetivo del FTJ de permitir a las regiones y las personas abordar las repercusiones sociales, laborales, económicas y medioambientales de la transición hacia los objetivos de la Unión para 2030 en materia de energía y clima y una economía de la Unión climáticamente neutra de aquí a 2050 y contribuir a la ejecución de los planes territoriales de transición justa pertinentes. Además, debe garantizarse el cumplimiento de las normas sobre ayudas estatales.</w:t>
      </w:r>
    </w:p>
    <w:p w:rsidR="00786B3E" w:rsidRDefault="00786B3E" w:rsidP="00786B3E"/>
    <w:p w:rsidR="00786B3E" w:rsidRDefault="00786B3E" w:rsidP="00786B3E"/>
    <w:p w:rsidR="00786B3E" w:rsidRDefault="00786B3E" w:rsidP="00786B3E">
      <w:pPr>
        <w:pStyle w:val="Ttulo1"/>
      </w:pPr>
      <w:bookmarkStart w:id="462" w:name="scroll-bookmark-536"/>
      <w:bookmarkStart w:id="463" w:name="scroll-bookmark-537"/>
      <w:bookmarkEnd w:id="462"/>
      <w:r>
        <w:t>QA00258 — Contribuciones en especie en forma de terrenos o bienes inmuebles en el contexto de las normas sobre admisibilidad de terrenos</w:t>
      </w:r>
      <w:bookmarkEnd w:id="463"/>
    </w:p>
    <w:p w:rsidR="00786B3E" w:rsidRDefault="00786B3E" w:rsidP="00786B3E">
      <w:r>
        <w:rPr>
          <w:noProof/>
          <w:lang w:val="es-ES"/>
        </w:rPr>
        <w:drawing>
          <wp:inline distT="0" distB="0" distL="0" distR="0" wp14:anchorId="37D45949" wp14:editId="687228A6">
            <wp:extent cx="152435" cy="152435"/>
            <wp:effectExtent l="0" t="0" r="0" b="0"/>
            <wp:docPr id="100931" name="Imagen 1009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67, apartado 1, del Reglamento sobre disposiciones comunes.</w:t>
      </w:r>
    </w:p>
    <w:p w:rsidR="00786B3E" w:rsidRDefault="00786B3E" w:rsidP="00786B3E">
      <w:r>
        <w:lastRenderedPageBreak/>
        <w:t>Artículo 64, apartado 1, del Reglamento sobre disposiciones comunes.</w:t>
      </w:r>
    </w:p>
    <w:p w:rsidR="00786B3E" w:rsidRDefault="00786B3E" w:rsidP="00786B3E">
      <w:r>
        <w:rPr>
          <w:noProof/>
          <w:lang w:val="es-ES"/>
        </w:rPr>
        <w:drawing>
          <wp:inline distT="0" distB="0" distL="0" distR="0" wp14:anchorId="7E8E4E0E" wp14:editId="3455628D">
            <wp:extent cx="152435" cy="152435"/>
            <wp:effectExtent l="0" t="0" r="0" b="0"/>
            <wp:docPr id="100933" name="Imagen 1009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De conformidad con el artículo 67, apartado 1, del RDC, ¿se aplica el límite del 10 % a las contribuciones en especie únicamente en forma de «terrenos» o también en forma de «bienes inmuebles»? Parece existir una incoherencia entre los artículos, </w:t>
      </w:r>
      <w:r w:rsidR="002F3719">
        <w:t xml:space="preserve">ya que, </w:t>
      </w:r>
      <w:r>
        <w:t>el artículo 67, apartado 1, se refiere al artículo 64, apartado 1, según el cual solo la compra de «terrenos» por un importe superior al 10 % del gasto total subvencionable de la operación de que se trate no es subvencionable (es decir, el límite del 10 % establecido en el artículo 64, apartado 1, no se aplica a la compra de «bienes inmuebles»).</w:t>
      </w:r>
    </w:p>
    <w:p w:rsidR="00786B3E" w:rsidRDefault="00786B3E" w:rsidP="00786B3E"/>
    <w:p w:rsidR="00786B3E" w:rsidRDefault="00786B3E" w:rsidP="00786B3E">
      <w:pPr>
        <w:pStyle w:val="P68B1DB1-Normal1"/>
      </w:pPr>
      <w:r>
        <w:t>Respuesta.</w:t>
      </w:r>
    </w:p>
    <w:p w:rsidR="00786B3E" w:rsidRDefault="00786B3E" w:rsidP="00786B3E">
      <w:r>
        <w:t>Las normas de subvencionabilidad para las «contribuciones en especie en forma de terrenos o bienes inmuebles» (artículo 67, apartado 1, del RDC) no deben confundirse con las normas de subvencionabilidad para la «adquisición de terrenos» [artículo 64, apartado 1, letra b), del RDC].</w:t>
      </w:r>
    </w:p>
    <w:p w:rsidR="00786B3E" w:rsidRDefault="00786B3E" w:rsidP="00786B3E">
      <w:r>
        <w:t>De conformidad con el artículo 67, apartado 1, párrafo segundo, del RDC, el valor de los terrenos o bienes inmuebles aportados como contribución en especie no superará el límite establecido en el artículo 64, apartado 1, letra b), del mismo Reglamento.</w:t>
      </w:r>
    </w:p>
    <w:p w:rsidR="00786B3E" w:rsidRDefault="00786B3E" w:rsidP="00786B3E">
      <w:r>
        <w:t>El artículo 64, apartado 1, letra b), del RDC establece que la adquisición de terrenos por un importe superior al 10 % del gasto total subvencionable de la operación de que se trate no podrá optar a una contribución de los Fondos.</w:t>
      </w:r>
    </w:p>
    <w:p w:rsidR="00786B3E" w:rsidRDefault="00786B3E" w:rsidP="00786B3E">
      <w:r>
        <w:t>De conformidad con las disposiciones anteriores, el límite aplicable a la contribución en especie de los terrenos o bienes inmuebles con arreglo al artículo 67, apartado 1, del RDC es el límite con arreglo al párrafo segundo del mismo artículo, referido al límite establecido en el artículo 64, apartado 1, letra b), del mismo Reglamento.</w:t>
      </w:r>
    </w:p>
    <w:p w:rsidR="00786B3E" w:rsidRDefault="00786B3E" w:rsidP="00786B3E">
      <w:r>
        <w:t>El límite del 10 % del gasto total subvencionable para la operación en cuestión se aplica al valor de los «terrenos o bienes inmuebles» aportados como contribución en especie, entendiéndose por «bienes inmuebles» los terrenos con edificios existentes en él.</w:t>
      </w:r>
    </w:p>
    <w:p w:rsidR="00786B3E" w:rsidRDefault="00786B3E" w:rsidP="00786B3E"/>
    <w:p w:rsidR="00786B3E" w:rsidRDefault="00786B3E" w:rsidP="00786B3E"/>
    <w:p w:rsidR="00786B3E" w:rsidRDefault="00786B3E" w:rsidP="00786B3E">
      <w:pPr>
        <w:pStyle w:val="Ttulo1"/>
      </w:pPr>
      <w:bookmarkStart w:id="464" w:name="scroll-bookmark-538"/>
      <w:bookmarkStart w:id="465" w:name="scroll-bookmark-539"/>
      <w:bookmarkEnd w:id="464"/>
      <w:r>
        <w:t>QA00259 — La defensa contra el cambio climático</w:t>
      </w:r>
      <w:bookmarkEnd w:id="465"/>
    </w:p>
    <w:p w:rsidR="00786B3E" w:rsidRDefault="00786B3E" w:rsidP="00786B3E">
      <w:r>
        <w:rPr>
          <w:noProof/>
          <w:lang w:val="es-ES"/>
        </w:rPr>
        <w:drawing>
          <wp:inline distT="0" distB="0" distL="0" distR="0" wp14:anchorId="4AB2919D" wp14:editId="3F891E6F">
            <wp:extent cx="152435" cy="152435"/>
            <wp:effectExtent l="0" t="0" r="0" b="0"/>
            <wp:docPr id="100935" name="Imagen 1009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73 (2) (j) del RDC</w:t>
      </w:r>
    </w:p>
    <w:p w:rsidR="00786B3E" w:rsidRDefault="00786B3E" w:rsidP="00786B3E">
      <w:r>
        <w:rPr>
          <w:noProof/>
          <w:lang w:val="es-ES"/>
        </w:rPr>
        <w:drawing>
          <wp:inline distT="0" distB="0" distL="0" distR="0" wp14:anchorId="0A615F78" wp14:editId="54983B96">
            <wp:extent cx="152435" cy="152435"/>
            <wp:effectExtent l="0" t="0" r="0" b="0"/>
            <wp:docPr id="100937" name="Imagen 1009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DK</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¿Qué tipo de documentos deben facilitar los solicitantes para confirmar la defensa contra el cambio climático de su propuesta? ¿Basta con hacer referencia a los métodos utilizados y al resultado, o es necesaria otra cosa?</w:t>
      </w:r>
    </w:p>
    <w:p w:rsidR="00786B3E" w:rsidRDefault="00786B3E" w:rsidP="00786B3E"/>
    <w:p w:rsidR="00786B3E" w:rsidRDefault="00786B3E" w:rsidP="00786B3E">
      <w:pPr>
        <w:pStyle w:val="P68B1DB1-Normal1"/>
      </w:pPr>
      <w:r>
        <w:t>Respuesta.</w:t>
      </w:r>
    </w:p>
    <w:p w:rsidR="00786B3E" w:rsidRDefault="00786B3E" w:rsidP="00786B3E">
      <w:r>
        <w:t xml:space="preserve">La autoridad de gestión debe garantizar la defensa contra el cambio climático de las inversiones en infraestructuras que tengan una vida útil prevista de al menos 5 años. Sin embargo, la metodología para hacerlo no está definida en la legislación de la UE. Por consiguiente, corresponde a los Estados miembros establecer una metodología adecuada. La autoridad de gestión es responsable de verificar el cumplimiento de este requisito.  Al diseñar la metodología adecuada para la defensa contra el cambio climático, las autoridades de gestión tienen a su disposición las </w:t>
      </w:r>
      <w:r>
        <w:rPr>
          <w:i/>
        </w:rPr>
        <w:t>orientaciones técnicas sobre la verificación climática de las infraestructuras en el período 2021-2027</w:t>
      </w:r>
      <w:hyperlink w:anchor="scroll-bookmark-540" w:history="1">
        <w:r>
          <w:rPr>
            <w:rStyle w:val="Hipervnculo"/>
            <w:i/>
          </w:rPr>
          <w:t>[1]</w:t>
        </w:r>
      </w:hyperlink>
      <w:r>
        <w:t>, que presenta un enfoque común para la defensa contra el cambio climático para las inversiones de la UE. El anexo B de las orientaciones técnicas describe un enfoque propuesto para la documentación y la verificación de la defensa contra el cambio climático.</w:t>
      </w:r>
    </w:p>
    <w:p w:rsidR="00786B3E" w:rsidRDefault="00786B3E" w:rsidP="00786B3E"/>
    <w:p w:rsidR="00786B3E" w:rsidRDefault="00786B3E" w:rsidP="00786B3E">
      <w:pPr>
        <w:pStyle w:val="P68B1DB1-Normal1"/>
      </w:pPr>
      <w:r>
        <w:t>Pregunta 2 (incluidos los hechos e información pertinentes):</w:t>
      </w:r>
    </w:p>
    <w:p w:rsidR="00786B3E" w:rsidRDefault="00786B3E" w:rsidP="00786B3E">
      <w:r>
        <w:t>La autoridad de gestión debe verificar que se ha cumplido el criterio de defensa contra el cambio climático antes de la selección de la operación. Suponemos que este control consiste únicamente en verificar si el solicitante ha aportado documentación suficiente que acredite que se ha realizado la evaluación. En caso afirmativo, también suponemos que el contenido de la evaluación cualitativa realizada por el solicitante no será objeto de una auditoría en una fase posterior.</w:t>
      </w:r>
    </w:p>
    <w:p w:rsidR="00786B3E" w:rsidRDefault="00786B3E" w:rsidP="00786B3E"/>
    <w:p w:rsidR="00786B3E" w:rsidRDefault="00786B3E" w:rsidP="00786B3E">
      <w:pPr>
        <w:pStyle w:val="P68B1DB1-Normal1"/>
      </w:pPr>
      <w:r>
        <w:t>Respuesta.</w:t>
      </w:r>
    </w:p>
    <w:p w:rsidR="00786B3E" w:rsidRDefault="00786B3E" w:rsidP="00786B3E">
      <w:r>
        <w:t>Al seleccionar las operaciones, la autoridad de gestión debe garantizar la defensa contra el cambio climático de las inversiones en infraestructuras que tengan una vida útil prevista de al menos 5 años. Corresponde a la autoridad de gestión establecer y aplicar criterios y procedimientos para la selección de operaciones que garanticen la consecución de este objetivo. En particular, debe verificarse la documentación de defensa contra el cambio climático de la operación.</w:t>
      </w:r>
    </w:p>
    <w:p w:rsidR="00786B3E" w:rsidRDefault="00786B3E" w:rsidP="00786B3E">
      <w:r>
        <w:t xml:space="preserve">La Comunicación de la Comisión «Orientaciones técnicas sobre la defensa contra el cambio climático de las infraestructuras en el período 2021-2027» (2021/C 373/01) se considera una referencia pertinente para el artículo 73, apartado 2, letra j), del RDC. En el contexto de la pregunta, podría ser útil recordar que la documentación de defensa contra el cambio climático debe proporcionar un resumen conciso de las distintas etapas del proceso de defensa contra el cambio climático y puede requerir una verificación por expertos independientes para ofrecer garantías de que la defensa contra el cambio climático se ajusta a las orientaciones y otros requisitos aplicables. Además, dicha </w:t>
      </w:r>
      <w:r>
        <w:lastRenderedPageBreak/>
        <w:t>verificación independiente no prejuzga que el financiador, como parte de la evaluación del proyecto y de la preparación de la decisión de inversión, solicite aclaraciones al promotor del proyecto o lleve a cabo su propia evaluación de la defensa contra el cambio climático.</w:t>
      </w:r>
    </w:p>
    <w:p w:rsidR="00786B3E" w:rsidRDefault="00786B3E" w:rsidP="00786B3E">
      <w:r>
        <w:t>De conformidad con el anexo XIII del RDC (sección I), la documentación que permite verificar la aplicación de los criterios de selección por parte de la autoridad de gestión, así como la documentación relativa al procedimiento general de selección y a la aprobación de las operaciones, es un elemento obligatorio de una pista de auditoría.</w:t>
      </w:r>
    </w:p>
    <w:p w:rsidR="00786B3E" w:rsidRDefault="00786B3E" w:rsidP="00786B3E"/>
    <w:p w:rsidR="00786B3E" w:rsidRDefault="00786B3E" w:rsidP="00786B3E">
      <w:pPr>
        <w:pStyle w:val="P68B1DB1-Normal1"/>
      </w:pPr>
      <w:r>
        <w:t>Pregunta 3 (incluidos los hechos e información pertinentes):</w:t>
      </w:r>
    </w:p>
    <w:p w:rsidR="00786B3E" w:rsidRDefault="00786B3E" w:rsidP="00786B3E">
      <w:r>
        <w:t>Las orientaciones técnicas sobre la defensa contra el cambio climático incluyen una evaluación de las huellas de carbono. Diríjase, como ejemplo ilustrativo, que un frente de puerto necesita un nuevo muelle. Es muy probable que la construcción tenga un impacto en la huella de carbono, en particular si el material es concreto, aunque la construcción tenga por objeto la defensa contra el cambio climático del puerto. Como autoridad de gestión, podemos tomar nota del impacto en la huella de carbono, pero ¿qué vamos a hacer con la información? Si la huella de carbono es significativa en cualquiera de los dos sentidos, ¿debemos tenerla en cuenta como algo que afecta positiva o negativamente a la solicitud a la hora de seleccionar las operaciones?</w:t>
      </w:r>
    </w:p>
    <w:p w:rsidR="00786B3E" w:rsidRDefault="00786B3E" w:rsidP="00786B3E"/>
    <w:p w:rsidR="00786B3E" w:rsidRDefault="00786B3E" w:rsidP="00786B3E">
      <w:pPr>
        <w:pStyle w:val="P68B1DB1-Normal9"/>
      </w:pPr>
      <w:r>
        <w:t>Respuesta.</w:t>
      </w:r>
    </w:p>
    <w:p w:rsidR="00786B3E" w:rsidRDefault="00786B3E" w:rsidP="00786B3E">
      <w:r>
        <w:t>De conformidad con el artículo 73, apartado 2, letra j), al seleccionar las operaciones, la autoridad de gestión debe garantizar la defensa contra el cambio climático de las inversiones en infraestructuras que tengan una vida útil prevista de al menos 5 años. La defensa contra el cambio climático es un requisito reglamentario para la inversión y debe garantizarse además de la evaluación de «no causar un perjuicio significativo» de los programas y de la EIA del proyecto, si procede. Las orientaciones técnicas recomiendan integrar las medidas de mitigación del cambio climático, junto con las medidas de mitigación del medio ambiente, en los documentos de licitación si no se han abordado ya a nivel estratégico (en una EAE, por ejemplo, eligiendo modelos alternativos de transporte y energía o ubicación alternativa para un proyecto). En cuanto al impacto de la huella de carbono, una vez cuantificadas, las emisiones de GEI pueden cuantificarse utilizando el enfoque proporcionado en las orientaciones técnicas e incluirse en el análisis coste-beneficio.</w:t>
      </w:r>
    </w:p>
    <w:p w:rsidR="00786B3E" w:rsidRDefault="00786B3E" w:rsidP="00786B3E">
      <w:r>
        <w:t>Elementos como la rentabilidad de la inversión, las consecuencias climáticas secundarias o medioambientales pertinentes para la inversión, o cualquier otra consecuencia medioambiental, climática o socioeconómica relacionada con las inversiones, pueden formar parte de los criterios de selección.</w:t>
      </w:r>
    </w:p>
    <w:p w:rsidR="00786B3E" w:rsidRDefault="00786B3E" w:rsidP="00786B3E"/>
    <w:p w:rsidR="00786B3E" w:rsidRDefault="00786B3E" w:rsidP="00786B3E">
      <w:pPr>
        <w:pStyle w:val="P68B1DB1-Normal1"/>
      </w:pPr>
      <w:r>
        <w:t>Pregunta 4 (incluidos los hechos e información pertinentes):</w:t>
      </w:r>
    </w:p>
    <w:p w:rsidR="00786B3E" w:rsidRDefault="00786B3E" w:rsidP="00786B3E">
      <w:r>
        <w:t xml:space="preserve">Tenemos una propuesta de proyecto a la espera de la decisión de subvención. ¿Podemos seleccionar la operación y celebrar un acuerdo de subvención a condición de que la operación demuestre, en un plazo de seis meses, que han llevado a cabo una evaluación </w:t>
      </w:r>
      <w:r>
        <w:lastRenderedPageBreak/>
        <w:t>del impacto climático y la defensa contra el cambio climático, incluida la huella de carbono? Si esto no se cumple, se pondrá fin a la subvención.</w:t>
      </w:r>
    </w:p>
    <w:p w:rsidR="00786B3E" w:rsidRDefault="00786B3E" w:rsidP="00786B3E"/>
    <w:p w:rsidR="00786B3E" w:rsidRDefault="00786B3E" w:rsidP="00786B3E">
      <w:pPr>
        <w:pStyle w:val="P68B1DB1-Normal9"/>
      </w:pPr>
      <w:r>
        <w:t>Respuesta.</w:t>
      </w:r>
    </w:p>
    <w:p w:rsidR="00786B3E" w:rsidRDefault="00786B3E" w:rsidP="00786B3E">
      <w:r>
        <w:t>Como se indica en la respuesta a la pregunta 2, corresponde a la autoridad de gestión establecer y aplicar criterios y procedimientos para la selección de operaciones a fin de garantizar la defensa contra el cambio climático de las inversiones en infraestructuras que tengan una vida útil prevista de al menos 5 años.</w:t>
      </w:r>
    </w:p>
    <w:p w:rsidR="00786B3E" w:rsidRDefault="00786B3E" w:rsidP="00786B3E">
      <w:r>
        <w:t>No se excluye la selección y celebración de un acuerdo de subvención, siempre que se cumplan las condiciones. La autoridad de gestión debe ser consciente de los riesgos de tal solución (retrasos en la ejecución debido a la posible anulación del acuerdo de subvención).</w:t>
      </w:r>
    </w:p>
    <w:p w:rsidR="00786B3E" w:rsidRDefault="00786B3E" w:rsidP="00786B3E">
      <w:r>
        <w:t>Teniendo en cuenta que las operaciones pueden haberse iniciado antes de que se presente la solicitud de financiación, la autoridad de gestión, en consonancia con la Comunicación de la Comisión mencionada anteriormente, debe garantizar que la defensa contra el cambio climático no llegue a un momento en el que las modificaciones del diseño sean difíciles y que no sea posible la coordinación con otras actividades, como el proceso de EIA.</w:t>
      </w:r>
    </w:p>
    <w:p w:rsidR="00786B3E" w:rsidRDefault="00786B3E" w:rsidP="00786B3E">
      <w:r>
        <w:t>TIERNA _</w:t>
      </w:r>
    </w:p>
    <w:p w:rsidR="00786B3E" w:rsidRDefault="00786B3E" w:rsidP="00786B3E"/>
    <w:p w:rsidR="00786B3E" w:rsidRDefault="00FC0FB1" w:rsidP="00786B3E">
      <w:hyperlink w:anchor="scroll-bookmark-541" w:history="1">
        <w:r w:rsidR="00786B3E">
          <w:rPr>
            <w:rStyle w:val="Hipervnculo"/>
          </w:rPr>
          <w:t>[1]</w:t>
        </w:r>
      </w:hyperlink>
      <w:r w:rsidR="00786B3E">
        <w:t xml:space="preserve"> Comunicación de la Comisión — Orientaciones técnicas sobre la defensa contra el cambio climático de las infraestructuras en el período 2021-2027 (DO C, C/373, 16.9.2021, p. 1, CELEX: </w:t>
      </w:r>
      <w:hyperlink r:id="rId514" w:history="1">
        <w:r w:rsidR="00786B3E">
          <w:rPr>
            <w:rStyle w:val="Hipervnculo"/>
          </w:rPr>
          <w:t>httpson//eur-lex.europa.eu/legal-content/EN/TXT/?uri=CELEX:52021XC0916 (03)</w:t>
        </w:r>
      </w:hyperlink>
      <w:r w:rsidR="00786B3E">
        <w:t>)</w:t>
      </w:r>
    </w:p>
    <w:p w:rsidR="00786B3E" w:rsidRDefault="00786B3E" w:rsidP="00786B3E"/>
    <w:p w:rsidR="00786B3E" w:rsidRDefault="00786B3E" w:rsidP="00786B3E"/>
    <w:p w:rsidR="00786B3E" w:rsidRDefault="00786B3E" w:rsidP="00786B3E">
      <w:pPr>
        <w:pStyle w:val="Ttulo1"/>
      </w:pPr>
      <w:bookmarkStart w:id="466" w:name="scroll-bookmark-542"/>
      <w:bookmarkStart w:id="467" w:name="scroll-bookmark-543"/>
      <w:bookmarkEnd w:id="466"/>
      <w:r>
        <w:t>QA00260 — Continuación de la ejecución de los instrumentos financieros a lo largo de dos períodos de programación consecutivos — contribución de los recursos del programa 2021-2027 al fondo de cartera existente</w:t>
      </w:r>
      <w:bookmarkEnd w:id="467"/>
    </w:p>
    <w:p w:rsidR="00786B3E" w:rsidRDefault="00786B3E" w:rsidP="00786B3E">
      <w:r>
        <w:rPr>
          <w:noProof/>
          <w:lang w:val="es-ES"/>
        </w:rPr>
        <w:drawing>
          <wp:inline distT="0" distB="0" distL="0" distR="0" wp14:anchorId="6F32BDC9" wp14:editId="08A7AF20">
            <wp:extent cx="152435" cy="152435"/>
            <wp:effectExtent l="0" t="0" r="0" b="0"/>
            <wp:docPr id="100939" name="Imagen 1009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59, apartado 3, del Reglamento sobre disposiciones comunes.</w:t>
      </w:r>
    </w:p>
    <w:p w:rsidR="00786B3E" w:rsidRDefault="00786B3E" w:rsidP="00786B3E">
      <w:r>
        <w:t>Artículo 68, apartado 2, del Reglamento sobre disposiciones comunes. </w:t>
      </w:r>
    </w:p>
    <w:p w:rsidR="00786B3E" w:rsidRDefault="00786B3E" w:rsidP="00786B3E">
      <w:r>
        <w:t>Artículo 92, apartado 2, letra a), del RDC</w:t>
      </w:r>
    </w:p>
    <w:p w:rsidR="00786B3E" w:rsidRDefault="00786B3E" w:rsidP="00786B3E">
      <w:r>
        <w:rPr>
          <w:noProof/>
          <w:lang w:val="es-ES"/>
        </w:rPr>
        <w:drawing>
          <wp:inline distT="0" distB="0" distL="0" distR="0" wp14:anchorId="23F60FB4" wp14:editId="31C54542">
            <wp:extent cx="152435" cy="152435"/>
            <wp:effectExtent l="0" t="0" r="0" b="0"/>
            <wp:docPr id="100941" name="Imagen 1009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786B3E" w:rsidRDefault="00786B3E" w:rsidP="00786B3E"/>
    <w:p w:rsidR="00786B3E" w:rsidRDefault="00786B3E" w:rsidP="00786B3E">
      <w:pPr>
        <w:pStyle w:val="P68B1DB1-Normal1"/>
      </w:pPr>
      <w:r>
        <w:lastRenderedPageBreak/>
        <w:t>Antecedentes:</w:t>
      </w:r>
    </w:p>
    <w:p w:rsidR="00786B3E" w:rsidRDefault="00786B3E" w:rsidP="00786B3E">
      <w:r>
        <w:t>Actualmente, Lituania cuenta con dos fondos en el ámbito de la modernización de edificios de apartamentos. Una es gestionada por el BEI y otra por la institución nacional de promoción lituana. Tienen previsto continuar ambos contratos, complementándolos con fondos de la UE para el período 2021-2027. Las modificaciones de los contratos se están preparando y se firmarán a finales de 2023. Sin embargo, tienen previsto asignar a estos fondos no la totalidad del importe previsto en el programa operativo. Tienen previsto asignar alrededor de 30 millones de euros en 2024 o 2025, dependiendo de cuál de los fondos mostrará mejores resultados.</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Las autoridades lituanas desearían cotejar si se permitiría modificar el contrato del Fondo de Fondos en 2023? ¿Está permitido complementar el importe restante de los fondos de la UE después de 2023 con un contrato ya modificado?</w:t>
      </w:r>
    </w:p>
    <w:p w:rsidR="00786B3E" w:rsidRDefault="00786B3E" w:rsidP="00786B3E">
      <w:pPr>
        <w:pStyle w:val="P68B1DB1-Normal1"/>
      </w:pPr>
      <w:r>
        <w:t> </w:t>
      </w:r>
    </w:p>
    <w:p w:rsidR="00786B3E" w:rsidRDefault="00786B3E" w:rsidP="00786B3E">
      <w:pPr>
        <w:pStyle w:val="P68B1DB1-Normal1"/>
      </w:pPr>
      <w:r>
        <w:t> Respuesta.</w:t>
      </w:r>
    </w:p>
    <w:p w:rsidR="00786B3E" w:rsidRDefault="00786B3E" w:rsidP="00786B3E">
      <w:r>
        <w:t>Entendemos que la estructura anterior, que implica instrumentos financieros ejecutados por dos fondos de cartera</w:t>
      </w:r>
      <w:hyperlink w:anchor="scroll-bookmark-544" w:history="1">
        <w:r>
          <w:rPr>
            <w:rStyle w:val="Hipervnculo"/>
          </w:rPr>
          <w:t>[1]</w:t>
        </w:r>
      </w:hyperlink>
      <w:r>
        <w:t>, se creó en el período de programación 2014-2020. También entendemos que a los organismos que ejecutan los HF (es decir, el BEI y la institución nacional de promoción lituana) se les adjudicaron contratos de servicios financieros directamente con arreglo a las Directivas sobre contratación pública aplicables.</w:t>
      </w:r>
    </w:p>
    <w:p w:rsidR="00786B3E" w:rsidRDefault="00786B3E" w:rsidP="00786B3E">
      <w:r>
        <w:t>Entendemos que la cuestión es si es posible continuar la ejecución de los instrumentos financieros en el período de programación 2021-2027 y asignar algunos de los recursos del programa a los instrumentos financieros solo en 2024 o en 2025 sobre la base de los resultados obtenidos por los instrumentos financieros gestionados por los respectivos instrumentos financieros.  </w:t>
      </w:r>
    </w:p>
    <w:p w:rsidR="00786B3E" w:rsidRDefault="00786B3E" w:rsidP="00786B3E">
      <w:r>
        <w:t>Es posible seguir ejecutando los instrumentos financieros que iniciaron la ejecución en el período de programación 2014-2020 y contribuir a los instrumentos financieros (también comprometiendo importes para el instrumento financiero en tramos durante el período de programación) a los recursos del programa 2021-2027, si la autoridad de gestión respeta las disposiciones del artículo 68, apartado 2, del RDC.</w:t>
      </w:r>
    </w:p>
    <w:p w:rsidR="00786B3E" w:rsidRDefault="00786B3E" w:rsidP="00786B3E">
      <w:r>
        <w:t xml:space="preserve">Si las autoridades del programa comprometen los recursos del programa al instrumento financiero en tramos, cualquier compromiso adicional con el instrumento financiero requerirá </w:t>
      </w:r>
      <w:r>
        <w:rPr>
          <w:u w:val="single"/>
        </w:rPr>
        <w:t>la modificación del acuerdo de financiación</w:t>
      </w:r>
      <w:r>
        <w:t xml:space="preserve">. Las autoridades del programa podrán reclamar a la Comisión el anticipo de hasta el 30 % de conformidad con el artículo 92, apartado 2, letra a), del RDC únicamente en relación </w:t>
      </w:r>
      <w:r>
        <w:rPr>
          <w:u w:val="single"/>
        </w:rPr>
        <w:t xml:space="preserve">con los importes comprometidos en el acuerdo de financiación en el momento de la primera </w:t>
      </w:r>
      <w:r w:rsidR="002B6B31">
        <w:rPr>
          <w:u w:val="single"/>
        </w:rPr>
        <w:t>solicitud</w:t>
      </w:r>
      <w:r w:rsidR="002B6B31">
        <w:t xml:space="preserve"> de</w:t>
      </w:r>
      <w:r>
        <w:t xml:space="preserve"> pago n.</w:t>
      </w:r>
    </w:p>
    <w:p w:rsidR="00786B3E" w:rsidRDefault="00786B3E" w:rsidP="00786B3E">
      <w:r>
        <w:t>Las condiciones y el calendario correspondientes para las contribuciones de los recursos del programa 2021-2027 a los instrumentos financieros deben incluirse en los acuerdos de financiación modificados. </w:t>
      </w:r>
    </w:p>
    <w:p w:rsidR="00786B3E" w:rsidRDefault="00786B3E" w:rsidP="00786B3E">
      <w:r>
        <w:lastRenderedPageBreak/>
        <w:t>Los acuerdos necesarios para la ejecución de los instrumentos financieros deben celebrarse en el período de programación 2014-2020 a fin de garantizar que la ejecución pueda continuar en el siguiente período de programación 2021-2027 y modificarse a más tardar al final del período de subvencionabilidad, es decir, el 31 de diciembre de 2023 (en el caso de los instrumentos financieros del Feader, el período de subvencionabilidad se extiende hasta finales de 2025).</w:t>
      </w:r>
    </w:p>
    <w:p w:rsidR="00786B3E" w:rsidRDefault="00786B3E" w:rsidP="00786B3E">
      <w:r>
        <w:t>El artículo 68, apartado 2, del RDC no crea ninguna excepción a las normas aplicables en materia de contratación pública. En consecuencia, se anima a las autoridades de gestión a aprovechar la nueva flexibilidad prevista en dicha disposición de conformidad con las Directivas europeas sobre contratación pública y la legislación nacional en materia de contratación pública.</w:t>
      </w:r>
    </w:p>
    <w:p w:rsidR="00786B3E" w:rsidRDefault="00786B3E" w:rsidP="00786B3E">
      <w:r>
        <w:t>Cuando el contrato de ejecución del instrumento financiero haya sido adjudicado directamente por la autoridad de gestión con arreglo al artículo 59, apartado 3, podrán confiarse fondos adicionales directamente a los organismos de ejecución existentes sobre la base de acuerdos actualizados, siempre que se sigan cumpliendo las condiciones para esta adjudicación directa. Si la entidad encargada es un fondo de cartera, puede tener que aplicar las normas de contratación pública para seguir confiando la ejecución de los fondos adicionales a fondos específicos.</w:t>
      </w:r>
    </w:p>
    <w:p w:rsidR="00786B3E" w:rsidRDefault="00786B3E" w:rsidP="00786B3E">
      <w:r>
        <w:t>Para consideraciones prácticas, véase la nota del Centro de Conocimiento fi-compass relacionada con el tema de la aplicación de los instrumentos financieros en períodos de programación consecutivos:</w:t>
      </w:r>
    </w:p>
    <w:p w:rsidR="00786B3E" w:rsidRDefault="00FC0FB1" w:rsidP="00786B3E">
      <w:hyperlink r:id="rId515" w:history="1">
        <w:r w:rsidR="00786B3E">
          <w:rPr>
            <w:rStyle w:val="Hipervnculo"/>
          </w:rPr>
          <w:t>httpson//www.ficompass.eu/sites/default/files/publications/ERDF_Knowledge_Hub_Report_Implementation_of_financial_instruments_across_consecutive_programming_periods.pdf</w:t>
        </w:r>
      </w:hyperlink>
    </w:p>
    <w:p w:rsidR="00786B3E" w:rsidRDefault="00786B3E" w:rsidP="00786B3E">
      <w:r>
        <w:t>TIERNA _</w:t>
      </w:r>
    </w:p>
    <w:p w:rsidR="00786B3E" w:rsidRDefault="00FC0FB1" w:rsidP="00786B3E">
      <w:hyperlink w:anchor="scroll-bookmark-545" w:history="1">
        <w:r w:rsidR="00786B3E">
          <w:rPr>
            <w:rStyle w:val="Hipervnculo"/>
          </w:rPr>
          <w:t>[1]</w:t>
        </w:r>
      </w:hyperlink>
      <w:r w:rsidR="00786B3E">
        <w:t xml:space="preserve"> Artículo 2, apartado 27, del RDC 2014-2020</w:t>
      </w:r>
    </w:p>
    <w:p w:rsidR="00786B3E" w:rsidRDefault="00786B3E" w:rsidP="00786B3E"/>
    <w:p w:rsidR="00786B3E" w:rsidRDefault="00786B3E" w:rsidP="00786B3E"/>
    <w:p w:rsidR="00786B3E" w:rsidRDefault="00786B3E" w:rsidP="00786B3E">
      <w:pPr>
        <w:pStyle w:val="Ttulo1"/>
      </w:pPr>
      <w:bookmarkStart w:id="468" w:name="scroll-bookmark-546"/>
      <w:bookmarkStart w:id="469" w:name="scroll-bookmark-547"/>
      <w:bookmarkEnd w:id="468"/>
      <w:r>
        <w:t>QA00261 — Admisibilidad de los costes salariales en el marco del FTJ y de los fondos del RDC para la subvencionabilidad de los costes/RGEC</w:t>
      </w:r>
      <w:bookmarkEnd w:id="469"/>
    </w:p>
    <w:p w:rsidR="00786B3E" w:rsidRDefault="00786B3E" w:rsidP="00786B3E">
      <w:r>
        <w:rPr>
          <w:noProof/>
          <w:lang w:val="es-ES"/>
        </w:rPr>
        <w:drawing>
          <wp:inline distT="0" distB="0" distL="0" distR="0" wp14:anchorId="77FEB8C9" wp14:editId="0203DFA0">
            <wp:extent cx="152435" cy="152435"/>
            <wp:effectExtent l="0" t="0" r="0" b="0"/>
            <wp:docPr id="100943" name="Imagen 1009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8 del FTJ</w:t>
      </w:r>
    </w:p>
    <w:p w:rsidR="00786B3E" w:rsidRDefault="00786B3E" w:rsidP="00786B3E">
      <w:r>
        <w:t>Artículo 63 del RDC</w:t>
      </w:r>
    </w:p>
    <w:p w:rsidR="00786B3E" w:rsidRDefault="00786B3E" w:rsidP="00786B3E">
      <w:r>
        <w:t>Artículo 64 del RDC </w:t>
      </w:r>
    </w:p>
    <w:p w:rsidR="00786B3E" w:rsidRDefault="00786B3E" w:rsidP="00786B3E">
      <w:r>
        <w:t>Artículo 73 del RDC</w:t>
      </w:r>
    </w:p>
    <w:p w:rsidR="00786B3E" w:rsidRDefault="00786B3E" w:rsidP="00786B3E">
      <w:r>
        <w:t>Artículo 14, apartado 4, letra b), del RGEC</w:t>
      </w:r>
    </w:p>
    <w:p w:rsidR="00786B3E" w:rsidRDefault="00786B3E" w:rsidP="00786B3E">
      <w:r>
        <w:rPr>
          <w:noProof/>
          <w:lang w:val="es-ES"/>
        </w:rPr>
        <w:lastRenderedPageBreak/>
        <w:drawing>
          <wp:inline distT="0" distB="0" distL="0" distR="0" wp14:anchorId="69A6A01D" wp14:editId="38597212">
            <wp:extent cx="152435" cy="152435"/>
            <wp:effectExtent l="0" t="0" r="0" b="0"/>
            <wp:docPr id="100945" name="Imagen 1009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t>Antecedentes:</w:t>
      </w:r>
    </w:p>
    <w:p w:rsidR="00786B3E" w:rsidRDefault="00786B3E" w:rsidP="00786B3E">
      <w:r>
        <w:t>Las autoridades rumanas tienen la intención de conceder apoyo del FTJ a las inversiones productivas en pymes en el marco de un régimen de ayudas regionales (artículo 14 del RGEC). En este contexto, la autoridad de gestión está preparando la convocatoria o convocatorias, así como directrices para los beneficiarios que indiquen el método para establecer los costes subvencionables. En las presentes Directrices, la AG ha reproducido las normas de subvencionabilidad del artículo 14 del RGEC (Ayudas regionales a la inversión), que establecen lo siguiente:</w:t>
      </w:r>
    </w:p>
    <w:p w:rsidR="00786B3E" w:rsidRDefault="00786B3E" w:rsidP="00786B3E">
      <w:r>
        <w:t>  </w:t>
      </w:r>
      <w:r>
        <w:rPr>
          <w:i/>
        </w:rPr>
        <w:t>«los costes subvencionables serán:</w:t>
      </w:r>
    </w:p>
    <w:p w:rsidR="00786B3E" w:rsidRDefault="00786B3E" w:rsidP="00786B3E">
      <w:pPr>
        <w:pStyle w:val="P68B1DB1-Normal4"/>
      </w:pPr>
      <w:r>
        <w:t>a) los costes de inversión en activos materiales e inmateriales; o</w:t>
      </w:r>
    </w:p>
    <w:p w:rsidR="00786B3E" w:rsidRDefault="00786B3E" w:rsidP="00786B3E">
      <w:pPr>
        <w:pStyle w:val="P68B1DB1-Normal4"/>
      </w:pPr>
      <w:r>
        <w:t>b) los costes salariales estimados derivados de la creación de empleo como resultado de una inversión inicial, calculados a lo largo de un período de dos años; o</w:t>
      </w:r>
    </w:p>
    <w:p w:rsidR="00786B3E" w:rsidRDefault="00786B3E" w:rsidP="00786B3E">
      <w:pPr>
        <w:pStyle w:val="P68B1DB1-Normal4"/>
      </w:pPr>
      <w:r>
        <w:t>C) una combinación de las letras a) y b) que no supere el importe de las letras a) o b), si esta cifra es superior.».</w:t>
      </w:r>
    </w:p>
    <w:p w:rsidR="00786B3E" w:rsidRDefault="00786B3E" w:rsidP="00786B3E">
      <w:r>
        <w:t> </w:t>
      </w:r>
    </w:p>
    <w:p w:rsidR="00786B3E" w:rsidRDefault="00786B3E" w:rsidP="00786B3E">
      <w:r>
        <w:t>Sobre la base de la explicación facilitada por la autoridad de gestión, cada inversión productiva en una pyme, cofinanciada por el FTJ, abarcaría tanto las inversiones en activos materiales como inmateriales. Los proyectos también deben crear y mantener una serie de nuevos puestos de trabajo relacionados con la inversión en activos, por lo que el coste del proyecto incluiría no solo los costes directos de personal vinculados a una operación (fase de inversión), sino también los costes de funcionamiento de una PYME relacionados con el personal (una vez finalizada la inversión), por ejemplo, si una operación consiste en la adquisición de equipos, el coste salarial se refiere al salario de una persona que instale la máquina o también de los empleados que la explotarán en el futuro una vez que se lleve a cabo la inversión.</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¿Podrían ser subvencionables los costes salariales durante la fase operativa de un proyecto con arreglo a las normas del FTJ?</w:t>
      </w:r>
    </w:p>
    <w:p w:rsidR="00786B3E" w:rsidRDefault="00786B3E" w:rsidP="00786B3E"/>
    <w:p w:rsidR="00786B3E" w:rsidRDefault="00786B3E" w:rsidP="00786B3E">
      <w:pPr>
        <w:pStyle w:val="P68B1DB1-Normal1"/>
      </w:pPr>
      <w:r>
        <w:t>Respuesta.</w:t>
      </w:r>
    </w:p>
    <w:p w:rsidR="00786B3E" w:rsidRDefault="00786B3E" w:rsidP="00786B3E">
      <w:r>
        <w:t>En primer lugar, cabe señalar que el apoyo prestado a los costes salariales puede entenderse como el objetivo de la operación (por ejemplo, los salarios de los trabajadores recién contratados en PYME), pero también como el coste del personal que realiza las tareas necesarias para la ejecución de la operación.</w:t>
      </w:r>
    </w:p>
    <w:p w:rsidR="00786B3E" w:rsidRDefault="00786B3E" w:rsidP="00786B3E">
      <w:r>
        <w:t xml:space="preserve">En cualquier caso, los costes salariales (al igual que otros costes de funcionamiento) que se producen durante la fase operativa del proyecto y, por tanto, una vez finalizada la operación del FTJ, no son subvencionables en el marco de la política de cohesión. No </w:t>
      </w:r>
      <w:r>
        <w:lastRenderedPageBreak/>
        <w:t>obstante, estos costes podrán financiarse durante toda la duración de la operación (es decir, cuando la operación se esté ejecutando y antes de su finalización).</w:t>
      </w:r>
    </w:p>
    <w:p w:rsidR="00786B3E" w:rsidRDefault="00786B3E" w:rsidP="00786B3E">
      <w:r>
        <w:t xml:space="preserve">De conformidad con el artículo 63, apartado 2, del RDC, los gastos deben poder optar a una contribución de los Fondos del RDC si han sido contraídos por un beneficiario y pagados </w:t>
      </w:r>
      <w:r>
        <w:rPr>
          <w:u w:val="single"/>
        </w:rPr>
        <w:t>en la ejecución</w:t>
      </w:r>
      <w:r>
        <w:t xml:space="preserve"> de operaciones. Además, el artículo 8 del FTJ establece claramente que solo son subvencionables los costes de inversión, que pueden incluir costes de personal necesarios para la inversión (siempre que dichos costes se consideren subvencionables con arreglo a las normas nacionales de conformidad con el artículo 63, apartado 1, del RDC). Además, el artículo 63, apartado 3, del RDC confirma que el gasto del FTJ debe estar relacionado con las operaciones.</w:t>
      </w:r>
    </w:p>
    <w:p w:rsidR="00786B3E" w:rsidRDefault="00786B3E" w:rsidP="00786B3E">
      <w:r>
        <w:t>En relación con lo anterior, es importante que el beneficiario defina con precisión el objetivo y el alcance de una operación para determinar en qué medida los costes salariales están relacionados con su ejecución.</w:t>
      </w:r>
    </w:p>
    <w:p w:rsidR="00786B3E" w:rsidRDefault="00786B3E" w:rsidP="00786B3E">
      <w:r>
        <w:t xml:space="preserve">A este respecto, cabe señalar que el apoyo a las medidas de empleo directo (salarios de los trabajadores recién contratados) no puede considerarse una inversión productiva y, por tanto, no puede constituir el objetivo de las operaciones en las pymes en virtud del artículo 8 (2) (a) del FTJ. Como se explica en </w:t>
      </w:r>
      <w:r w:rsidR="00F70C5D">
        <w:t>la QA</w:t>
      </w:r>
      <w:r>
        <w:t>00257, lo mismo se aplica a las medidas relacionadas con la mejora de las capacidades y el reciclaje profesional de los trabajadores y la inclusión activa de los solicitantes de empleo. Las inversiones productivas, según el considerando 16 del FTJ, son «</w:t>
      </w:r>
      <w:r>
        <w:rPr>
          <w:i/>
        </w:rPr>
        <w:t>inversiones en capital fijo o en activos inmateriales de empresas con vistas a la producción de bienes y servicios, que contribuyen a la formación bruta de capital y al empleo».</w:t>
      </w:r>
    </w:p>
    <w:p w:rsidR="00786B3E" w:rsidRDefault="00786B3E" w:rsidP="00786B3E">
      <w:r>
        <w:t>No obstante, podrán concederse subvenciones a la contratación, incluidos los salarios, como parte del apoyo a la inclusión activa de los solicitantes de empleo en virtud del artículo 8, apartado 2, letra m), del FTJ, como medida para promover el acceso al empleo. Además, los salarios también pueden estar cubiertos por el FTJ en el caso de las medidas de mejora de las capacidades y reciclaje profesional en virtud del artículo 8, apartado 2, letra k), es decir, los salarios de los trabajadores y los formadores.</w:t>
      </w:r>
    </w:p>
    <w:p w:rsidR="00786B3E" w:rsidRDefault="00786B3E" w:rsidP="00786B3E">
      <w:r>
        <w:t>Los gastos subvencionables en el marco de los Fondos del RDC deben cumplir todas las disposiciones aplicables derivadas de la legislación o los reglamentos pertinentes de la UE en los Estados miembros. En el caso del FTJ, esto significa que el gasto subvencionable debe contribuir, entre otras cosas, a la ejecución del plan territorial de transición justa pertinente, de conformidad con el artículo 63, apartado 3, del FTJ, y debe estar relacionado con una operación directamente vinculada al objetivo específico del FTJ establecido en el artículo 2 del FTJ.</w:t>
      </w:r>
    </w:p>
    <w:p w:rsidR="00786B3E" w:rsidRDefault="00786B3E" w:rsidP="00786B3E"/>
    <w:p w:rsidR="00786B3E" w:rsidRDefault="00786B3E" w:rsidP="00786B3E">
      <w:pPr>
        <w:pStyle w:val="P68B1DB1-Normal1"/>
      </w:pPr>
      <w:r>
        <w:t>Pregunta 2:</w:t>
      </w:r>
    </w:p>
    <w:p w:rsidR="00786B3E" w:rsidRDefault="00786B3E" w:rsidP="00786B3E">
      <w:r>
        <w:t xml:space="preserve">En el caso de los proyectos con arreglo al artículo 14 del RGEC: si, con arreglo a las normas del FTJ, los costes subvencionables se definen como costes de activos materiales e inmateriales (incluidos también posiblemente los costes salariales que no sean costes de funcionamiento), ¿sería posible verificar el cumplimiento de las ayudas estatales comparando dichos costes subvencionables con el límite máximo calculado sobre la base del método previsto en el artículo 14, letra b), del RGEC (es decir, los costes </w:t>
      </w:r>
      <w:r>
        <w:lastRenderedPageBreak/>
        <w:t>salariales calculados a lo largo de un período de 2 años, incluso si algunos de los costes no son subvencionables en el marco del FTJ)?</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 xml:space="preserve">El considerando 22 del RGEC establece que </w:t>
      </w:r>
      <w:r>
        <w:rPr>
          <w:i/>
        </w:rPr>
        <w:t>«con el fin de garantizar que la ayuda sea proporcionada y se limite al importe necesario, los importes máximos de ayuda deben definirse, siempre que sea posible, en términos de intensidades de ayuda en relación con un conjunto de costes subvencionables».</w:t>
      </w:r>
    </w:p>
    <w:p w:rsidR="00786B3E" w:rsidRDefault="00786B3E" w:rsidP="00786B3E">
      <w:r>
        <w:t>Con arreglo al RGEC (ayudas regionales), los costes subvencionables constituyen la base a la que se aplica la intensidad de ayuda para determinar el importe máximo de la ayuda. Por lo tanto, los costes subvencionables definidos de conformidad con el artículo 14 del RGEC pueden ser distintos de los gastos que se declararán en el marco de la política de cohesión, siempre que el importe global de la ayuda pública subvencionable en el marco de los proyectos cofinanciados por los Fondos del RDC no supere los importes máximos de ayuda y se respeten todas las demás condiciones aplicables en virtud del RGEC.</w:t>
      </w:r>
    </w:p>
    <w:p w:rsidR="00786B3E" w:rsidRDefault="00786B3E" w:rsidP="00786B3E">
      <w:r>
        <w:t>De conformidad con el artículo 73, apartado 3, del RDC, la AG debe garantizar que se facilite al beneficiario un documento en el que se establezcan todas las condiciones de la ayuda para cada operación, incluido, en su caso, el método que debe aplicarse para determinar los costes de la operación y las condiciones de pago de la ayuda.</w:t>
      </w:r>
    </w:p>
    <w:p w:rsidR="00786B3E" w:rsidRDefault="00786B3E" w:rsidP="00786B3E"/>
    <w:p w:rsidR="00786B3E" w:rsidRDefault="00786B3E" w:rsidP="00786B3E"/>
    <w:p w:rsidR="00786B3E" w:rsidRDefault="00786B3E" w:rsidP="00786B3E">
      <w:pPr>
        <w:pStyle w:val="Ttulo1"/>
      </w:pPr>
      <w:bookmarkStart w:id="470" w:name="scroll-bookmark-548"/>
      <w:bookmarkStart w:id="471" w:name="scroll-bookmark-549"/>
      <w:bookmarkEnd w:id="470"/>
      <w:r>
        <w:t>QA00262 — Subvencionabilidad del IVA</w:t>
      </w:r>
      <w:bookmarkEnd w:id="471"/>
    </w:p>
    <w:p w:rsidR="00786B3E" w:rsidRDefault="00786B3E" w:rsidP="00786B3E">
      <w:r>
        <w:rPr>
          <w:noProof/>
          <w:lang w:val="es-ES"/>
        </w:rPr>
        <w:drawing>
          <wp:inline distT="0" distB="0" distL="0" distR="0" wp14:anchorId="5A79FED8" wp14:editId="15328A4D">
            <wp:extent cx="152435" cy="152435"/>
            <wp:effectExtent l="0" t="0" r="0" b="0"/>
            <wp:docPr id="100947" name="Imagen 1009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786B3E" w:rsidRDefault="00786B3E" w:rsidP="00786B3E">
      <w:r>
        <w:t>Artículo 63 del RDC</w:t>
      </w:r>
    </w:p>
    <w:p w:rsidR="00786B3E" w:rsidRDefault="00786B3E" w:rsidP="00786B3E">
      <w:r>
        <w:t>Artículo 64 del RDC </w:t>
      </w:r>
    </w:p>
    <w:p w:rsidR="00786B3E" w:rsidRDefault="00786B3E" w:rsidP="00786B3E">
      <w:r>
        <w:rPr>
          <w:noProof/>
          <w:lang w:val="es-ES"/>
        </w:rPr>
        <w:drawing>
          <wp:inline distT="0" distB="0" distL="0" distR="0" wp14:anchorId="4EF059AE" wp14:editId="75AD3A68">
            <wp:extent cx="152435" cy="152435"/>
            <wp:effectExtent l="0" t="0" r="0" b="0"/>
            <wp:docPr id="100949" name="Imagen 1009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autoridad de gestión del programa FEMPA está preocupada por el nuevo artículo 64, apartado 1, letra c), inciso i), del RDC, sobre la subvencionabilidad de los costes del IVA para operaciones inferiores a 5 millones EUR.</w:t>
      </w:r>
    </w:p>
    <w:p w:rsidR="00786B3E" w:rsidRDefault="00786B3E" w:rsidP="00786B3E">
      <w:r>
        <w:t>Dadas las respuestas facilitadas en la wiki de la DG REGIO a Polonia y la República Checa (QA00002 y QA00176) sobre la aplicación del artículo 64 del RDC, los Estados miembros la interpretan en el sentido de que la Comisión exige a los Estados miembros que apliquen dicha simplificación sin tener en cuenta la cuestión de la doble financiación en lo que se considera operaciones a pequeña escala (operaciones con un coste total inferior a 5 millones EUR (IVA incluido).</w:t>
      </w:r>
    </w:p>
    <w:p w:rsidR="00786B3E" w:rsidRDefault="00786B3E" w:rsidP="00786B3E">
      <w:r>
        <w:lastRenderedPageBreak/>
        <w:t>Los efectos de esta interpretación pueden ser menores para otros fondos en el marco de la política de cohesión, pero es probable que, en el caso de los programas del FEMPA, pocas operaciones tengan un coste total superior a 5 millones EUR.</w:t>
      </w:r>
    </w:p>
    <w:p w:rsidR="00786B3E" w:rsidRDefault="00786B3E" w:rsidP="00786B3E">
      <w:r>
        <w:t>Sobre la base de las respuestas dadas a las preguntas de interpretación antes mencionadas, los Estados miembros aún no han aplicado normas nacionales que hagan que el IVA recuperable no pueda optar a financiación para operaciones por debajo del umbral de 5 millones EUR. Esto se debe a que ha interpretado las respuestas a PL y CZ en el sentido de que los Estados miembros deben hacer subvencionables los costes del IVA para operaciones de menos de 5 millones EUR en costes totales, aunque los costes del IVA sean recuperables.</w:t>
      </w:r>
    </w:p>
    <w:p w:rsidR="00786B3E" w:rsidRDefault="00786B3E" w:rsidP="00786B3E">
      <w:r>
        <w:t>A menos que los Estados miembros establezcan normas nacionales que prohíban la financiación del IVA recuperable, el programa FEMPA tendrá que modificarse para ajustar los objetivos establecidos en el programa, dado que hasta el 25 % (nivel del IVA en los Estados miembros) de la ayuda puede perderse como consecuencia de la doble financiación en lo que respecta a los fondos públicos.</w:t>
      </w:r>
    </w:p>
    <w:p w:rsidR="00786B3E" w:rsidRDefault="00786B3E" w:rsidP="00786B3E"/>
    <w:p w:rsidR="00786B3E" w:rsidRDefault="00786B3E" w:rsidP="00786B3E">
      <w:r>
        <w:t>Los Estados miembros preguntan:</w:t>
      </w:r>
    </w:p>
    <w:p w:rsidR="00786B3E" w:rsidRDefault="00786B3E" w:rsidP="00786B3E">
      <w:pPr>
        <w:numPr>
          <w:ilvl w:val="0"/>
          <w:numId w:val="219"/>
        </w:numPr>
      </w:pPr>
      <w:r>
        <w:t>¿Deben los Estados miembros hacer del IVA un coste subvencionable para las operaciones por debajo de un coste total de 5 millones EUR, aunque sea recuperable para el beneficiario? ¿O puede establecer una legislación nacional que impida la financiación del IVA recuperable?</w:t>
      </w:r>
    </w:p>
    <w:p w:rsidR="00786B3E" w:rsidRDefault="00786B3E" w:rsidP="00786B3E">
      <w:pPr>
        <w:numPr>
          <w:ilvl w:val="0"/>
          <w:numId w:val="219"/>
        </w:numPr>
      </w:pPr>
      <w:r>
        <w:t>¿Es realmente aceptable la doble financiación, como sería el caso si el IVA es un coste subvencionable al mismo tiempo que el beneficiario recupera el IVA? Esto es especialmente difícil de aceptar por los Estados miembros en el marco del FEMPA, donde a menudo daría lugar a un porcentaje de ayuda pública superior al 100 % de los costes totales.</w:t>
      </w:r>
    </w:p>
    <w:p w:rsidR="00786B3E" w:rsidRDefault="00786B3E" w:rsidP="00786B3E">
      <w:pPr>
        <w:numPr>
          <w:ilvl w:val="0"/>
          <w:numId w:val="219"/>
        </w:numPr>
      </w:pPr>
      <w:r>
        <w:t>¿Cómo es compatible el artículo 64 (1) (c) (i) RDC con el artículo 63 (2) del RDC que establece que un gasto será subvencionable si se ha efectuado.</w:t>
      </w:r>
    </w:p>
    <w:p w:rsidR="00786B3E" w:rsidRDefault="00786B3E" w:rsidP="00786B3E"/>
    <w:p w:rsidR="00786B3E" w:rsidRDefault="00786B3E" w:rsidP="00786B3E">
      <w:pPr>
        <w:pStyle w:val="P68B1DB1-Normal1"/>
      </w:pPr>
      <w:r>
        <w:t>Respuesta.</w:t>
      </w:r>
    </w:p>
    <w:p w:rsidR="00786B3E" w:rsidRDefault="00786B3E" w:rsidP="00786B3E">
      <w:r>
        <w:t>(1) De conformidad con el artículo 63 del Reglamento (UE) 2021/1060 (RDC), la subvencionabilidad del gasto se determinará sobre la base de normas nacionales, excepto cuando en el presente Reglamento o en los Reglamentos específicos de cada Fondo se establezcan normas específicas.</w:t>
      </w:r>
    </w:p>
    <w:p w:rsidR="00786B3E" w:rsidRDefault="00786B3E" w:rsidP="00786B3E">
      <w:r>
        <w:t>El artículo 64, apartado 1, letra c), del RDC establece una serie de excepciones a la norma general según la cual el IVA no es subvencionable a una contribución de los fondos de la UE en régimen de gestión compartida. Una de estas excepciones se aplica a las operaciones cuyo coste total es inferior a 5 000 000 EUR y no está supeditada a la posibilidad de recuperar el IVA con arreglo a la legislación nacional en materia de IVA.</w:t>
      </w:r>
    </w:p>
    <w:p w:rsidR="00786B3E" w:rsidRDefault="00786B3E" w:rsidP="00786B3E">
      <w:r>
        <w:t xml:space="preserve">La redacción del artículo 64 del RDC es que los gastos enumerados no </w:t>
      </w:r>
      <w:r w:rsidR="002B6B31">
        <w:t>serán</w:t>
      </w:r>
      <w:r w:rsidR="002B6B31">
        <w:rPr>
          <w:u w:val="single"/>
        </w:rPr>
        <w:t xml:space="preserve"> subvencionables</w:t>
      </w:r>
      <w:r>
        <w:rPr>
          <w:u w:val="single"/>
        </w:rPr>
        <w:t>, con excepción de las partidas de costes explícitamente enumeradas</w:t>
      </w:r>
      <w:r>
        <w:t xml:space="preserve">. </w:t>
      </w:r>
      <w:r>
        <w:lastRenderedPageBreak/>
        <w:t xml:space="preserve">Sin embargo, el artículo 64 del RDC no establece que las excepciones </w:t>
      </w:r>
      <w:r>
        <w:rPr>
          <w:u w:val="single"/>
        </w:rPr>
        <w:t>enumeradas</w:t>
      </w:r>
      <w:r>
        <w:t xml:space="preserve"> deban considerarse admisibles.</w:t>
      </w:r>
    </w:p>
    <w:p w:rsidR="00786B3E" w:rsidRDefault="00786B3E" w:rsidP="00786B3E">
      <w:r>
        <w:t>Dado que del artículo 63 del RDC se desprende claramente que las normas de subvencionabilidad son competencia nacional, a menos que un gasto se identifique explícitamente como no subvencionable en el RDC o en el Reglamento específico de cada Fondo, corresponde al Estado miembro decidir qué tipo de gasto es subvencionable. De ello se deduce que corresponde a cada Estado miembro decidir si desea o no hacer uso de la excepción prevista en 64 (1) (c) (i) RDC.</w:t>
      </w:r>
    </w:p>
    <w:p w:rsidR="00786B3E" w:rsidRDefault="00786B3E" w:rsidP="00786B3E">
      <w:r>
        <w:t xml:space="preserve">(2) La excepción del artículo 64, apartado 1, letra c), inciso i), del RDC, introducida en el RDC como medida de simplificación para las autoridades nacionales y los beneficiarios, no parece dar lugar a una doble financiación con cargo al presupuesto de la UE, </w:t>
      </w:r>
      <w:r w:rsidR="002F3719">
        <w:t xml:space="preserve">ya que, </w:t>
      </w:r>
      <w:r>
        <w:t>ello no daría lugar a que los mismos costes se financiaran dos veces con cargo al presupuesto de la UE. Por el contrario, permite a los Estados miembros conceder ayudas con cargo a los fondos de la UE en régimen de gestión compartida para cubrir también el IVA recuperable para operaciones con un coste total de hasta 5 000 000 EUR (IVA incluido) dentro de la misma operación.</w:t>
      </w:r>
    </w:p>
    <w:p w:rsidR="00786B3E" w:rsidRDefault="00786B3E" w:rsidP="00786B3E">
      <w:r>
        <w:t>Como resultado de esta medida de simplificación, los Estados miembros pueden permitir a los beneficiarios de operaciones con un coste total de hasta 5 000 000 EUR (IVA incluido) recuperar el IVA (a nivel nacional) y reclamarlo como gasto subvencionable de la UE en el marco de la operación, en caso de que el Estado miembro opte por utilizar la excepción prevista en 64 (1) (c) (i) RDC.</w:t>
      </w:r>
    </w:p>
    <w:p w:rsidR="00786B3E" w:rsidRDefault="00786B3E" w:rsidP="00786B3E">
      <w:r>
        <w:t xml:space="preserve">Cabe señalar que deben cumplirse las normas sobre ayudas estatales, cuando proceda (véase la pregunta </w:t>
      </w:r>
      <w:hyperlink r:id="rId516" w:history="1">
        <w:r>
          <w:rPr>
            <w:rStyle w:val="Hipervnculo"/>
          </w:rPr>
          <w:t>00254</w:t>
        </w:r>
      </w:hyperlink>
      <w:r>
        <w:t>).</w:t>
      </w:r>
    </w:p>
    <w:p w:rsidR="00786B3E" w:rsidRDefault="00786B3E" w:rsidP="00786B3E">
      <w:r>
        <w:t>(3) De conformidad con el artículo 63, apartado 2, del RDC, los gastos serán subvencionables si han sido efectuados por el beneficiario y pagados en el marco de la ejecución de las operaciones. Si el beneficiario ha pagado el IVA (o ha contabilizado el IVA), este será subvencionable en la medida en que se haya incurrido en él. Si se recupera es irrelevante para las operaciones con un coste total de hasta 5 000 000 EUR, de conformidad con el artículo 64, apartado 1, letra c), inciso i), del RDC.</w:t>
      </w:r>
    </w:p>
    <w:p w:rsidR="00786B3E" w:rsidRDefault="00786B3E" w:rsidP="00786B3E"/>
    <w:p w:rsidR="00786B3E" w:rsidRDefault="00786B3E" w:rsidP="00786B3E"/>
    <w:p w:rsidR="00786B3E" w:rsidRDefault="00786B3E" w:rsidP="00786B3E">
      <w:pPr>
        <w:pStyle w:val="Ttulo1"/>
      </w:pPr>
      <w:bookmarkStart w:id="472" w:name="scroll-bookmark-550"/>
      <w:bookmarkStart w:id="473" w:name="scroll-bookmark-551"/>
      <w:bookmarkEnd w:id="472"/>
      <w:r>
        <w:t>QA00263 — Admisibilidad del combustible de carbono reciclado en el marco del FTJ y protección frente al cambio climático de las infraestructuras</w:t>
      </w:r>
      <w:bookmarkEnd w:id="473"/>
    </w:p>
    <w:p w:rsidR="00786B3E" w:rsidRDefault="00786B3E" w:rsidP="00786B3E">
      <w:r>
        <w:rPr>
          <w:noProof/>
          <w:lang w:val="es-ES"/>
        </w:rPr>
        <w:drawing>
          <wp:inline distT="0" distB="0" distL="0" distR="0" wp14:anchorId="11A68B97" wp14:editId="3D45D13C">
            <wp:extent cx="152435" cy="152435"/>
            <wp:effectExtent l="0" t="0" r="0" b="0"/>
            <wp:docPr id="100951" name="Imagen 1009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pPr>
        <w:numPr>
          <w:ilvl w:val="0"/>
          <w:numId w:val="220"/>
        </w:numPr>
      </w:pPr>
      <w:r>
        <w:t>Artículo 9, letra d), del Reglamento del FTJ</w:t>
      </w:r>
    </w:p>
    <w:p w:rsidR="00786B3E" w:rsidRDefault="00786B3E" w:rsidP="00786B3E">
      <w:pPr>
        <w:numPr>
          <w:ilvl w:val="0"/>
          <w:numId w:val="220"/>
        </w:numPr>
      </w:pPr>
      <w:r>
        <w:t>Artículo 2, apartado 42, del Reglamento sobre disposiciones comunes.</w:t>
      </w:r>
    </w:p>
    <w:p w:rsidR="00786B3E" w:rsidRDefault="00786B3E" w:rsidP="00786B3E">
      <w:pPr>
        <w:numPr>
          <w:ilvl w:val="0"/>
          <w:numId w:val="220"/>
        </w:numPr>
      </w:pPr>
      <w:r>
        <w:t>Artículo 73, apartado 2, letra j), del RDC</w:t>
      </w:r>
    </w:p>
    <w:p w:rsidR="00786B3E" w:rsidRDefault="00786B3E" w:rsidP="00786B3E">
      <w:pPr>
        <w:numPr>
          <w:ilvl w:val="0"/>
          <w:numId w:val="220"/>
        </w:numPr>
      </w:pPr>
      <w:r>
        <w:lastRenderedPageBreak/>
        <w:t>Artículo 2, apartado 35, del Reglamento (UE) 2018/2001 (RED II)</w:t>
      </w:r>
    </w:p>
    <w:p w:rsidR="00786B3E" w:rsidRDefault="00786B3E" w:rsidP="00786B3E">
      <w:r>
        <w:t> </w:t>
      </w:r>
      <w:r>
        <w:rPr>
          <w:noProof/>
          <w:lang w:val="es-ES"/>
        </w:rPr>
        <w:drawing>
          <wp:inline distT="0" distB="0" distL="0" distR="0" wp14:anchorId="3A78B92C" wp14:editId="4464A6AC">
            <wp:extent cx="152435" cy="152435"/>
            <wp:effectExtent l="0" t="0" r="0" b="0"/>
            <wp:docPr id="100953" name="Imagen 1009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rPr>
          <w:i/>
        </w:rPr>
        <w:t>Estado miembro</w:t>
      </w:r>
      <w:r>
        <w:t>: EE</w:t>
      </w:r>
    </w:p>
    <w:p w:rsidR="00786B3E" w:rsidRDefault="00786B3E" w:rsidP="00786B3E"/>
    <w:p w:rsidR="00786B3E" w:rsidRDefault="00786B3E" w:rsidP="00786B3E">
      <w:pPr>
        <w:pStyle w:val="P68B1DB1-Normal1"/>
      </w:pPr>
      <w:r>
        <w:t>Pregunta 1:</w:t>
      </w:r>
    </w:p>
    <w:p w:rsidR="00786B3E" w:rsidRDefault="00786B3E" w:rsidP="00786B3E">
      <w:r>
        <w:t>¿Puede considerarse que el gas de pirólisis, que se produce como subproducto inevitable e involuntario de pirólisis de residuos plásticos y se utiliza como fuente de energía del proceso de pirólisis, es «combustible de carbono reciclado» con arreglo a la definición que figura en el artículo 2, apartado 35, de la DFER II?</w:t>
      </w:r>
    </w:p>
    <w:p w:rsidR="00786B3E" w:rsidRDefault="00786B3E" w:rsidP="00786B3E">
      <w:pPr>
        <w:pStyle w:val="P68B1DB1-Normal1"/>
      </w:pPr>
      <w:r>
        <w:t>Respuesta.</w:t>
      </w:r>
    </w:p>
    <w:p w:rsidR="00786B3E" w:rsidRDefault="00786B3E" w:rsidP="00786B3E">
      <w:r>
        <w:t>El gas de pirólisis puede considerarse combustible de carbono reciclado, tal como se define en el artículo 2, apartado 35, de la DFER II.</w:t>
      </w:r>
    </w:p>
    <w:p w:rsidR="00786B3E" w:rsidRDefault="00786B3E" w:rsidP="00786B3E">
      <w:r>
        <w:t> </w:t>
      </w:r>
    </w:p>
    <w:p w:rsidR="00786B3E" w:rsidRDefault="00786B3E" w:rsidP="00786B3E">
      <w:pPr>
        <w:pStyle w:val="P68B1DB1-Normal1"/>
      </w:pPr>
      <w:r>
        <w:t>Pregunta 2:</w:t>
      </w:r>
    </w:p>
    <w:p w:rsidR="00786B3E" w:rsidRDefault="00786B3E" w:rsidP="00786B3E">
      <w:r>
        <w:t>Los combustibles fósiles no se definen en el Reglamento del FTJ y en respuestas anteriores, la Comisión se ha referido al artículo 2, apartado 62, del Reglamento sobre la gobernanza de la Unión de la Energía y de la Acción por el Clima (2018/1999 de 11.12.2018) y a las estadísticas</w:t>
      </w:r>
      <w:r w:rsidR="002B6B31">
        <w:t xml:space="preserve"> </w:t>
      </w:r>
      <w:hyperlink w:anchor="scroll-bookmark-552" w:history="1">
        <w:r>
          <w:rPr>
            <w:rStyle w:val="Hipervnculo"/>
          </w:rPr>
          <w:t>sobre energía [</w:t>
        </w:r>
      </w:hyperlink>
      <w:r>
        <w:t xml:space="preserve"> 1], pero nos gustaría aclarar si el gas de pirólisis, producido de forma inevitable e involuntaria mediante el reciclado químico de residuos plásticos, entra dentro de la exclusión de los combustibles fósiles. Si el gas de pirólisis no es «combustible de carbono reciclado», ¿se considera que el gas de pirólisis es un «combustible fósil» en el sentido del artículo 9, letra d), del Reglamento del FTJ?</w:t>
      </w:r>
    </w:p>
    <w:p w:rsidR="00786B3E" w:rsidRDefault="00786B3E" w:rsidP="00786B3E">
      <w:pPr>
        <w:pStyle w:val="P68B1DB1-Normal10"/>
      </w:pPr>
      <w:r>
        <w:t>Esta respuesta se actualizó el 31 de mayo de 2024. Tenga en cuenta que la respuesta anterior se ha tachado y sustituido por el texto existente.</w:t>
      </w:r>
    </w:p>
    <w:p w:rsidR="00786B3E" w:rsidRDefault="00786B3E" w:rsidP="00786B3E">
      <w:r>
        <w:rPr>
          <w:b/>
        </w:rPr>
        <w:t>Respuesta</w:t>
      </w:r>
      <w:r>
        <w:t>.</w:t>
      </w:r>
    </w:p>
    <w:p w:rsidR="00786B3E" w:rsidRDefault="00786B3E" w:rsidP="00786B3E">
      <w:r>
        <w:t>En el caso de los proyectos que aporten una contribución eficaz a la consecución del objetivo específico del programa del FTJ y, en particular, a la transición a una economía sostenible, climáticamente neutra y circular, deben apoyar medidas en las fases superiores de la jerarquía de residuos, en particular mediante la prevención, la reducción, la eficiencia en el uso de los recursos, la reutilización, la reparación y el reciclado.</w:t>
      </w:r>
    </w:p>
    <w:p w:rsidR="00786B3E" w:rsidRDefault="00786B3E" w:rsidP="00786B3E">
      <w:r>
        <w:t xml:space="preserve">En lo que respecta al reciclado, el reciclado mecánico del plástico debe seguir siendo la opción prioritaria, siempre que sea técnica y cualitativamente viable, </w:t>
      </w:r>
      <w:r w:rsidR="002F3719">
        <w:t xml:space="preserve">ya que, </w:t>
      </w:r>
      <w:r>
        <w:t>consume menos energía y tiene menos costes operativos. Solo como opción alternativa debe reciclarse químicamente el plástico y, en este caso, debe garantizarse que el resultado de la pirólisis se utilice para producir plásticos de alta calidad de manera circular. </w:t>
      </w:r>
    </w:p>
    <w:p w:rsidR="00786B3E" w:rsidRDefault="00786B3E" w:rsidP="00786B3E">
      <w:r>
        <w:t>Los combustibles de carbono reciclado se consideran combustibles fósiles, en consonancia con la definición del artículo 2, apartado 62, del Reglamento (UE) 2018/1999 sobre la gobernanza de la Unión de la Energía y de la Acción por el</w:t>
      </w:r>
      <w:r w:rsidR="002B6B31">
        <w:t xml:space="preserve"> </w:t>
      </w:r>
      <w:hyperlink r:id="rId517" w:anchor="_ftn2" w:history="1">
        <w:r>
          <w:rPr>
            <w:rStyle w:val="Hipervnculo"/>
          </w:rPr>
          <w:t>Clima [2</w:t>
        </w:r>
      </w:hyperlink>
      <w:r>
        <w:t xml:space="preserve">]. Sin embargo, la pregunta 1 indica que «el subproducto inevitable y no intencionado de la pirólisis de residuos plásticos se utiliza como fuente de energía del proceso de pirólisis». De ser así, y el subproducto del combustible de carbono reciclado se reutiliza </w:t>
      </w:r>
      <w:r>
        <w:lastRenderedPageBreak/>
        <w:t>plenamente como insumo adicional al proceso, el proyecto no tendría en la práctica ninguna producción de combustibles fósiles.</w:t>
      </w:r>
    </w:p>
    <w:p w:rsidR="00786B3E" w:rsidRDefault="00786B3E" w:rsidP="00786B3E">
      <w:r>
        <w:t>Por lo tanto, los proyectos relacionados con la pirólisis de residuos plásticos no entrarían en la exclusión prevista en el artículo 9, letra d), del FTJ y podrían recibir apoyo del FTJ si se cumplen las dos condiciones específicas siguientes:</w:t>
      </w:r>
    </w:p>
    <w:p w:rsidR="00786B3E" w:rsidRDefault="00786B3E" w:rsidP="00786B3E">
      <w:pPr>
        <w:numPr>
          <w:ilvl w:val="0"/>
          <w:numId w:val="221"/>
        </w:numPr>
      </w:pPr>
      <w:r>
        <w:t>la producción de aceite de pirólisis de un proceso de pirólisis de residuos plásticos se utiliza eficazmente para la producción de plástico reciclado de alta calidad;</w:t>
      </w:r>
    </w:p>
    <w:p w:rsidR="00786B3E" w:rsidRDefault="00786B3E" w:rsidP="00786B3E">
      <w:pPr>
        <w:numPr>
          <w:ilvl w:val="0"/>
          <w:numId w:val="221"/>
        </w:numPr>
      </w:pPr>
      <w:r>
        <w:t>el proceso de pirólisis de los residuos plásticos reutiliza plenamente el subproducto del combustible de carbono reciclado como insumo adicional en el proceso de pirólisis.</w:t>
      </w:r>
    </w:p>
    <w:p w:rsidR="00786B3E" w:rsidRDefault="00786B3E" w:rsidP="00786B3E">
      <w:r>
        <w:t>Una operación seleccionada para su financiación también debe entrar en el ámbito de aplicación de los tipos de acciones que se hayan evaluado como conformes con el principio de «no causar un perjuicio significativo» del programa adoptado. </w:t>
      </w:r>
    </w:p>
    <w:p w:rsidR="00786B3E" w:rsidRDefault="00786B3E" w:rsidP="00786B3E">
      <w:r>
        <w:rPr>
          <w:strike/>
        </w:rPr>
        <w:t xml:space="preserve">Los combustibles de carbono reciclado son siempre combustibles fósiles, en consonancia con la definición del artículo 2, apartado 62, del Reglamento sobre la gobernanza de la Unión de la Energía y de la Acción </w:t>
      </w:r>
      <w:r w:rsidR="002B6B31">
        <w:rPr>
          <w:strike/>
        </w:rPr>
        <w:t>por</w:t>
      </w:r>
      <w:r w:rsidR="002B6B31">
        <w:t xml:space="preserve"> el</w:t>
      </w:r>
      <w:r>
        <w:rPr>
          <w:strike/>
        </w:rPr>
        <w:t xml:space="preserve"> 11.12.2018]. Además, la pregunta indica que el proceso también da lugar al coque sólido, que es otro combustible fósil. Dado que el proyecto está relacionado con la producción de combustibles fósiles, está cubierto por el artículo 9, letra d), del FTJ y, por tanto, no puede recibir el apoyo del FTJ.</w:t>
      </w:r>
    </w:p>
    <w:p w:rsidR="00786B3E" w:rsidRDefault="00FC0FB1" w:rsidP="00786B3E">
      <w:hyperlink w:anchor="scroll-bookmark-553" w:history="1">
        <w:r w:rsidR="00786B3E">
          <w:rPr>
            <w:rStyle w:val="Hipervnculo"/>
          </w:rPr>
          <w:t>[1] httpson</w:t>
        </w:r>
      </w:hyperlink>
      <w:r w:rsidR="00786B3E">
        <w:t xml:space="preserve"> </w:t>
      </w:r>
      <w:hyperlink r:id="rId518" w:history="1">
        <w:r w:rsidR="00786B3E">
          <w:rPr>
            <w:rStyle w:val="Hipervnculo"/>
          </w:rPr>
          <w:t>//ec.europa.eu/eurostat/statistics-explained/index.php?title=Glossary:Fossil_fuel</w:t>
        </w:r>
      </w:hyperlink>
    </w:p>
    <w:p w:rsidR="00786B3E" w:rsidRDefault="00FC0FB1" w:rsidP="00786B3E">
      <w:hyperlink r:id="rId519" w:anchor="_ftnref2" w:history="1">
        <w:r w:rsidR="00786B3E">
          <w:rPr>
            <w:rStyle w:val="Hipervnculo"/>
          </w:rPr>
          <w:t>[2]</w:t>
        </w:r>
      </w:hyperlink>
      <w:r w:rsidR="00786B3E">
        <w:t xml:space="preserve"> Esto es independiente del hecho de que los combustibles de carbono reciclado puedan, en determinadas condiciones, tenerse en cuenta en el cálculo de la cuota mínima de energías renovables en el sector del transporte.</w:t>
      </w:r>
    </w:p>
    <w:p w:rsidR="00786B3E" w:rsidRDefault="00786B3E" w:rsidP="00786B3E"/>
    <w:p w:rsidR="00786B3E" w:rsidRDefault="00786B3E" w:rsidP="00786B3E">
      <w:pPr>
        <w:pStyle w:val="P68B1DB1-Normal1"/>
      </w:pPr>
      <w:r>
        <w:t>Pregunta 3:</w:t>
      </w:r>
    </w:p>
    <w:p w:rsidR="00786B3E" w:rsidRDefault="00786B3E" w:rsidP="00786B3E">
      <w:r>
        <w:t>El artículo 2, apartado 42, del RDC define la «defensa contra el cambio climático» como un proceso para evitar que las infraestructuras sean vulnerables a posibles impactos climáticos a largo plazo, garantizando al mismo tiempo que se respete el principio de «primero, la eficiencia energética» y que el nivel de emisiones de GEI resultantes del proyecto sea coherente con el objetivo de neutralidad climática en 2050.</w:t>
      </w:r>
    </w:p>
    <w:p w:rsidR="00786B3E" w:rsidRDefault="00786B3E" w:rsidP="00786B3E">
      <w:r>
        <w:t> El artículo 73 (selección de operaciones por la autoridad de gestión) del RDC establece en su apartado 2, letra j), lo siguiente:</w:t>
      </w:r>
    </w:p>
    <w:p w:rsidR="00786B3E" w:rsidRDefault="00786B3E" w:rsidP="00786B3E">
      <w:r>
        <w:t>«2.  En la selección de operaciones, la autoridad de gestión:</w:t>
      </w:r>
    </w:p>
    <w:p w:rsidR="00786B3E" w:rsidRDefault="00786B3E" w:rsidP="00786B3E">
      <w:r>
        <w:t>...</w:t>
      </w:r>
    </w:p>
    <w:p w:rsidR="00786B3E" w:rsidRDefault="00786B3E" w:rsidP="00786B3E">
      <w:r>
        <w:t>j) garantizar la defensa contra el cambio climático de las inversiones en infraestructuras con una vida útil prevista de al menos cinco años».</w:t>
      </w:r>
    </w:p>
    <w:p w:rsidR="00786B3E" w:rsidRDefault="00786B3E" w:rsidP="00786B3E">
      <w:r>
        <w:t xml:space="preserve"> Las orientaciones técnicas sobre la defensa contra el cambio climático aclaran que, con respecto a la financiación de la UE para infraestructuras en el período de programación </w:t>
      </w:r>
      <w:r>
        <w:lastRenderedPageBreak/>
        <w:t>2021-2027, los principales instrumentos que pueden utilizarse incluyen, en virtud del Reglamento sobre disposiciones comunes (RDC), el Fondo Europeo de Desarrollo Regional (FEDER), el Fondo de Cohesión (FC) y el Fondo de Transición Justa (FTJ).</w:t>
      </w:r>
    </w:p>
    <w:p w:rsidR="00786B3E" w:rsidRDefault="00786B3E" w:rsidP="00786B3E">
      <w:r>
        <w:t> Teniendo en cuenta el Reglamento del FTJ, la definición de defensa contra el cambio climático y los criterios de selección, ¿se considera que el reciclado químico de residuos plásticos puede optar a financiación cuando, en combustión a corto y medio plazo, el gas de pirólisis con el fin de suministrar calor al proceso causa emisiones de CO2 que solo pueden capturarse por unidad de captura de carbono (CC) a largo plazo de aquí a 2050? ¿Significa la defensa contra el cambio climático de la inversión que el beneficiario tenga que demostrar que las emisiones disminuirán de aquí a 2050 y que se garantizará la neutralidad climática? ¿Se considera que la computación en nube es una opción viable para mitigar las emisiones procedentes del proceso de reciclado químico de residuos plásticos?</w:t>
      </w:r>
    </w:p>
    <w:p w:rsidR="00786B3E" w:rsidRDefault="00786B3E" w:rsidP="00786B3E">
      <w:pPr>
        <w:pStyle w:val="P68B1DB1-Normal1"/>
      </w:pPr>
      <w:r>
        <w:t> Respuesta.</w:t>
      </w:r>
    </w:p>
    <w:p w:rsidR="00786B3E" w:rsidRDefault="00786B3E" w:rsidP="00786B3E">
      <w:pPr>
        <w:pStyle w:val="P68B1DB1-Normal10"/>
      </w:pPr>
      <w:r>
        <w:t>Esta respuesta se actualizó el 31 de mayo de 2024. Tenga en cuenta que la respuesta anterior se ha tachado y sustituido por el texto existente.</w:t>
      </w:r>
    </w:p>
    <w:p w:rsidR="00786B3E" w:rsidRDefault="00786B3E" w:rsidP="00786B3E">
      <w:r>
        <w:t>Según las orientaciones técnicas de la Comisión sobre la defensa contra el cambio climático de las infraestructuras en el período 2021-2027</w:t>
      </w:r>
      <w:hyperlink w:anchor="scroll-bookmark-552" w:history="1">
        <w:r>
          <w:rPr>
            <w:rStyle w:val="Hipervnculo"/>
          </w:rPr>
          <w:t>[1]</w:t>
        </w:r>
      </w:hyperlink>
      <w:r>
        <w:t>, debe verificarse la compatibilidad del proyecto con una trayectoria creíble para alcanzar los objetivos globales de reducción de las emisiones de GEI para 2030 y 2050. El artículo 73, apartado 2, letra j), del RDC establece que es responsabilidad de los Estados miembros garantizar la defensa contra el cambio climático de las operaciones seleccionadas relacionadas con inversiones en infraestructuras con una vida útil prevista de al menos cinco años. Las orientaciones técnicas mencionadas ilustran cómo verificar la compatibilidad del proyecto con una vía creíble para alcanzar los objetivos globales de reducción de las emisiones de GEI para 2030 y 2050 como parte de la defensa contra el cambio climático de las infraestructuras.</w:t>
      </w:r>
    </w:p>
    <w:p w:rsidR="00786B3E" w:rsidRDefault="00786B3E" w:rsidP="00786B3E"/>
    <w:p w:rsidR="00786B3E" w:rsidRDefault="00FC0FB1" w:rsidP="00786B3E">
      <w:hyperlink w:anchor="scroll-bookmark-553" w:history="1">
        <w:r w:rsidR="00786B3E">
          <w:rPr>
            <w:rStyle w:val="Hipervnculo"/>
          </w:rPr>
          <w:t>[1]</w:t>
        </w:r>
      </w:hyperlink>
      <w:r w:rsidR="00786B3E">
        <w:t xml:space="preserve"> Nota DE LA COMISIÓN — Orientaciones técnicas sobre la defensa contra el cambio climático de las infraestructuras en el período 2021-2027 (2021/C 373/01)</w:t>
      </w:r>
    </w:p>
    <w:p w:rsidR="00786B3E" w:rsidRDefault="00786B3E" w:rsidP="00786B3E">
      <w:r>
        <w:rPr>
          <w:strike/>
        </w:rPr>
        <w:t xml:space="preserve">Según las orientaciones de la Comisión sobre la defensa contra el cambio climático, debe verificarse la compatibilidad del proyecto con una trayectoria creíble para alcanzar los objetivos globales de reducción de las emisiones de GEI para 2030 y 2050. Permitir una cantidad considerable de emisiones de CO2 hasta 2050 no parece cumplir este criterio. Sin embargo, dado que el proyecto no puede recibir apoyo del FTJ, esta tercera cuestión queda sin efecto. </w:t>
      </w:r>
      <w:r>
        <w:t>  </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474" w:name="scroll-bookmark-554"/>
      <w:bookmarkStart w:id="475" w:name="scroll-bookmark-555"/>
      <w:bookmarkEnd w:id="474"/>
      <w:r>
        <w:lastRenderedPageBreak/>
        <w:t>QA00264 — Modificaciones del programa — transferencias no sustanciales y cambios conexos</w:t>
      </w:r>
      <w:bookmarkEnd w:id="475"/>
    </w:p>
    <w:p w:rsidR="00786B3E" w:rsidRDefault="00786B3E" w:rsidP="00786B3E">
      <w:r>
        <w:rPr>
          <w:noProof/>
          <w:lang w:val="es-ES"/>
        </w:rPr>
        <w:drawing>
          <wp:inline distT="0" distB="0" distL="0" distR="0" wp14:anchorId="645AFE95" wp14:editId="11E57BC3">
            <wp:extent cx="152435" cy="152435"/>
            <wp:effectExtent l="0" t="0" r="0" b="0"/>
            <wp:docPr id="100955" name="Imagen 1009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24 del RDC</w:t>
      </w:r>
    </w:p>
    <w:p w:rsidR="00786B3E" w:rsidRDefault="00786B3E" w:rsidP="00786B3E">
      <w:r>
        <w:rPr>
          <w:noProof/>
          <w:lang w:val="es-ES"/>
        </w:rPr>
        <w:drawing>
          <wp:inline distT="0" distB="0" distL="0" distR="0" wp14:anchorId="2BC9B551" wp14:editId="743DB738">
            <wp:extent cx="152435" cy="152435"/>
            <wp:effectExtent l="0" t="0" r="0" b="0"/>
            <wp:docPr id="100957" name="Imagen 1009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LT</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Nos gustaría aclarar algunos aspectos relacionados con las modificaciones del Programa de Inversiones de los Fondos de la UE 2021-2027.</w:t>
      </w:r>
    </w:p>
    <w:p w:rsidR="00786B3E" w:rsidRDefault="00786B3E" w:rsidP="00786B3E">
      <w:pPr>
        <w:numPr>
          <w:ilvl w:val="0"/>
          <w:numId w:val="222"/>
        </w:numPr>
      </w:pPr>
      <w:r>
        <w:t>¿Qué tipo de cambios podrían considerarse «cambios relacionados» (artículo 24, apartado 5, del RDC) — cambios en los indicadores, cambios en las actividades- ¿pueden tratarse como «cambios relacionados»?</w:t>
      </w:r>
    </w:p>
    <w:p w:rsidR="00786B3E" w:rsidRDefault="00786B3E" w:rsidP="00786B3E">
      <w:pPr>
        <w:numPr>
          <w:ilvl w:val="0"/>
          <w:numId w:val="222"/>
        </w:numPr>
      </w:pPr>
      <w:r>
        <w:t>En cuanto a las modificaciones de los indicadores, las orientaciones sobre el cierre del período financiero 2014-2020 permiten modificar indicadores cuya desviación es inferior al 20 %, sin una decisión de la CE (en caso de que la desviación sea superior al 20 %, los Estados miembros deben explicar los valores de consecución en el informe final de ejecución). ¿Podría aplicarse el mismo enfoque en el período financiero 2021-2027?</w:t>
      </w:r>
    </w:p>
    <w:p w:rsidR="00786B3E" w:rsidRDefault="00786B3E" w:rsidP="00786B3E">
      <w:pPr>
        <w:pStyle w:val="P68B1DB1-Normal1"/>
      </w:pPr>
      <w:r>
        <w:t>Respuesta.</w:t>
      </w:r>
    </w:p>
    <w:p w:rsidR="00786B3E" w:rsidRDefault="00786B3E" w:rsidP="00786B3E">
      <w:pPr>
        <w:pStyle w:val="P68B1DB1-Normal10"/>
      </w:pPr>
      <w:r>
        <w:t>Esta respuesta se actualizó el 3 de junio de 2024. El cambio se ve golpeado.</w:t>
      </w:r>
    </w:p>
    <w:p w:rsidR="00786B3E" w:rsidRDefault="00786B3E" w:rsidP="00786B3E">
      <w:pPr>
        <w:numPr>
          <w:ilvl w:val="0"/>
          <w:numId w:val="223"/>
        </w:numPr>
      </w:pPr>
      <w:r>
        <w:t>Como se explica en el considerando 28 del RDC, para permitir flexibilidad en la ejecución del programa y reducir la carga administrativa, los Estados miembros pueden realizar determinadas transferencias financieras dentro de la estructura existente del programa, es decir, entre prioridades del programa, del mismo Fondo y, en su caso, de la misma categoría de región. Estas transferencias deben respetar los límites fijados en el artículo 24, apartado 5,</w:t>
      </w:r>
      <w:hyperlink w:anchor="scroll-bookmark-556" w:history="1">
        <w:r>
          <w:rPr>
            <w:rStyle w:val="Hipervnculo"/>
          </w:rPr>
          <w:t>del RDC [</w:t>
        </w:r>
      </w:hyperlink>
      <w:r>
        <w:t xml:space="preserve"> 1] Además, dichas transferencias y los cambios relacionados con ellas no requieren una decisión de la Comisión por la que se modifique el programa. Basta con que las transferencias sean aprobadas por el comité de seguimiento y notificadas a la Comisión.</w:t>
      </w:r>
    </w:p>
    <w:p w:rsidR="00786B3E" w:rsidRDefault="00786B3E" w:rsidP="00786B3E">
      <w:r>
        <w:t>        El RDC no introduce una definición del término «cambios relacionados», sin embargo, sobre la base de la lógica del artículo 24, apartado 5, «cambios relacionados» debe entenderse como sigue:  </w:t>
      </w:r>
    </w:p>
    <w:p w:rsidR="00786B3E" w:rsidRDefault="00786B3E" w:rsidP="00786B3E">
      <w:pPr>
        <w:numPr>
          <w:ilvl w:val="0"/>
          <w:numId w:val="224"/>
        </w:numPr>
      </w:pPr>
      <w:r>
        <w:rPr>
          <w:b/>
        </w:rPr>
        <w:t>un cambio que sea consecuencia directa de la transferencia</w:t>
      </w:r>
      <w:r>
        <w:t xml:space="preserve"> a que se refiere dicho artículo («relacionado»), es decir, la modificación del programa debe estar motivada por los cambios financieros y, por lo tanto, la transferencia no puede utilizarse como oportunidad para introducir otros cambios que no sean consecuencia directa de la transferencia.</w:t>
      </w:r>
    </w:p>
    <w:p w:rsidR="00786B3E" w:rsidRDefault="00786B3E" w:rsidP="00786B3E">
      <w:pPr>
        <w:numPr>
          <w:ilvl w:val="0"/>
          <w:numId w:val="224"/>
        </w:numPr>
      </w:pPr>
      <w:r>
        <w:rPr>
          <w:b/>
        </w:rPr>
        <w:t xml:space="preserve">cumplir los requisitos reglamentarios, g., </w:t>
      </w:r>
      <w:r>
        <w:t>concentración</w:t>
      </w:r>
      <w:r>
        <w:rPr>
          <w:b/>
        </w:rPr>
        <w:t xml:space="preserve"> </w:t>
      </w:r>
      <w:r>
        <w:t>temática, condiciones</w:t>
      </w:r>
      <w:r>
        <w:rPr>
          <w:b/>
        </w:rPr>
        <w:t xml:space="preserve"> </w:t>
      </w:r>
      <w:r>
        <w:t>favorables, exclusiones del ámbito de aplicación de la ayuda, etc.</w:t>
      </w:r>
    </w:p>
    <w:p w:rsidR="00786B3E" w:rsidRDefault="00786B3E" w:rsidP="00786B3E">
      <w:pPr>
        <w:pStyle w:val="P68B1DB1-Normal1"/>
      </w:pPr>
      <w:r>
        <w:lastRenderedPageBreak/>
        <w:t>Por lo tanto, el análisis de si la modificación se refiere a una modificación conexa a que se refiere el artículo 24, apartado 5, párrafo cuarto, debe llevarse a cabo caso por caso con respecto a los criterios enumerados anteriormente.</w:t>
      </w:r>
    </w:p>
    <w:p w:rsidR="00786B3E" w:rsidRDefault="00786B3E" w:rsidP="00786B3E">
      <w:r>
        <w:t>En términos generales, los cambios conexos también deben ser proporcionales, es decir, el cambio debe ser proporcional al nivel de transferencia al que está relacionado y no debe afectar a los objetivos generales del programa.</w:t>
      </w:r>
    </w:p>
    <w:p w:rsidR="00786B3E" w:rsidRDefault="00786B3E" w:rsidP="00786B3E">
      <w:r>
        <w:t>Como ejemplo de este conjunto de criterios, la siguiente lista no exhaustiva de cambios que afectarían a la estructura del programa y al cumplimiento de los requisitos reglamentarios no entraría en el ámbito de aplicación del artículo 24, apartado 5, párrafo cuarto: añadir un nuevo objetivo político o un nuevo objetivo específico que dé lugar a una evaluación de una nueva condición favorable temática, o de un plan territorial de transición justa, cambios relacionados con el estado de las condiciones favorecedoras existentes [que deben realizarse mediante un procedimiento especial basado en el artículo 15, apartado 4, o 15 (6) del RDC], cambios en los hitos o valores objetivo de los indicadores que sean desproporcionados con respecto al nivel de transferencia, cambios que afecten a la división financiera del cuadro 10 del programa o cambios en cualquiera de los elementos del programa cubiertos por la decisión de la Comisión por la que se aprueba el programa o sus modificaciones en relación con las opciones de costes simplificados y la financiación no vinculada a los costes y al porcentaje de cofinanciación.</w:t>
      </w:r>
    </w:p>
    <w:p w:rsidR="00786B3E" w:rsidRDefault="00786B3E" w:rsidP="00786B3E">
      <w:r>
        <w:t>Además, los cambios que pudieran dar lugar a una nueva subvencionabilidad de los fondos (por ejemplo, añadiendo nuevos tipos de intervención en los cuadros</w:t>
      </w:r>
      <w:r>
        <w:rPr>
          <w:strike/>
        </w:rPr>
        <w:t xml:space="preserve">4 a 8 </w:t>
      </w:r>
      <w:r>
        <w:t xml:space="preserve">del programa) tampoco se consideran cambios conexos, </w:t>
      </w:r>
      <w:r w:rsidR="002F3719">
        <w:t xml:space="preserve">ya que, </w:t>
      </w:r>
      <w:r>
        <w:t>amplían el ámbito de aplicación del programa y, por tanto, no pueden considerarse una consecuencia directa de una transferencia puramente financiera.</w:t>
      </w:r>
    </w:p>
    <w:p w:rsidR="00786B3E" w:rsidRDefault="00786B3E" w:rsidP="00786B3E"/>
    <w:p w:rsidR="00786B3E" w:rsidRDefault="00786B3E" w:rsidP="00786B3E">
      <w:r>
        <w:rPr>
          <w:i/>
        </w:rPr>
        <w:t xml:space="preserve">(2) </w:t>
      </w:r>
      <w:r>
        <w:t>Entendemos que la cuestión se refiere a la posibilidad de modificar los indicadores como un cambio en el programa relacionado con una transferencia no sustancial. El RDC no establece ningún límite en lo que respecta a las modificaciones de los valores y objetivos de los indicadores tras una transferencia no sustancial. No obstante, este cambio debe estar relacionado con la transferencia y ser proporcional al importe transferido, y debe seguir ajustándose a la metodología acordada.</w:t>
      </w:r>
    </w:p>
    <w:p w:rsidR="00786B3E" w:rsidRDefault="00786B3E" w:rsidP="00786B3E">
      <w:r>
        <w:t>TIERNA _</w:t>
      </w:r>
    </w:p>
    <w:p w:rsidR="00786B3E" w:rsidRDefault="00FC0FB1" w:rsidP="00786B3E">
      <w:hyperlink w:anchor="scroll-bookmark-557" w:history="1">
        <w:r w:rsidR="00786B3E">
          <w:rPr>
            <w:rStyle w:val="Hipervnculo"/>
          </w:rPr>
          <w:t>[1]</w:t>
        </w:r>
      </w:hyperlink>
      <w:r w:rsidR="00786B3E">
        <w:t xml:space="preserve"> Las transferencias entre tipos de acciones dentro de la misma prioridad en el caso del FAMI, el IGFV y el FSI también entran en el ámbito de aplicación del artículo 24, apartado 5, del RDC.</w:t>
      </w:r>
    </w:p>
    <w:p w:rsidR="00786B3E" w:rsidRDefault="00786B3E" w:rsidP="00786B3E"/>
    <w:p w:rsidR="00786B3E" w:rsidRDefault="00786B3E" w:rsidP="00786B3E"/>
    <w:p w:rsidR="00786B3E" w:rsidRDefault="00786B3E" w:rsidP="00786B3E">
      <w:pPr>
        <w:pStyle w:val="Ttulo1"/>
      </w:pPr>
      <w:bookmarkStart w:id="476" w:name="scroll-bookmark-558"/>
      <w:bookmarkStart w:id="477" w:name="scroll-bookmark-559"/>
      <w:bookmarkEnd w:id="476"/>
      <w:r>
        <w:lastRenderedPageBreak/>
        <w:t>QA00265 — Financiación a tanto alzado de los costes indirectos artículos 54 y 94 del RDC</w:t>
      </w:r>
      <w:bookmarkEnd w:id="477"/>
    </w:p>
    <w:p w:rsidR="00786B3E" w:rsidRDefault="00786B3E" w:rsidP="00786B3E">
      <w:r>
        <w:rPr>
          <w:noProof/>
          <w:lang w:val="es-ES"/>
        </w:rPr>
        <w:drawing>
          <wp:inline distT="0" distB="0" distL="0" distR="0" wp14:anchorId="7EAAD487" wp14:editId="7AA8428A">
            <wp:extent cx="152435" cy="152435"/>
            <wp:effectExtent l="0" t="0" r="0" b="0"/>
            <wp:docPr id="100959" name="Imagen 1009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53 del RDC</w:t>
      </w:r>
    </w:p>
    <w:p w:rsidR="00786B3E" w:rsidRDefault="00786B3E" w:rsidP="00786B3E">
      <w:r>
        <w:t>Artículo 54 del RDC</w:t>
      </w:r>
    </w:p>
    <w:p w:rsidR="00786B3E" w:rsidRDefault="00786B3E" w:rsidP="00786B3E">
      <w:r>
        <w:t>Artículo 94 del RDC</w:t>
      </w:r>
    </w:p>
    <w:p w:rsidR="00786B3E" w:rsidRDefault="00786B3E" w:rsidP="00786B3E">
      <w:r>
        <w:rPr>
          <w:noProof/>
          <w:lang w:val="es-ES"/>
        </w:rPr>
        <w:drawing>
          <wp:inline distT="0" distB="0" distL="0" distR="0" wp14:anchorId="240D9FF2" wp14:editId="39BDCB79">
            <wp:extent cx="152435" cy="152435"/>
            <wp:effectExtent l="0" t="0" r="0" b="0"/>
            <wp:docPr id="100961" name="Imagen 1009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El artículo 54 del Reglamento sobre disposiciones comunes (RDC) establece que «cuando se utilice un tipo fijo para cubrir los costes indirectos de una operación, podrá basarse en [...] c) hasta el 25 % de los costes directos subvencionables, siempre que el porcentaje se calcule de conformidad con el artículo 53, apartado 3, letra a)», es decir, sobre la base de un método de cálculo justo, equitativo y verificable.</w:t>
      </w:r>
    </w:p>
    <w:p w:rsidR="00786B3E" w:rsidRDefault="00786B3E" w:rsidP="00786B3E">
      <w:r>
        <w:t>El artículo 94 del RDC establece disposiciones para el uso de OCS para calcular el reembolso de la contribución de la Unión, incluida la posibilidad de calcular la contribución de la Unión sobre la base de un tipo fijo.</w:t>
      </w:r>
    </w:p>
    <w:p w:rsidR="00786B3E" w:rsidRDefault="00786B3E" w:rsidP="00786B3E">
      <w:pPr>
        <w:pStyle w:val="P68B1DB1-Normal1"/>
      </w:pPr>
      <w:r>
        <w:t>Preguntas:</w:t>
      </w:r>
    </w:p>
    <w:p w:rsidR="00786B3E" w:rsidRDefault="00F70C5D" w:rsidP="00786B3E">
      <w:pPr>
        <w:pStyle w:val="P68B1DB1-Normal4"/>
      </w:pPr>
      <w:r>
        <w:t>QA</w:t>
      </w:r>
      <w:r w:rsidR="00786B3E">
        <w:t>1 El artículo 54 no incluye referencias a otras disposiciones, como el artículo 53, apartado 3, letra d). Por lo tanto, ¿es correcto concluir que, cuando una autoridad de gestión desea aplicar dicho tipo fijo a los costes directos declarados por un beneficiario, solo puede hacerlo hasta un máximo del 25 %?</w:t>
      </w:r>
    </w:p>
    <w:p w:rsidR="00786B3E" w:rsidRDefault="00F70C5D" w:rsidP="00786B3E">
      <w:pPr>
        <w:pStyle w:val="P68B1DB1-Normal4"/>
      </w:pPr>
      <w:r>
        <w:t>QA</w:t>
      </w:r>
      <w:r w:rsidR="00786B3E">
        <w:t>2 ¿Puede calcularse la contribución de la Unión sobre la base de un tipo fijo sobre los costes directos? ¿Cuál sería el desencadenante o indicador para el pago de la contribución de la Unión?</w:t>
      </w:r>
    </w:p>
    <w:p w:rsidR="00786B3E" w:rsidRDefault="00F70C5D" w:rsidP="00786B3E">
      <w:pPr>
        <w:pStyle w:val="P68B1DB1-Normal4"/>
      </w:pPr>
      <w:r>
        <w:t>QA</w:t>
      </w:r>
      <w:r w:rsidR="00786B3E">
        <w:t>3 Si se confirma que es posible calcular la contribución de la Unión sobre la base de un tipo fijo sobre los costes directos, ¿existe una limitación del tipo fijo a los costes directos a un porcentaje máximo, similar al máximo del 25 % previsto en el artículo 54, letra c)?</w:t>
      </w:r>
    </w:p>
    <w:p w:rsidR="00786B3E" w:rsidRDefault="00F70C5D" w:rsidP="00786B3E">
      <w:pPr>
        <w:pStyle w:val="P68B1DB1-Normal4"/>
      </w:pPr>
      <w:r>
        <w:t>QA</w:t>
      </w:r>
      <w:r w:rsidR="00786B3E">
        <w:t>4 Si la Comisión acepta que la contribución de la Unión se calcula sobre la base de un tipo fijo sobre los costes indirectos, superior al 25 % establecido en el artículo 54, letra c</w:t>
      </w:r>
      <w:proofErr w:type="gramStart"/>
      <w:r w:rsidR="00786B3E">
        <w:t>),:</w:t>
      </w:r>
      <w:proofErr w:type="gramEnd"/>
      <w:r w:rsidR="00786B3E">
        <w:t xml:space="preserve"> ¿puede la autoridad de gestión aplicar el mismo tipo fijo, establecido sobre la base del artículo 94, a los costes directos declarados por un beneficiario?</w:t>
      </w:r>
    </w:p>
    <w:p w:rsidR="00786B3E" w:rsidRDefault="00786B3E" w:rsidP="00786B3E"/>
    <w:p w:rsidR="00786B3E" w:rsidRDefault="00786B3E" w:rsidP="00786B3E">
      <w:pPr>
        <w:pStyle w:val="P68B1DB1-Normal1"/>
      </w:pPr>
      <w:r>
        <w:t>Respuestas:</w:t>
      </w:r>
    </w:p>
    <w:p w:rsidR="00786B3E" w:rsidRDefault="00786B3E" w:rsidP="00786B3E">
      <w:pPr>
        <w:pStyle w:val="P68B1DB1-Normal1"/>
      </w:pPr>
      <w:r>
        <w:t>Respuesta a la pregunta 1:</w:t>
      </w:r>
    </w:p>
    <w:p w:rsidR="00786B3E" w:rsidRDefault="00786B3E" w:rsidP="00786B3E">
      <w:r>
        <w:t xml:space="preserve">El artículo 54 del RDC no ofrece una lista exhaustiva de métodos para establecer tipos fijos para los costes indirectos de una operación y permite a los Estados miembros </w:t>
      </w:r>
      <w:r>
        <w:lastRenderedPageBreak/>
        <w:t>utilizar un tipo fijo para los costes indirectos establecidos sobre la base de otros métodos, es decir, los establecidos en el artículo 53, apartado 3, letras b) a e), del RDC.</w:t>
      </w:r>
    </w:p>
    <w:p w:rsidR="00786B3E" w:rsidRDefault="00786B3E" w:rsidP="00786B3E">
      <w:r>
        <w:t>Un tipo fijo que cubra los costes indirectos que no se establezca sobre la base de un método justo, equitativo y verificable a que se refiere el artículo 53, apartado 3, letra a), del RDC (al que se aplica el límite máximo del 25 % establecido en el artículo 54, letra c), del RDC), sino más bien sobre otro método de entre los mencionados en sus letras b) a e), no está sujeto a un límite máximo, pero debe constituir una aproximación fiable a los costes reales.</w:t>
      </w:r>
    </w:p>
    <w:p w:rsidR="00786B3E" w:rsidRDefault="00786B3E" w:rsidP="00786B3E">
      <w:pPr>
        <w:pStyle w:val="P68B1DB1-Normal1"/>
      </w:pPr>
      <w:r>
        <w:t>Respuesta a la pregunta 2:</w:t>
      </w:r>
    </w:p>
    <w:p w:rsidR="00786B3E" w:rsidRDefault="00786B3E" w:rsidP="00786B3E">
      <w:r>
        <w:t>De conformidad con el artículo 94, apartado 1, del RDC, la Comisión podrá reembolsar la contribución de la Unión a un programa sobre la base de costes unitarios, sumas a tanto alzado y tipos fijos de conformidad con el artículo 51 del RDC sobre la base de los importes y tipos aprobados mediante una decisión de conformidad con el apartado 3 del presente artículo. El artículo 94, apartado 2, párrafo primero, del RDC establece que, para hacer uso de esta posibilidad, los Estados miembros deben presentar una propuesta a la Comisión de conformidad con el modelo que figura en el apéndice 1 de los anexos V y VI, como parte de la presentación del programa o de una solicitud de modificación del mismo.</w:t>
      </w:r>
    </w:p>
    <w:p w:rsidR="00786B3E" w:rsidRDefault="00786B3E" w:rsidP="00786B3E">
      <w:r>
        <w:t>El artículo 94, apartado 2, párrafo segundo, del RDC establece los métodos para establecer los importes y tipos propuestos por el Estado miembro. Esta disposición no contiene ninguna restricción en cuanto a los importes y tipos que pueden utilizar los Estados miembros al aplicar estos métodos, incluidos los tipos fijos para los costes indirectos.</w:t>
      </w:r>
    </w:p>
    <w:p w:rsidR="00786B3E" w:rsidRDefault="00786B3E" w:rsidP="00786B3E">
      <w:r>
        <w:t>Como norma general, corresponde al Estado miembro establecer los indicadores que activan el reembolso que deben ser examinados y acordados por la Comisión. En cuanto al caso específico, el indicador que da lugar al reembolso debe ser el gasto declarado para los costes de base, es decir, los costes directos de la operación/régimen de OCS.</w:t>
      </w:r>
    </w:p>
    <w:p w:rsidR="00786B3E" w:rsidRDefault="00786B3E" w:rsidP="00786B3E">
      <w:pPr>
        <w:pStyle w:val="P68B1DB1-Normal1"/>
      </w:pPr>
      <w:r>
        <w:t>Respuesta a la pregunta 3:</w:t>
      </w:r>
    </w:p>
    <w:p w:rsidR="00786B3E" w:rsidRDefault="00786B3E" w:rsidP="00786B3E">
      <w:r>
        <w:t>El artículo 94 del RDC no prevé ningún límite máximo en cuanto a los importes y tipos establecidos por el Estado miembro de conformidad con uno de los métodos establecidos en el artículo 94, apartado 2, párrafo segundo, del RDC.</w:t>
      </w:r>
    </w:p>
    <w:p w:rsidR="00786B3E" w:rsidRDefault="00786B3E" w:rsidP="00786B3E">
      <w:pPr>
        <w:pStyle w:val="P68B1DB1-Normal1"/>
      </w:pPr>
      <w:r>
        <w:t>Respuesta a la pregunta 4:</w:t>
      </w:r>
    </w:p>
    <w:p w:rsidR="00786B3E" w:rsidRDefault="00786B3E" w:rsidP="00786B3E">
      <w:r>
        <w:t xml:space="preserve">Las metodologías de OCS aprobadas por la Comisión como parte del programa o su modificación en el contexto del artículo 94 del RDC pueden ser utilizadas por el Estado miembro para el reembolso de los beneficiarios, </w:t>
      </w:r>
      <w:r w:rsidR="002F3719">
        <w:t xml:space="preserve">ya que, </w:t>
      </w:r>
      <w:r>
        <w:t>entran en el ámbito de aplicación del artículo 53, apartado 3, letra e), del RDC, es decir, «los tipos fijos y los métodos específicos establecidos por el presente Reglamento o los Reglamentos específicos de cada Fondo o sobre la base de estos».</w:t>
      </w:r>
    </w:p>
    <w:p w:rsidR="00786B3E" w:rsidRDefault="00786B3E" w:rsidP="00786B3E">
      <w:r>
        <w:t>Como se indica en la respuesta a la primera pregunta, el artículo 54, letra c), del RDC establece un límite máximo del 25 % de los costes directos subvencionables únicamente si el tipo fijo se calcula sobre la base del método de cálculo justo, equitativo y verificable y no se aplica a los tipos fijos establecidos sobre la base de los métodos establecidos en el artículo 53, apartado 3, letra b), del RDC.</w:t>
      </w:r>
    </w:p>
    <w:p w:rsidR="00786B3E" w:rsidRDefault="00786B3E" w:rsidP="00786B3E">
      <w:r>
        <w:lastRenderedPageBreak/>
        <w:t>Corresponde al Estado miembro hacer uso de la opción, ya que, de conformidad con el artículo 94, apartado 3, del RDC, el reembolso por parte de los Estados miembros a los beneficiarios puede adoptar cualquier forma de ayuda.</w:t>
      </w:r>
    </w:p>
    <w:p w:rsidR="00786B3E" w:rsidRDefault="00786B3E" w:rsidP="00786B3E"/>
    <w:p w:rsidR="00786B3E" w:rsidRDefault="00786B3E" w:rsidP="00786B3E">
      <w:pPr>
        <w:pStyle w:val="P68B1DB1-Normal1"/>
      </w:pPr>
      <w:r>
        <w:t>Respuesta.</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478" w:name="scroll-bookmark-560"/>
      <w:bookmarkStart w:id="479" w:name="scroll-bookmark-561"/>
      <w:bookmarkEnd w:id="478"/>
      <w:r>
        <w:t>QA00266 — ¿Se aplica el artículo 36, apartado 4, letra c), de la CTE al beneficiario/gestor del fondo para pequeños proyectos?</w:t>
      </w:r>
      <w:bookmarkEnd w:id="479"/>
    </w:p>
    <w:p w:rsidR="00786B3E" w:rsidRDefault="00786B3E" w:rsidP="00786B3E">
      <w:r>
        <w:rPr>
          <w:noProof/>
          <w:lang w:val="es-ES"/>
        </w:rPr>
        <w:drawing>
          <wp:inline distT="0" distB="0" distL="0" distR="0" wp14:anchorId="4133C284" wp14:editId="79BA0875">
            <wp:extent cx="152435" cy="152435"/>
            <wp:effectExtent l="0" t="0" r="0" b="0"/>
            <wp:docPr id="100963" name="Imagen 1009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36, apartado 4, del Reglamento (UE) 2021/1059 (CTE)</w:t>
      </w:r>
    </w:p>
    <w:p w:rsidR="00786B3E" w:rsidRDefault="00786B3E" w:rsidP="00786B3E">
      <w:r>
        <w:t>Artículo 23 y 25 del Reglamento (UE) 2021/1059 (CTE)</w:t>
      </w:r>
    </w:p>
    <w:p w:rsidR="00786B3E" w:rsidRDefault="00786B3E" w:rsidP="00786B3E">
      <w:r>
        <w:t>Artículos 2 (18) y 50 (2) del Reglamento (UE) 2021/1060 (RDC)</w:t>
      </w:r>
    </w:p>
    <w:p w:rsidR="00786B3E" w:rsidRDefault="00786B3E" w:rsidP="00786B3E">
      <w:r>
        <w:rPr>
          <w:noProof/>
          <w:lang w:val="es-ES"/>
        </w:rPr>
        <w:drawing>
          <wp:inline distT="0" distB="0" distL="0" distR="0" wp14:anchorId="70E36DC8" wp14:editId="5FF78678">
            <wp:extent cx="152435" cy="152435"/>
            <wp:effectExtent l="0" t="0" r="0" b="0"/>
            <wp:docPr id="100965" name="Imagen 1009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Las operaciones del FPP en el marco del programa de cooperación transfronteriza Interreg PL-SK tendrán presupuestos superiores al importe indicado en el artículo 36, apartado 4, letra c), de la CTE. Sin embargo, el beneficiario del FPP (es decir, el administrador del FPP) no implementará la infraestructura como parte de los costes de gestión. El equipo adquirido como parte de la gestión de la operación del FPP en la categoría de «equipo» se utiliza únicamente para la gestión de proyectos. Normalmente se trata de equipos ofimáticos (por ejemplo, ordenadores, impresoras, escáneres).</w:t>
      </w:r>
    </w:p>
    <w:p w:rsidR="00786B3E" w:rsidRDefault="00786B3E" w:rsidP="00786B3E">
      <w:r>
        <w:t>En tal situación, ¿puede considerarse que la disposición de la letra c) no se aplica al beneficiario del FPP (solo a, b, d y e)?</w:t>
      </w:r>
    </w:p>
    <w:p w:rsidR="00786B3E" w:rsidRDefault="00786B3E" w:rsidP="00786B3E">
      <w:pPr>
        <w:pStyle w:val="P68B1DB1-Normal1"/>
      </w:pPr>
      <w:r>
        <w:t>Respuesta.</w:t>
      </w:r>
    </w:p>
    <w:p w:rsidR="00786B3E" w:rsidRDefault="00786B3E" w:rsidP="00786B3E">
      <w:r>
        <w:t>Las obligaciones del beneficiario del FPP en relación con la comunicación y la publicidad se definieron en las siguientes disposiciones reglamentarias:</w:t>
      </w:r>
    </w:p>
    <w:p w:rsidR="00786B3E" w:rsidRDefault="00786B3E" w:rsidP="00786B3E">
      <w:pPr>
        <w:numPr>
          <w:ilvl w:val="0"/>
          <w:numId w:val="225"/>
        </w:numPr>
      </w:pPr>
      <w:r>
        <w:t>de conformidad con el artículo 50, apartado 2, del RDC para los fondos para pequeños proyectos, el beneficiario cumplirá las obligaciones establecidas en el artículo 36, apartado 5, de la CTE;</w:t>
      </w:r>
    </w:p>
    <w:p w:rsidR="00786B3E" w:rsidRDefault="00786B3E" w:rsidP="00786B3E">
      <w:pPr>
        <w:numPr>
          <w:ilvl w:val="0"/>
          <w:numId w:val="225"/>
        </w:numPr>
      </w:pPr>
      <w:r>
        <w:lastRenderedPageBreak/>
        <w:t>de conformidad con el artículo 36, apartado 4, de la CTE, cada socio de una operación Interreg reconocerá el apoyo de un fondo Interreg de conformidad con las letras a) a e) de dicha disposición;</w:t>
      </w:r>
    </w:p>
    <w:p w:rsidR="00786B3E" w:rsidRDefault="00786B3E" w:rsidP="00786B3E">
      <w:r>
        <w:t>En el presente asunto, es el beneficiario del fondo para pequeños proyectos el que ha adquirido e instalado equipos con fines de gestión. El beneficiario debe cumplir las obligaciones impuestas por el artículo 36, apartado 4, de la CTE. El objetivo de la disposición es garantizar que cada socio de una operación Interreg reconozca el apoyo de un fondo Interreg. De conformidad con el artículo 23 de la CTE, un socio es beneficiario de un fondo Interreg y puede ser un socio único para la ejecución de un fondo para pequeños proyectos.</w:t>
      </w:r>
    </w:p>
    <w:p w:rsidR="00786B3E" w:rsidRDefault="00786B3E" w:rsidP="00786B3E">
      <w:r>
        <w:t>Esto significa que el artículo 36, apartado 4, letra c), de la CTE es aplicable al beneficiario del FPP cuando la operación Interreg cuyo coste total supere los 100,000 EUR incluya inversión física o adquisición de equipos.</w:t>
      </w:r>
    </w:p>
    <w:p w:rsidR="00786B3E" w:rsidRDefault="00786B3E" w:rsidP="00786B3E"/>
    <w:p w:rsidR="00786B3E" w:rsidRDefault="00786B3E" w:rsidP="00786B3E"/>
    <w:p w:rsidR="00786B3E" w:rsidRDefault="00786B3E" w:rsidP="00786B3E">
      <w:pPr>
        <w:pStyle w:val="Ttulo1"/>
      </w:pPr>
      <w:bookmarkStart w:id="480" w:name="scroll-bookmark-562"/>
      <w:bookmarkStart w:id="481" w:name="scroll-bookmark-563"/>
      <w:bookmarkEnd w:id="480"/>
      <w:r>
        <w:t>QA00267 — ¿Qué es el material de comunicación?</w:t>
      </w:r>
      <w:bookmarkEnd w:id="481"/>
    </w:p>
    <w:p w:rsidR="00786B3E" w:rsidRDefault="00786B3E" w:rsidP="00786B3E">
      <w:r>
        <w:rPr>
          <w:noProof/>
          <w:lang w:val="es-ES"/>
        </w:rPr>
        <w:drawing>
          <wp:inline distT="0" distB="0" distL="0" distR="0" wp14:anchorId="35EE8A54" wp14:editId="1B3D7F1A">
            <wp:extent cx="152435" cy="152435"/>
            <wp:effectExtent l="0" t="0" r="0" b="0"/>
            <wp:docPr id="100967" name="Imagen 1009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apartado 1, letra b), del RDC</w:t>
      </w:r>
    </w:p>
    <w:p w:rsidR="00786B3E" w:rsidRDefault="00786B3E" w:rsidP="00786B3E">
      <w:r>
        <w:rPr>
          <w:noProof/>
          <w:lang w:val="es-ES"/>
        </w:rPr>
        <w:drawing>
          <wp:inline distT="0" distB="0" distL="0" distR="0" wp14:anchorId="2141BFF8" wp14:editId="726E576B">
            <wp:extent cx="152435" cy="152435"/>
            <wp:effectExtent l="0" t="0" r="0" b="0"/>
            <wp:docPr id="100969" name="Imagen 1009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Preguntas (incluidos los hechos y la información pertinentes):</w:t>
      </w:r>
    </w:p>
    <w:p w:rsidR="00786B3E" w:rsidRDefault="00786B3E" w:rsidP="00786B3E">
      <w:pPr>
        <w:numPr>
          <w:ilvl w:val="0"/>
          <w:numId w:val="226"/>
        </w:numPr>
      </w:pPr>
      <w:r>
        <w:t>¿Puede considerarse material de comunicación un discurso pronunciado en una inauguración de un proyecto financiado por la UE?</w:t>
      </w:r>
    </w:p>
    <w:p w:rsidR="00786B3E" w:rsidRDefault="00786B3E" w:rsidP="00786B3E">
      <w:pPr>
        <w:numPr>
          <w:ilvl w:val="0"/>
          <w:numId w:val="226"/>
        </w:numPr>
      </w:pPr>
      <w:r>
        <w:t>Dado que el beneficiario organiza el acto, ¿es responsable de todo el «material» de comunicación, incluido lo que se dice?</w:t>
      </w:r>
    </w:p>
    <w:p w:rsidR="00786B3E" w:rsidRDefault="00786B3E" w:rsidP="00786B3E">
      <w:pPr>
        <w:numPr>
          <w:ilvl w:val="0"/>
          <w:numId w:val="226"/>
        </w:numPr>
      </w:pPr>
      <w:r>
        <w:t>¿Se considera que la ceremonia de clausura forma parte de la ejecución de la operación en la que debería mostrarse el apoyo de la Unión?</w:t>
      </w:r>
    </w:p>
    <w:p w:rsidR="00786B3E" w:rsidRDefault="00786B3E" w:rsidP="00786B3E"/>
    <w:p w:rsidR="00786B3E" w:rsidRDefault="00786B3E" w:rsidP="00786B3E">
      <w:pPr>
        <w:pStyle w:val="P68B1DB1-Normal1"/>
      </w:pPr>
      <w:r>
        <w:t>Respuesta.</w:t>
      </w:r>
    </w:p>
    <w:p w:rsidR="00786B3E" w:rsidRDefault="00786B3E" w:rsidP="00786B3E">
      <w:r>
        <w:t>El artículo 50, apartado 1, del RDC establece que «los beneficiarios y los organismos que ejecuten los instrumentos financieros reconocerán la ayuda de los Fondos, [...] b) facilitando una declaración en la que se destaque la ayuda de la Unión de manera visible en los documentos y material de comunicación relativos a la ejecución de la operación, destinados al público o a los participantes».</w:t>
      </w:r>
    </w:p>
    <w:p w:rsidR="00786B3E" w:rsidRDefault="00786B3E" w:rsidP="00786B3E">
      <w:pPr>
        <w:numPr>
          <w:ilvl w:val="0"/>
          <w:numId w:val="227"/>
        </w:numPr>
      </w:pPr>
      <w:r>
        <w:t xml:space="preserve">El discurso durante la inauguración del proyecto debe considerarse parte del «material de comunicación relativo a la ejecución de la operación». Aunque el beneficiario no tenga la posibilidad de producir o influir en el contenido de dicho discurso, debe esforzarse por destacar durante la inauguración el apoyo de la </w:t>
      </w:r>
      <w:r>
        <w:lastRenderedPageBreak/>
        <w:t>Unión al proyecto, de conformidad con el artículo 50, apartado 1, letra b), del RDC. Si el beneficiario obtiene el derecho a publicar por escrito el contenido del discurso de inauguración o a publicar una grabación en vídeo o audio de dicho discurso, el hecho de que no se destaque el apoyo de la Unión en el discurso en directo podrá subsanarse añadiendo una declaración de financiación debajo de la transcripción o grabación.</w:t>
      </w:r>
    </w:p>
    <w:p w:rsidR="00786B3E" w:rsidRDefault="00786B3E" w:rsidP="00786B3E">
      <w:pPr>
        <w:numPr>
          <w:ilvl w:val="0"/>
          <w:numId w:val="227"/>
        </w:numPr>
      </w:pPr>
      <w:r>
        <w:t>El beneficiario debe asumir la responsabilidad de todo el material de comunicación, como invitaciones a asistir al acto, posibles prospectos u otros documentos distribuidos, comunicados de prensa enviados, publicaciones en redes sociales sobre los perfiles del beneficiario, etc. Si bien es posible que el beneficiario no pueda controlar lo que se dice en los actos, es el beneficiario quien puede dirigir la selección de los oradores pertinentes y debatir con antelación cuáles son los mensajes importantes (como el apoyo de la Unión) que deben mencionarse en el discurso.</w:t>
      </w:r>
    </w:p>
    <w:p w:rsidR="00786B3E" w:rsidRDefault="00786B3E" w:rsidP="00786B3E">
      <w:pPr>
        <w:numPr>
          <w:ilvl w:val="0"/>
          <w:numId w:val="227"/>
        </w:numPr>
      </w:pPr>
      <w:r>
        <w:t>La ceremonia de clausura puede considerarse parte de la ejecución de la operación, en función del acuerdo o documento de subvención por el que se conceda la ayuda al beneficiario. Sin embargo, el artículo 50, apartado 1, letra b), del RDC no limita las responsabilidades del beneficiario únicamente al período de ejecución de la operación. A este respecto, independientemente de si la ceremonia de clausura forma parte de la ejecución de la operación, el beneficiario debe presentar una declaración en la que se destaque el apoyo de la Unión de manera visible en los documentos y el material de comunicación relacionados con la ejecución de la operación, destinados al público o a los participantes, que elabore con ocasión de la ceremonia de clausura.</w:t>
      </w:r>
    </w:p>
    <w:p w:rsidR="00786B3E" w:rsidRDefault="00786B3E" w:rsidP="00786B3E"/>
    <w:p w:rsidR="00786B3E" w:rsidRDefault="00786B3E" w:rsidP="00786B3E"/>
    <w:p w:rsidR="00786B3E" w:rsidRDefault="00786B3E" w:rsidP="00786B3E"/>
    <w:p w:rsidR="00786B3E" w:rsidRDefault="00786B3E" w:rsidP="00786B3E">
      <w:pPr>
        <w:pStyle w:val="Ttulo1"/>
      </w:pPr>
      <w:bookmarkStart w:id="482" w:name="scroll-bookmark-564"/>
      <w:bookmarkStart w:id="483" w:name="scroll-bookmark-565"/>
      <w:bookmarkEnd w:id="482"/>
      <w:r>
        <w:t>QA00268 — Modificación del programa en caso de que un plan territorial de transición justa esté asociado a varios programas</w:t>
      </w:r>
      <w:bookmarkEnd w:id="483"/>
    </w:p>
    <w:p w:rsidR="00786B3E" w:rsidRDefault="00786B3E" w:rsidP="00786B3E">
      <w:r>
        <w:rPr>
          <w:noProof/>
          <w:lang w:val="es-ES"/>
        </w:rPr>
        <w:drawing>
          <wp:inline distT="0" distB="0" distL="0" distR="0" wp14:anchorId="0E1CAB45" wp14:editId="7CE3323B">
            <wp:extent cx="152435" cy="152435"/>
            <wp:effectExtent l="0" t="0" r="0" b="0"/>
            <wp:docPr id="100971" name="Imagen 1009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Artículos 22, 24 y 63 del RDC </w:t>
      </w:r>
    </w:p>
    <w:p w:rsidR="00786B3E" w:rsidRDefault="00786B3E" w:rsidP="00786B3E">
      <w:r>
        <w:t>Artículo 10 del FTJ</w:t>
      </w:r>
    </w:p>
    <w:p w:rsidR="00786B3E" w:rsidRDefault="00786B3E" w:rsidP="00786B3E">
      <w:r>
        <w:rPr>
          <w:noProof/>
          <w:lang w:val="es-ES"/>
        </w:rPr>
        <w:drawing>
          <wp:inline distT="0" distB="0" distL="0" distR="0" wp14:anchorId="330AFC2B" wp14:editId="4778C57A">
            <wp:extent cx="152435" cy="152435"/>
            <wp:effectExtent l="0" t="0" r="0" b="0"/>
            <wp:docPr id="100973" name="Imagen 1009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lastRenderedPageBreak/>
        <w:t>En Francia, la programación del FTJ se divide entre los tipos de inversiones similares al FSE + y al FEDER. De hecho, las intervenciones del FTJ se basan en seis planes territoriales de transición justa con el apoyo del FTJ a 7 programas:</w:t>
      </w:r>
    </w:p>
    <w:p w:rsidR="00786B3E" w:rsidRDefault="00786B3E" w:rsidP="00786B3E">
      <w:pPr>
        <w:numPr>
          <w:ilvl w:val="0"/>
          <w:numId w:val="228"/>
        </w:numPr>
      </w:pPr>
      <w:r>
        <w:t>1 programa nacional de monofondo del FTJ que apoya tipos de acciones en consonancia con el artículo 8, apartado 2, letra k), letra m), letra n) (tipo de medidas del FSE +) del Reglamento del FTJ, incluidos 6 planes territoriales de transición justa, uno para cada una de las seis regiones subvencionables (es decir: FSE +, como el tipo de medidas);</w:t>
      </w:r>
    </w:p>
    <w:p w:rsidR="00786B3E" w:rsidRDefault="00786B3E" w:rsidP="00786B3E">
      <w:pPr>
        <w:numPr>
          <w:ilvl w:val="0"/>
          <w:numId w:val="228"/>
        </w:numPr>
      </w:pPr>
      <w:r>
        <w:t>6 programas regionales multifondo FEDER-FSE ± FTJ en los que el componente del FTJ solo apoya tipos de acciones en consonancia con el artículo 8, apartado 2, letra a), letra j) (tipo de medidas «FEDER»), cada uno de los cuales incluye el Plan Territorial de Transición Justa de la región de que se trate.</w:t>
      </w:r>
    </w:p>
    <w:p w:rsidR="00786B3E" w:rsidRDefault="00786B3E" w:rsidP="00786B3E"/>
    <w:p w:rsidR="00786B3E" w:rsidRDefault="0001326E" w:rsidP="00786B3E">
      <w:r>
        <w:t xml:space="preserve">Por lo </w:t>
      </w:r>
      <w:r w:rsidR="00786B3E">
        <w:rPr>
          <w:b/>
        </w:rPr>
        <w:t>tanto, cada plan territorial de transición justa está cubierto por dos programas en cada región</w:t>
      </w:r>
      <w:r w:rsidR="00786B3E">
        <w:t>.</w:t>
      </w:r>
    </w:p>
    <w:p w:rsidR="00786B3E" w:rsidRDefault="00786B3E" w:rsidP="00786B3E"/>
    <w:p w:rsidR="00786B3E" w:rsidRDefault="00786B3E" w:rsidP="00786B3E">
      <w:r>
        <w:t>Con el fin de mejorar la ejecución del FTJ, varias autoridades de gestión estudian la posibilidad de presentar una solicitud de modificación del programa (en relación con los componentes similares al FSE + o al FEDER de la programación del FTJ), en particular modificaciones que introducen nuevos tipos de acciones. Así pues, la cuestión se refiere al alcance de una modificación de un programa que afecta a un plan territorial de transición justa cubierto por dos programas, en caso de que se divida entre tipos de inversiones similares al FSE + y al FEDER.</w:t>
      </w:r>
    </w:p>
    <w:p w:rsidR="00786B3E" w:rsidRDefault="00786B3E" w:rsidP="00786B3E"/>
    <w:p w:rsidR="00786B3E" w:rsidRDefault="00786B3E" w:rsidP="00786B3E">
      <w:r>
        <w:t xml:space="preserve">En este contexto, las autoridades francesas pretenden aclarar qué programa o programas </w:t>
      </w:r>
      <w:r>
        <w:rPr>
          <w:b/>
        </w:rPr>
        <w:t xml:space="preserve">deben verse afectados en caso de que se solicite una modificación de un programa y el plan territorial relativo para incluir un nuevo tipo de acción, cuando este tipo de acción solo afecte a un programa y al plan territorial de transición justa relativo, </w:t>
      </w:r>
      <w:r>
        <w:t>pero el mismo plan territorial de transición justa forme también parte de otro programa</w:t>
      </w:r>
      <w:r>
        <w:rPr>
          <w:b/>
        </w:rPr>
        <w:t>.</w:t>
      </w:r>
    </w:p>
    <w:p w:rsidR="00786B3E" w:rsidRDefault="00786B3E" w:rsidP="00786B3E">
      <w:pPr>
        <w:pStyle w:val="P68B1DB1-Normal1"/>
      </w:pPr>
      <w:r>
        <w:t>Sobre la base de estos elementos, ¿qué programa o programas (que cubren el plan territorial de transición justa de la región afectada) deberían verse afectados en caso de solicitud de modificación de una prioridad del FTJ?</w:t>
      </w:r>
    </w:p>
    <w:p w:rsidR="00786B3E" w:rsidRDefault="00786B3E" w:rsidP="00786B3E"/>
    <w:p w:rsidR="00786B3E" w:rsidRDefault="00786B3E" w:rsidP="00786B3E">
      <w:pPr>
        <w:pStyle w:val="P68B1DB1-Normal1"/>
      </w:pPr>
      <w:r>
        <w:t>Respuesta.</w:t>
      </w:r>
    </w:p>
    <w:p w:rsidR="00786B3E" w:rsidRDefault="00786B3E" w:rsidP="00786B3E">
      <w:r>
        <w:t>De conformidad con el artículo 22, apartado 8, del RDC y el artículo 10, apartado 1, del FTJ, el plan territorial de transición justa («el plan») forma parte del programa o programas apoyados por el FTJ. Como tal, el plan está cubierto por la decisión de la Comisión por la que se aprueba (o modifica) el programa correspondiente.</w:t>
      </w:r>
    </w:p>
    <w:p w:rsidR="00786B3E" w:rsidRDefault="00786B3E" w:rsidP="00786B3E">
      <w:r>
        <w:t xml:space="preserve">En consecuencia, el cambio (por ejemplo, la inclusión de nuevos tipos de acciones) en el plan vinculado a varios programas dará lugar a la necesidad de una modificación formal de cada uno de estos programas, sobre la base del procedimiento establecido en el </w:t>
      </w:r>
      <w:r>
        <w:lastRenderedPageBreak/>
        <w:t>artículo 24, apartado 1, — (</w:t>
      </w:r>
      <w:hyperlink w:anchor="scroll-bookmark-566" w:history="1">
        <w:r>
          <w:rPr>
            <w:rStyle w:val="Hipervnculo"/>
          </w:rPr>
          <w:t>4) [</w:t>
        </w:r>
      </w:hyperlink>
      <w:r>
        <w:t xml:space="preserve"> 1] del RDC. Esto se debe a que, cuando un plan abarca varios programas, sigue siendo un único y único documento para todos los programas, con independencia de que cada decisión por la que se aprueba el programa correspondiente se haya referido al plan como parte del mismo. Por lo tanto, no es pertinente si el cambio propuesto en el plan repercute en el alcance de la intervención de un único programa.</w:t>
      </w:r>
    </w:p>
    <w:p w:rsidR="00786B3E" w:rsidRDefault="00786B3E" w:rsidP="00786B3E">
      <w:r>
        <w:t>No obstante, es necesario presentar lo antes posible una modificación del programa en lo que respecta al programa para el que se introduce el nuevo tipo de acción. Los demás programas podrán modificarse posteriormente en relación con dicho cambio, una vez que sea necesaria una modificación del programa relativa a otras modificaciones.</w:t>
      </w:r>
    </w:p>
    <w:p w:rsidR="00786B3E" w:rsidRDefault="00786B3E" w:rsidP="00786B3E">
      <w:r>
        <w:t xml:space="preserve">Además, puede ser útil recordar el QA00057 </w:t>
      </w:r>
      <w:hyperlink r:id="rId520" w:history="1">
        <w:r>
          <w:rPr>
            <w:rStyle w:val="Hipervnculo"/>
          </w:rPr>
          <w:t>— Fecha de inicio de la subvencionabilidad para el FTJ — QA 21-27 — RegioWiki (europa.eu)</w:t>
        </w:r>
      </w:hyperlink>
      <w:r>
        <w:t xml:space="preserve"> y las disposiciones del artículo 63 del RDC en el contexto del FTJ.</w:t>
      </w:r>
    </w:p>
    <w:p w:rsidR="00786B3E" w:rsidRDefault="00786B3E" w:rsidP="00786B3E">
      <w:r>
        <w:t>TIERNA _</w:t>
      </w:r>
    </w:p>
    <w:p w:rsidR="00786B3E" w:rsidRDefault="00FC0FB1" w:rsidP="00786B3E">
      <w:hyperlink w:anchor="scroll-bookmark-567" w:history="1">
        <w:r w:rsidR="00786B3E">
          <w:rPr>
            <w:rStyle w:val="Hipervnculo"/>
          </w:rPr>
          <w:t>[1]</w:t>
        </w:r>
      </w:hyperlink>
      <w:r w:rsidR="00786B3E">
        <w:t xml:space="preserve"> Nota: la lista de inversiones productivas en grandes empresas es indicativa incluso una vez aprobada por la Comisión en el marco del plan territorial de transición justa como parte del programa, por lo que no es necesario modificarlo en caso de cambios en la lista. Sin embargo, es necesaria una modificación aprobada por la Decisión de la Comisión para apoyar a grandes empresas para inversiones productivas situadas en zonas «c», contempladas en el apartado 14 de las Directrices sobre ayudas estatales de finalidad regional (en lo sucesivo, «las DAR»).</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484" w:name="scroll-bookmark-568"/>
      <w:bookmarkStart w:id="485" w:name="scroll-bookmark-569"/>
      <w:bookmarkEnd w:id="484"/>
      <w:r>
        <w:t>QA00269 — Subvencionabilidad de los gastos generales en el marco de los regímenes de ayudas estatales del FSE +</w:t>
      </w:r>
      <w:bookmarkEnd w:id="485"/>
    </w:p>
    <w:p w:rsidR="00786B3E" w:rsidRDefault="00786B3E" w:rsidP="00786B3E">
      <w:r>
        <w:rPr>
          <w:noProof/>
          <w:lang w:val="es-ES"/>
        </w:rPr>
        <w:drawing>
          <wp:inline distT="0" distB="0" distL="0" distR="0" wp14:anchorId="7F3CBA93" wp14:editId="57CE90C3">
            <wp:extent cx="152435" cy="152435"/>
            <wp:effectExtent l="0" t="0" r="0" b="0"/>
            <wp:docPr id="100975" name="Imagen 1009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786B3E" w:rsidRDefault="00786B3E" w:rsidP="00786B3E">
      <w:r>
        <w:t>Artículo 54 del RDC</w:t>
      </w:r>
    </w:p>
    <w:p w:rsidR="00786B3E" w:rsidRDefault="00786B3E" w:rsidP="00786B3E">
      <w:r>
        <w:t>Artículo 7, apartado 1, del Reglamento (UE) n.º 651/2014 («RGEC»)</w:t>
      </w:r>
    </w:p>
    <w:p w:rsidR="00786B3E" w:rsidRDefault="00786B3E" w:rsidP="00786B3E">
      <w:r>
        <w:rPr>
          <w:noProof/>
          <w:lang w:val="es-ES"/>
        </w:rPr>
        <w:drawing>
          <wp:inline distT="0" distB="0" distL="0" distR="0" wp14:anchorId="2A947051" wp14:editId="1BA5A759">
            <wp:extent cx="152435" cy="152435"/>
            <wp:effectExtent l="0" t="0" r="0" b="0"/>
            <wp:docPr id="100977" name="Imagen 1009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MT</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Con respecto a los regímenes de ayudas estatales destinados al sector privado, tenemos dos regímenes que se cofinanciarán con cargo al Fondo Social Europeo Plus. La primera </w:t>
      </w:r>
      <w:r>
        <w:lastRenderedPageBreak/>
        <w:t xml:space="preserve">consiste en subvenciones salariales para los trabajadores desfavorecidos y con discapacidad, y la segunda, en forma de ayudas a la formación. Agradeceríamos su opinión sobre la posibilidad de </w:t>
      </w:r>
      <w:r>
        <w:rPr>
          <w:u w:val="single"/>
        </w:rPr>
        <w:t>aplicar el tipo fijo listo para su uso que figura en el artículo 54, letra a), del Reglamento (UE) 2021/1060 (RDC) a las operaciones subvencionables en el marco de estos regímenes en relación con todos los costes subvencionables.</w:t>
      </w:r>
    </w:p>
    <w:p w:rsidR="00786B3E" w:rsidRDefault="00786B3E" w:rsidP="00786B3E"/>
    <w:p w:rsidR="00786B3E" w:rsidRDefault="00786B3E" w:rsidP="00786B3E">
      <w:r>
        <w:t>En el marco del régimen de ayudas estatales que proporciona ayuda a la formación al sector privado, los costes subvencionables incluyen los siguientes:</w:t>
      </w:r>
    </w:p>
    <w:p w:rsidR="00786B3E" w:rsidRDefault="00786B3E" w:rsidP="00786B3E">
      <w:pPr>
        <w:numPr>
          <w:ilvl w:val="0"/>
          <w:numId w:val="229"/>
        </w:numPr>
      </w:pPr>
      <w:r>
        <w:t>Honorarios de los formadores</w:t>
      </w:r>
    </w:p>
    <w:p w:rsidR="00786B3E" w:rsidRDefault="00786B3E" w:rsidP="00786B3E">
      <w:pPr>
        <w:numPr>
          <w:ilvl w:val="0"/>
          <w:numId w:val="229"/>
        </w:numPr>
      </w:pPr>
      <w:r>
        <w:t>Salarios de los asalariados</w:t>
      </w:r>
    </w:p>
    <w:p w:rsidR="00786B3E" w:rsidRDefault="00786B3E" w:rsidP="00786B3E">
      <w:pPr>
        <w:numPr>
          <w:ilvl w:val="0"/>
          <w:numId w:val="229"/>
        </w:numPr>
      </w:pPr>
      <w:r>
        <w:t>Gastos de viaje y estancia necesarios</w:t>
      </w:r>
    </w:p>
    <w:p w:rsidR="00786B3E" w:rsidRDefault="00786B3E" w:rsidP="00786B3E">
      <w:pPr>
        <w:numPr>
          <w:ilvl w:val="0"/>
          <w:numId w:val="229"/>
        </w:numPr>
      </w:pPr>
      <w:r>
        <w:t>Gastos indirectos</w:t>
      </w:r>
    </w:p>
    <w:p w:rsidR="00786B3E" w:rsidRDefault="00786B3E" w:rsidP="00786B3E">
      <w:r>
        <w:t>Nos gustaría preguntarnos, en particular, si el uso del tipo fijo para los costes indirectos con arreglo al artículo 54, letra a), del RDC es compatible con el artículo 31 (3) (d) del RGEC. </w:t>
      </w:r>
    </w:p>
    <w:p w:rsidR="00786B3E" w:rsidRDefault="00786B3E" w:rsidP="00786B3E"/>
    <w:p w:rsidR="00786B3E" w:rsidRDefault="00786B3E" w:rsidP="00786B3E">
      <w:pPr>
        <w:pStyle w:val="P68B1DB1-Normal1"/>
      </w:pPr>
      <w:r>
        <w:t>Respuesta.</w:t>
      </w:r>
    </w:p>
    <w:p w:rsidR="00786B3E" w:rsidRDefault="00786B3E" w:rsidP="00786B3E">
      <w:r>
        <w:t xml:space="preserve">Como se explica </w:t>
      </w:r>
      <w:hyperlink r:id="rId521" w:history="1">
        <w:r>
          <w:rPr>
            <w:rStyle w:val="Hipervnculo"/>
          </w:rPr>
          <w:t>en</w:t>
        </w:r>
      </w:hyperlink>
      <w:r>
        <w:t xml:space="preserve"> </w:t>
      </w:r>
      <w:r w:rsidR="00F70C5D">
        <w:t>la QA</w:t>
      </w:r>
      <w:r>
        <w:t>00242, el artículo 7, apartado 1, del Reglamento (UE) n.º 651/2014 («RGEC»), modificado en último lugar por el Reglamento (UE) 2023/1315, permite calcular el importe de los costes subvencionables utilizando las opciones de costes simplificados establecidas en las normas pertinentes que rigen el fondo de la Unión, siempre que:</w:t>
      </w:r>
    </w:p>
    <w:p w:rsidR="00786B3E" w:rsidRDefault="00786B3E" w:rsidP="00786B3E">
      <w:pPr>
        <w:numPr>
          <w:ilvl w:val="0"/>
          <w:numId w:val="230"/>
        </w:numPr>
      </w:pPr>
      <w:r>
        <w:t>una operación se financia, al menos en parte, a través de un fondo de la Unión que permite el uso de opciones de costes simplificados;</w:t>
      </w:r>
    </w:p>
    <w:p w:rsidR="00786B3E" w:rsidRDefault="00786B3E" w:rsidP="00786B3E">
      <w:pPr>
        <w:numPr>
          <w:ilvl w:val="0"/>
          <w:numId w:val="230"/>
        </w:numPr>
      </w:pPr>
      <w:r>
        <w:t>la categoría de costes es subvencionable con arreglo a la disposición de exención pertinente.</w:t>
      </w:r>
    </w:p>
    <w:p w:rsidR="00786B3E" w:rsidRDefault="00786B3E" w:rsidP="00786B3E">
      <w:r>
        <w:t>En el caso que nos ocupa, es necesario comprobar si el RDC prevé el uso de OCS para las categorías de costes previstas en la operación y, dado que se aplican las normas sobre ayudas estatales, comprobar si las categorías de costes cubiertas por el importe a tanto alzado o fuera de almacenamiento son subvencionables con arreglo al RGEC.</w:t>
      </w:r>
    </w:p>
    <w:p w:rsidR="00786B3E" w:rsidRDefault="00786B3E" w:rsidP="00786B3E">
      <w:pPr>
        <w:numPr>
          <w:ilvl w:val="0"/>
          <w:numId w:val="231"/>
        </w:numPr>
      </w:pPr>
      <w:r>
        <w:t>Por lo que se refiere al RDC, el artículo 54 establece disposiciones para utilizar un tipo fijo para cubrir los costes indirectos de una operación. Los costes indirectos subvencionables no se identifican per se, sino como porcentaje de los costes directos subvencionables.</w:t>
      </w:r>
    </w:p>
    <w:p w:rsidR="00786B3E" w:rsidRDefault="00786B3E" w:rsidP="00786B3E">
      <w:pPr>
        <w:numPr>
          <w:ilvl w:val="0"/>
          <w:numId w:val="231"/>
        </w:numPr>
      </w:pPr>
      <w:r>
        <w:t>Por lo que se refiere al RGEC, el artículo 31, apartado 3, relativo a las ayudas a la formación, establece que los costes subvencionables son los siguientes:</w:t>
      </w:r>
    </w:p>
    <w:p w:rsidR="00786B3E" w:rsidRDefault="00786B3E" w:rsidP="00786B3E">
      <w:r>
        <w:t>a) los costes de personal de los formadores, correspondientes a las horas durante las cuales los formadores participen en la formación;</w:t>
      </w:r>
    </w:p>
    <w:p w:rsidR="00786B3E" w:rsidRDefault="00786B3E" w:rsidP="00786B3E">
      <w:r>
        <w:lastRenderedPageBreak/>
        <w:t>b) costes de funcionamiento de formadores y becarios directamente relacionados con el proyecto de formación, tales como gastos de viaje, materiales y suministros directamente relacionados con el proyecto, amortización de herramientas y equipos, en la medida en que se utilicen exclusivamente para el proyecto de formación. Se excluyen los costes de alojamiento, excepto los costes mínimos de alojamiento necesarios para los beneficiarios de la formación que sean trabajadores con discapacidad;</w:t>
      </w:r>
    </w:p>
    <w:p w:rsidR="00786B3E" w:rsidRDefault="00786B3E" w:rsidP="00786B3E">
      <w:r>
        <w:t>C) los costes de los servicios de asesoramiento relacionados con el proyecto de formación;</w:t>
      </w:r>
    </w:p>
    <w:p w:rsidR="00786B3E" w:rsidRDefault="00786B3E" w:rsidP="00786B3E">
      <w:r>
        <w:t xml:space="preserve">d) los costes de personal de los becarios y </w:t>
      </w:r>
      <w:r>
        <w:rPr>
          <w:b/>
        </w:rPr>
        <w:t>los costes indirectos generales (costes administrativos, alquileres, gastos generales) correspondientes a las horas durante las cuales los becarios participan en la formación</w:t>
      </w:r>
      <w:r>
        <w:t>.</w:t>
      </w:r>
    </w:p>
    <w:p w:rsidR="00786B3E" w:rsidRDefault="00786B3E" w:rsidP="00786B3E">
      <w:r>
        <w:t>Dado que los costes indirectos con arreglo al artículo 54 del RDC se calculan como porcentaje de los costes directos, para poder utilizar OCS con arreglo al RGEC deben calcularse únicamente sobre la base de las categorías de costes directos definidas como subvencionables en el artículo 31, apartado 3, teniendo en cuenta las limitaciones específicas para cada uno de ellos previstas en la misma disposición del RGEC.</w:t>
      </w:r>
    </w:p>
    <w:p w:rsidR="00786B3E" w:rsidRDefault="00786B3E" w:rsidP="00786B3E">
      <w:r>
        <w:t>Sobre esta base, es posible aplicar al régimen de ayudas a la formación el tipo fijo listo para su uso que figura en el artículo 54, letra a), del Reglamento (UE) 2021/1060.</w:t>
      </w:r>
    </w:p>
    <w:p w:rsidR="00786B3E" w:rsidRDefault="00786B3E" w:rsidP="00786B3E"/>
    <w:p w:rsidR="00786B3E" w:rsidRDefault="00786B3E" w:rsidP="00786B3E"/>
    <w:p w:rsidR="00786B3E" w:rsidRDefault="00786B3E" w:rsidP="00786B3E">
      <w:pPr>
        <w:pStyle w:val="Ttulo1"/>
      </w:pPr>
      <w:bookmarkStart w:id="486" w:name="scroll-bookmark-570"/>
      <w:bookmarkStart w:id="487" w:name="scroll-bookmark-393"/>
      <w:bookmarkEnd w:id="486"/>
      <w:r>
        <w:t>QA00270 — Respuesta revisada a la pregunta 1 de la QA00200 sobre OCS — Anexo XVII, campos de datos 23 y 24 (cumplimiento máximo del tiempo de trabajo en caso de costes unitarios)</w:t>
      </w:r>
      <w:bookmarkEnd w:id="487"/>
    </w:p>
    <w:p w:rsidR="00786B3E" w:rsidRDefault="00786B3E" w:rsidP="00786B3E">
      <w:r>
        <w:rPr>
          <w:noProof/>
          <w:lang w:val="es-ES"/>
        </w:rPr>
        <w:drawing>
          <wp:inline distT="0" distB="0" distL="0" distR="0" wp14:anchorId="3D11C598" wp14:editId="6DD61DE6">
            <wp:extent cx="152435" cy="152435"/>
            <wp:effectExtent l="0" t="0" r="0" b="0"/>
            <wp:docPr id="100979" name="Imagen 1009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53 del RDC</w:t>
      </w:r>
    </w:p>
    <w:p w:rsidR="00786B3E" w:rsidRDefault="00786B3E" w:rsidP="00786B3E">
      <w:r>
        <w:t>Artículo 72 del RDC</w:t>
      </w:r>
    </w:p>
    <w:p w:rsidR="00786B3E" w:rsidRDefault="00786B3E" w:rsidP="00786B3E">
      <w:r>
        <w:t>Artículo 74 del RDC</w:t>
      </w:r>
    </w:p>
    <w:p w:rsidR="00786B3E" w:rsidRDefault="00786B3E" w:rsidP="00786B3E">
      <w:r>
        <w:t>Anexo XVII del RDC</w:t>
      </w:r>
    </w:p>
    <w:p w:rsidR="00786B3E" w:rsidRDefault="00786B3E" w:rsidP="00786B3E">
      <w:r>
        <w:rPr>
          <w:noProof/>
          <w:lang w:val="es-ES"/>
        </w:rPr>
        <w:drawing>
          <wp:inline distT="0" distB="0" distL="0" distR="0" wp14:anchorId="4A45FDE9" wp14:editId="7A2AA922">
            <wp:extent cx="152435" cy="152435"/>
            <wp:effectExtent l="0" t="0" r="0" b="0"/>
            <wp:docPr id="100981" name="Imagen 1009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Nos gustaría obtener garantías sobre nuestra interpretación de la obligación de las autoridades de gestión de registrar y almacenar electrónicamente los datos de cada operación necesarios para el seguimiento, la evaluación, la gestión financiera, las verificaciones y las auditorías de conformidad con el anexo XVII del RDC [véase el </w:t>
      </w:r>
      <w:r>
        <w:lastRenderedPageBreak/>
        <w:t>artículo 72, apartado 1, letra e), del RDC], prestando especial atención a las operaciones, cuyos costes se financian a través de OCS.</w:t>
      </w:r>
    </w:p>
    <w:p w:rsidR="00786B3E" w:rsidRDefault="00786B3E" w:rsidP="00786B3E">
      <w:r>
        <w:t>Nuestra pregunta se refiere a la obligación de registrar y almacenar datos establecida en las filas 23 y 24 del anexo XVII, es decir, datos sobre contratistas, sus titulares reales, contratos y subcontratistas en el caso de procedimientos de contratación pública por encima de los umbrales de la Unión. Aunque las OCS cubren principalmente gastos que son marginales en su volumen, puede ocurrir que puedan financiarse a través de contrataciones públicas por encima de los umbrales de la Unión o formar parte de dichas contrataciones públicas, aunque constituyan la parte insignificante de la misma.</w:t>
      </w:r>
    </w:p>
    <w:p w:rsidR="00786B3E" w:rsidRDefault="00786B3E" w:rsidP="00786B3E">
      <w:r>
        <w:t>Entendemos que las OCS existen para simplificar la administración, es decir, reducir tanto la carga administrativa para los beneficiarios como los costes para los organismos de ejecución y, por tanto, se rigen por normas especiales distintas de las que rigen la financiación basada en los costes reales.</w:t>
      </w:r>
    </w:p>
    <w:p w:rsidR="00786B3E" w:rsidRDefault="00786B3E" w:rsidP="00786B3E">
      <w:r>
        <w:t>Tras una evaluación detallada, llegamos a la conclusión de que los campos de datos 23 y 24 no deben aplicarse a los gastos adquiridos y financiados a través de las OCS. La razón principal que nos llevó a esta conclusión es la siguiente.</w:t>
      </w:r>
    </w:p>
    <w:p w:rsidR="00786B3E" w:rsidRDefault="00786B3E" w:rsidP="00786B3E">
      <w:r>
        <w:t>Aunque deban respetarse las normas de contratación pública, los documentos financieros o de contratación pública subyacentes no están sujetos a verificaciones y los importes (gastos) contraídos por el beneficiario y pagados no se exigirán que comprueben. Además, según la Decisión de la Comisión de 14. (5) 2019 por el que se establecen las directrices para la determinación de las correcciones financieras que deben aplicarse a los gastos financiados por la Unión en caso de incumplimiento de las normas aplicables en materia de contratación pública, las directrices no se aplican a las irregularidades que afecten a los gastos con arreglo a las normas sobre el uso de OCS. Además, no tenemos ninguna idea de cuál sería la finalidad de la recopilación de dichos datos y cómo posiblemente trabajar con estos datos en caso de gastos financiados a través de OCS a la hora de tener en cuenta las normas especiales que rigen las OCS.</w:t>
      </w:r>
    </w:p>
    <w:p w:rsidR="00786B3E" w:rsidRDefault="00786B3E" w:rsidP="00786B3E">
      <w:r>
        <w:t>Por lo tanto, es evidente que no existe ninguna necesidad o razón para recopilar datos sobre las contrataciones públicas en el caso de los gastos, que se financian a través de las OCS, o no hemos encontrado ningún argumento que respalde el enfoque contrario. Esta es la razón por la que llegamos a la conclusión de que la obligación establecida en el artículo 72, apartado 1, letra e), del RDC en relación con los datos presentados 23 y 24 del anexo XVII no es pertinente para los gastos financiados a través de OCS.</w:t>
      </w:r>
    </w:p>
    <w:p w:rsidR="00786B3E" w:rsidRDefault="00786B3E" w:rsidP="00786B3E">
      <w:r>
        <w:t>¿Podría confirmar o comentar nuestra comprensión?</w:t>
      </w:r>
    </w:p>
    <w:p w:rsidR="00786B3E" w:rsidRDefault="00786B3E" w:rsidP="00786B3E">
      <w:pPr>
        <w:pStyle w:val="P68B1DB1-Normal1"/>
      </w:pPr>
      <w:r>
        <w:t>Respuesta a la pregunta 1:</w:t>
      </w:r>
    </w:p>
    <w:p w:rsidR="00786B3E" w:rsidRDefault="00786B3E" w:rsidP="00786B3E">
      <w:r>
        <w:t xml:space="preserve">En el caso de los Fondos cubiertos por el RDC, las autoridades de gestión no tienen que registrar y almacenar datos electrónicos sobre contratistas, sus titulares reales, contratos y subcontratistas en los ámbitos 23 y 24 del anexo XVII del RDC para los costes indirectos cubiertos por cualquier tipo de OCS, es decir, coste unitario, cantidad a tanto alzado o tipo fijo en el marco del RDC. Para todas las demás situaciones (costes directos cubiertos por las OCS, reembolso de costes basado en otras formas de reembolso, tal como se especifica en el artículo 53, apartado 1, letra a), del RDC), deben recogerse los datos mencionados anteriormente, de conformidad con el anexo XVII del RDC. Cuando una OCS cubre tanto los costes directos como los indirectos, el requisito de registrar y </w:t>
      </w:r>
      <w:r>
        <w:lastRenderedPageBreak/>
        <w:t>almacenar datos sobre contratistas, sus titulares reales, contratos y subcontratistas solo se aplica a los costes directos.</w:t>
      </w:r>
    </w:p>
    <w:p w:rsidR="00786B3E" w:rsidRDefault="00786B3E" w:rsidP="00786B3E">
      <w:r>
        <w:t>En el campo 23, la información sobre contratistas, sus titulares reales y contratos solo debe registrarse cuando la operación se ejecute de conformidad con las normas de contratación pública de la Unión (es decir, contratación pública por encima de los umbrales establecidos en la Directiva 2014/24/UE o en la Directiva 2014/25/UE). La información sobre los subcontratistas en el campo 24 debe registrarse en el primer nivel de subcontratación, solo cuando la información se registre sobre un contratista en el campo 23, y únicamente en el caso de los subcontratos de un valor total superior a 50 000 EUR.</w:t>
      </w:r>
    </w:p>
    <w:p w:rsidR="00786B3E" w:rsidRDefault="00786B3E" w:rsidP="00786B3E"/>
    <w:p w:rsidR="00786B3E" w:rsidRDefault="00786B3E" w:rsidP="00786B3E"/>
    <w:p w:rsidR="00786B3E" w:rsidRDefault="00786B3E" w:rsidP="00786B3E">
      <w:pPr>
        <w:pStyle w:val="Ttulo1"/>
      </w:pPr>
      <w:bookmarkStart w:id="488" w:name="scroll-bookmark-571"/>
      <w:bookmarkStart w:id="489" w:name="scroll-bookmark-572"/>
      <w:bookmarkEnd w:id="488"/>
      <w:r>
        <w:t>QA00271 — Coste unitario FAST-CARE</w:t>
      </w:r>
      <w:bookmarkEnd w:id="489"/>
    </w:p>
    <w:p w:rsidR="00786B3E" w:rsidRDefault="00786B3E" w:rsidP="00786B3E">
      <w:r>
        <w:rPr>
          <w:noProof/>
          <w:lang w:val="es-ES"/>
        </w:rPr>
        <w:drawing>
          <wp:inline distT="0" distB="0" distL="0" distR="0" wp14:anchorId="51A78738" wp14:editId="22FB5194">
            <wp:extent cx="152435" cy="152435"/>
            <wp:effectExtent l="0" t="0" r="0" b="0"/>
            <wp:docPr id="100983" name="Imagen 1009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68 quater del Reglamento (UE) n.º 1303/2013</w:t>
      </w:r>
    </w:p>
    <w:p w:rsidR="00786B3E" w:rsidRDefault="00786B3E" w:rsidP="00786B3E">
      <w:r>
        <w:t>Artículos 53 y 94 del Reglamento (UE) 2021/1060</w:t>
      </w:r>
    </w:p>
    <w:p w:rsidR="00786B3E" w:rsidRDefault="00786B3E" w:rsidP="00786B3E">
      <w:r>
        <w:rPr>
          <w:noProof/>
          <w:lang w:val="es-ES"/>
        </w:rPr>
        <w:drawing>
          <wp:inline distT="0" distB="0" distL="0" distR="0" wp14:anchorId="1E755344" wp14:editId="16080989">
            <wp:extent cx="152435" cy="152435"/>
            <wp:effectExtent l="0" t="0" r="0" b="0"/>
            <wp:docPr id="100985" name="Imagen 1009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t>Antecedentes:</w:t>
      </w:r>
    </w:p>
    <w:p w:rsidR="00786B3E" w:rsidRDefault="00786B3E" w:rsidP="00786B3E">
      <w:r>
        <w:t>El Reglamento (UE) 2022/613, de 12 de abril de 2022, modificó</w:t>
      </w:r>
      <w:r>
        <w:rPr>
          <w:b/>
        </w:rPr>
        <w:t xml:space="preserve"> </w:t>
      </w:r>
      <w:r>
        <w:t xml:space="preserve">los Reglamentos (UE) n.º 1303/2013 («Reglamento sobre disposiciones comunes de 2014 — RDC de 2014») y el Reglamento (UE) n.º 223/2014 (relativo a la Acción de Cohesión para los Refugiados en Europa, «CARE») y estableció, entre otras </w:t>
      </w:r>
      <w:r>
        <w:rPr>
          <w:i/>
        </w:rPr>
        <w:t>cosas, el establecimiento</w:t>
      </w:r>
      <w:r>
        <w:t xml:space="preserve"> de un coste unitario para las operaciones destinadas a hacer frente a los retos migratorios derivados de la agresión militar por parte de la Federación de Rusia.</w:t>
      </w:r>
    </w:p>
    <w:p w:rsidR="00786B3E" w:rsidRDefault="00786B3E" w:rsidP="00786B3E">
      <w:r>
        <w:t>Además, el Reglamento (UE) 2022/2039, de 19 de octubre de 2022, modificó aún más el RDC de 2014 y el Reglamento (UE) 2021/1060 («Reglamento sobre disposiciones comunes de 2021» — «RDC de 2021») en lo que respecta a la flexibilidad adicional para hacer frente a las consecuencias de la agresión militar de la Federación de Rusia FAST (Asistencia Flexible para los Territorios) — CARE.</w:t>
      </w:r>
    </w:p>
    <w:p w:rsidR="00786B3E" w:rsidRDefault="00786B3E" w:rsidP="00786B3E">
      <w:r>
        <w:t>Con las modificaciones anteriores, sobre la base del nuevo artículo 68 quater del RDC de 2014, los Estados miembros podrán incluir en el gasto declarado en las solicitudes de pago a la Comisión un coste unitario vinculado a las necesidades básicas y al apoyo de las personas a las que se haya concedido protección temporal u otra protección adecuada en virtud del Derecho nacional de conformidad con la Decisión de Ejecución (UE) 2022/382</w:t>
      </w:r>
      <w:hyperlink w:anchor="scroll-bookmark-573" w:history="1">
        <w:r>
          <w:rPr>
            <w:rStyle w:val="Hipervnculo"/>
          </w:rPr>
          <w:t>del Consejo [</w:t>
        </w:r>
      </w:hyperlink>
      <w:r>
        <w:t xml:space="preserve"> 1] y la Directiva 2001/55/CE</w:t>
      </w:r>
      <w:r w:rsidR="002B6B31">
        <w:t xml:space="preserve"> </w:t>
      </w:r>
      <w:hyperlink w:anchor="scroll-bookmark-574" w:history="1">
        <w:r>
          <w:rPr>
            <w:rStyle w:val="Hipervnculo"/>
          </w:rPr>
          <w:t>del Consejo [</w:t>
        </w:r>
      </w:hyperlink>
      <w:r>
        <w:t xml:space="preserve"> 2] (el denominado «coste unitario FAST-CARE»).</w:t>
      </w:r>
    </w:p>
    <w:p w:rsidR="00786B3E" w:rsidRDefault="00786B3E" w:rsidP="00786B3E">
      <w:r>
        <w:t xml:space="preserve">El coste unitario FAST-CARE es una opción que los Estados miembros pueden utilizar para prestar asistencia para las necesidades básicas y el apoyo a las personas que huyen </w:t>
      </w:r>
      <w:r>
        <w:lastRenderedPageBreak/>
        <w:t xml:space="preserve">de Ucrania y ayudar a aliviar la presión sobre los presupuestos de los Estados miembros. El artículo 68 quater del RDC de 2014 no establece una definición de las necesidades básicas y el apoyo. No obstante, las necesidades básicas y el apoyo se refieren esencialmente a las medidas enumeradas en la sección 1 de la lista indicativa de acciones subvencionables (por ejemplo, alimentos, ropa, productos de higiene, alojamiento, transporte, etc.) facilitadas por la Comisión a los Estados miembros (la lista está disponible en: </w:t>
      </w:r>
      <w:hyperlink r:id="rId522" w:history="1">
        <w:r>
          <w:rPr>
            <w:rStyle w:val="Hipervnculo"/>
          </w:rPr>
          <w:t>(1) Cuestiones transversales horizontales, incluida la admisibilidad — Apoyo presupuestario de la UE para hacer frente a la crisis de los refugiados ucranianos — Comisión Europea Extranet Wiki (europa.eu)</w:t>
        </w:r>
      </w:hyperlink>
      <w:r>
        <w:t>.</w:t>
      </w:r>
    </w:p>
    <w:p w:rsidR="00786B3E" w:rsidRDefault="00786B3E" w:rsidP="00786B3E">
      <w:r>
        <w:t>Dicho coste unitario será de 100 EUR por semana por cada semana completa o parcial que la persona esté en el Estado miembro de que se trate. El coste unitario podrá utilizarse durante un máximo de 26 semanas en total, a partir de la fecha de llegada de la persona a la Unión.</w:t>
      </w:r>
    </w:p>
    <w:p w:rsidR="00786B3E" w:rsidRDefault="00786B3E" w:rsidP="00786B3E">
      <w:r>
        <w:t xml:space="preserve">Los requisitos en términos de pista de auditoría para el coste unitario FAST-CARE están disponibles en el punto </w:t>
      </w:r>
      <w:hyperlink r:id="rId523" w:history="1">
        <w:r>
          <w:rPr>
            <w:rStyle w:val="Hipervnculo"/>
          </w:rPr>
          <w:t>1. Cuestiones transversales horizontales, incluida la admisibilidad — Apoyo presupuestario de la UE para hacer frente a la crisis de los refugiados ucranianos — Comisión Europea Extranet Wiki (europa.eu)</w:t>
        </w:r>
      </w:hyperlink>
      <w:r>
        <w:t>.</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pPr>
        <w:numPr>
          <w:ilvl w:val="0"/>
          <w:numId w:val="232"/>
        </w:numPr>
      </w:pPr>
      <w:r>
        <w:t>¿Pueden los Estados miembros utilizar el coste unitario FAST-CARE en el contexto de la programación 2021-2027 para las operaciones financiadas por los Fondos en virtud del Reglamento (UE) 2020/1060 («Reglamento sobre disposiciones comunes de 2021» — «RDC de 2021»?</w:t>
      </w:r>
    </w:p>
    <w:p w:rsidR="00786B3E" w:rsidRDefault="00786B3E" w:rsidP="00786B3E">
      <w:pPr>
        <w:pStyle w:val="P68B1DB1-Normal1"/>
      </w:pPr>
      <w:r>
        <w:t>Respuesta.</w:t>
      </w:r>
    </w:p>
    <w:p w:rsidR="00786B3E" w:rsidRDefault="00786B3E" w:rsidP="00786B3E">
      <w:r>
        <w:t xml:space="preserve">De conformidad con el artículo 53, apartado 3, letra c), del Reglamento (UE) 2021/1060 (en lo sucesivo, «RDC 2021-2027»), los Estados miembros pueden establecer (en relación con los beneficiarios) los importes para las formas de subvención a que se refiere el apartado (1), letras b), c) y d), del mismo </w:t>
      </w:r>
      <w:r>
        <w:rPr>
          <w:i/>
        </w:rPr>
        <w:t xml:space="preserve">artículo «de conformidad con las normas de aplicación de los costes unitarios, los importes a tanto alzado y los tipos fijos correspondientes aplicables en las políticas de la Unión para un tipo similar </w:t>
      </w:r>
      <w:r w:rsidR="002B6B31">
        <w:rPr>
          <w:i/>
        </w:rPr>
        <w:t>de</w:t>
      </w:r>
      <w:r w:rsidR="002B6B31">
        <w:t xml:space="preserve"> operación</w:t>
      </w:r>
      <w:r>
        <w:t>».</w:t>
      </w:r>
    </w:p>
    <w:p w:rsidR="00786B3E" w:rsidRDefault="00786B3E" w:rsidP="00786B3E">
      <w:r>
        <w:t>Por lo tanto, los Estados miembros pueden utilizar el coste unitario FAST CARE establecido en el artículo 68 quater del Reglamento (CE) n.º 1303/2013 (el «RDC 2014-2020») de conformidad con el artículo 53, apartado 3, letra c), del RDC 2021-2027, es decir, como coste unitario correspondiente aplicable en las políticas de la Unión para un tipo similar de operación.</w:t>
      </w:r>
    </w:p>
    <w:p w:rsidR="00786B3E" w:rsidRDefault="00786B3E" w:rsidP="00786B3E">
      <w:r>
        <w:t>Los Estados miembros deben aplicar el método en su totalidad, incluso en términos de actividades subvencionables, y solo a tipos de operaciones similares.</w:t>
      </w:r>
    </w:p>
    <w:p w:rsidR="00786B3E" w:rsidRDefault="00786B3E" w:rsidP="00786B3E">
      <w:r>
        <w:t xml:space="preserve">Para hacer uso de la contribución de la Unión a un programa basado en el coste unitario FAST-CARE de conformidad con el artículo 94, apartado 2, letra c), del RDC 2021-2027, los Estados miembros deben presentar una propuesta a la Comisión de conformidad con los modelos establecidos en los apéndices 1 de los anexos V y VI del RDC 2021-2027, </w:t>
      </w:r>
      <w:r>
        <w:lastRenderedPageBreak/>
        <w:t>como parte de una solicitud de modificación del programa con arreglo al artículo 94, apartado 2, del RDC 2021-2027.</w:t>
      </w:r>
    </w:p>
    <w:p w:rsidR="00786B3E" w:rsidRDefault="00786B3E" w:rsidP="00786B3E">
      <w:r>
        <w:t>TIERNA _</w:t>
      </w:r>
    </w:p>
    <w:p w:rsidR="00786B3E" w:rsidRDefault="00FC0FB1" w:rsidP="00786B3E">
      <w:hyperlink w:anchor="scroll-bookmark-575" w:history="1">
        <w:r w:rsidR="00786B3E">
          <w:rPr>
            <w:rStyle w:val="Hipervnculo"/>
          </w:rPr>
          <w:t>[1]</w:t>
        </w:r>
      </w:hyperlink>
      <w:r w:rsidR="00786B3E">
        <w:t xml:space="preserve"> Decisión de Ejecución (UE) 2022/382 del Consejo, de 4 de marzo de 2022, por la que se constata la existencia de una afluencia masiva de personas desplazadas procedentes de Ucrania en el sentido del artículo 5 de la Directiva 2001/55/CE y con el efecto de que se inicie la protección temporal (DO L 71 de 4.3.2022, p. 1).</w:t>
      </w:r>
    </w:p>
    <w:p w:rsidR="00786B3E" w:rsidRDefault="00FC0FB1" w:rsidP="00786B3E">
      <w:hyperlink w:anchor="scroll-bookmark-576" w:history="1">
        <w:r w:rsidR="00786B3E">
          <w:rPr>
            <w:rStyle w:val="Hipervnculo"/>
          </w:rPr>
          <w:t>[2]</w:t>
        </w:r>
      </w:hyperlink>
      <w:r w:rsidR="00786B3E">
        <w:t xml:space="preserve"> Directiva 2001/55/CE del Consejo, de 20 de julio de 2001, relativa a las normas mínimas para la concesión de protección temporal en caso de afluencia masiva de personas desplazadas y a medidas de fomento de un esfuerzo equitativo entre los Estados miembros para acoger a dichas personas y asumir las consecuencias de su acogida (DO L 212 de 7.8.2001, p. 12).».</w:t>
      </w:r>
    </w:p>
    <w:p w:rsidR="00786B3E" w:rsidRDefault="00786B3E" w:rsidP="00786B3E"/>
    <w:p w:rsidR="00786B3E" w:rsidRDefault="00786B3E" w:rsidP="00786B3E"/>
    <w:p w:rsidR="00786B3E" w:rsidRDefault="00786B3E" w:rsidP="00786B3E">
      <w:pPr>
        <w:pStyle w:val="Ttulo1"/>
      </w:pPr>
      <w:bookmarkStart w:id="490" w:name="scroll-bookmark-577"/>
      <w:bookmarkStart w:id="491" w:name="scroll-bookmark-578"/>
      <w:bookmarkEnd w:id="490"/>
      <w:r>
        <w:t>QA00272 — Obligación de hacer público el nombre de los contratistas</w:t>
      </w:r>
      <w:bookmarkEnd w:id="491"/>
    </w:p>
    <w:p w:rsidR="00786B3E" w:rsidRDefault="00786B3E" w:rsidP="00786B3E">
      <w:r>
        <w:rPr>
          <w:noProof/>
          <w:lang w:val="es-ES"/>
        </w:rPr>
        <w:drawing>
          <wp:inline distT="0" distB="0" distL="0" distR="0" wp14:anchorId="4D62783A" wp14:editId="55AB3065">
            <wp:extent cx="152435" cy="152435"/>
            <wp:effectExtent l="0" t="0" r="0" b="0"/>
            <wp:docPr id="100987" name="Imagen 1009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 xml:space="preserve">Artículos pertinentes: </w:t>
      </w:r>
      <w:r>
        <w:t>Artículo 49 (3) (a) del RDC</w:t>
      </w:r>
    </w:p>
    <w:p w:rsidR="00786B3E" w:rsidRDefault="00786B3E" w:rsidP="00786B3E">
      <w:r>
        <w:rPr>
          <w:noProof/>
          <w:lang w:val="es-ES"/>
        </w:rPr>
        <w:drawing>
          <wp:inline distT="0" distB="0" distL="0" distR="0" wp14:anchorId="236C7F0A" wp14:editId="14526F23">
            <wp:extent cx="152435" cy="152435"/>
            <wp:effectExtent l="0" t="0" r="0" b="0"/>
            <wp:docPr id="100989" name="Imagen 1009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MT, EL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En los casos en que un beneficiario utilice la contratación pública en la ejecución del </w:t>
      </w:r>
      <w:r w:rsidR="002B6B31">
        <w:t>proyecto,</w:t>
      </w:r>
      <w:r>
        <w:t xml:space="preserve"> pero el proyecto o partes del mismo se reembolsen en forma de OCS, ¿siguen estando obligados a presentar una lista de contratistas subyacentes a los gastos de OCS para cumplir lo dispuesto en el artículo 49, apartado 3, letra a), del RDC?</w:t>
      </w:r>
    </w:p>
    <w:p w:rsidR="00786B3E" w:rsidRDefault="00786B3E" w:rsidP="00786B3E">
      <w:pPr>
        <w:pStyle w:val="P68B1DB1-Normal1"/>
      </w:pPr>
      <w:r>
        <w:t> </w:t>
      </w:r>
    </w:p>
    <w:p w:rsidR="00786B3E" w:rsidRDefault="00786B3E" w:rsidP="00786B3E">
      <w:pPr>
        <w:pStyle w:val="P68B1DB1-Normal1"/>
      </w:pPr>
      <w:r>
        <w:t>Contexto:</w:t>
      </w:r>
    </w:p>
    <w:p w:rsidR="00786B3E" w:rsidRDefault="00786B3E" w:rsidP="00786B3E">
      <w:r>
        <w:t xml:space="preserve">De conformidad con el artículo 49, apartado 3, del Reglamento (UE) 2021/1060 (RDC), la autoridad de gestión pondrá a disposición del público la lista de operaciones seleccionadas para recibir ayuda de los Fondos y la actualizará cada 4 meses. De conformidad con el artículo 49, apartado 3, letra a), del RDC, la </w:t>
      </w:r>
      <w:r w:rsidR="002B6B31">
        <w:t>lista</w:t>
      </w:r>
      <w:r w:rsidR="002B6B31">
        <w:rPr>
          <w:i/>
        </w:rPr>
        <w:t xml:space="preserve"> incluirá</w:t>
      </w:r>
      <w:r>
        <w:rPr>
          <w:i/>
        </w:rPr>
        <w:t xml:space="preserve"> «en el caso de las entidades jurídicas, el nombre del beneficiario y, en el caso de la contratación pública, el nombre del</w:t>
      </w:r>
      <w:r>
        <w:t xml:space="preserve"> </w:t>
      </w:r>
      <w:r>
        <w:rPr>
          <w:i/>
        </w:rPr>
        <w:t>contratista</w:t>
      </w:r>
      <w:r>
        <w:t>».</w:t>
      </w:r>
    </w:p>
    <w:p w:rsidR="00786B3E" w:rsidRDefault="00786B3E" w:rsidP="00786B3E">
      <w:r>
        <w:t xml:space="preserve">En el caso de las OCS, las autoridades de gestión a menudo no disponen de información sobre los contratistas y añadiría una carga administrativa considerable publicar el nombre de cada contratista utilizado por el beneficiario en el contexto de las operaciones financiadas por la UE. Las OCS no se basan en costes reales y las verificaciones de gestión solo abarcan si se han cumplido las condiciones para el </w:t>
      </w:r>
      <w:r>
        <w:lastRenderedPageBreak/>
        <w:t>reembolso del gasto al beneficiario [artículo 74, apartado 1, letra a), inciso ii), y artículo 94, apartado 3, tercera frase, del RDC]. Por lo tanto, las verificaciones y auditorías de gestión no cubren facturas individuales y es posible que las autoridades de gestión ni siquiera sepan si los costes cubiertos por la OCS incluyen o no la contratación pública.</w:t>
      </w:r>
    </w:p>
    <w:p w:rsidR="00786B3E" w:rsidRDefault="00786B3E" w:rsidP="00786B3E">
      <w:r>
        <w:t xml:space="preserve"> </w:t>
      </w:r>
      <w:r>
        <w:rPr>
          <w:b/>
        </w:rPr>
        <w:t>Respuesta.</w:t>
      </w:r>
    </w:p>
    <w:p w:rsidR="00786B3E" w:rsidRDefault="00786B3E" w:rsidP="00786B3E">
      <w:r>
        <w:t>En preguntas anteriores relacionadas con el artículo 49 del RDC (QA00136, QA00176 y QA00255), se interpretó que la información requerida en virtud del artículo 49, apartado 3, del RDC debe basarse en el anexo XVII del RDC. Esto significa que no deben recopilarse datos adicionales, excepto los incluidos en el anexo XVII del RDC, a efectos del artículo 49 del RDC.</w:t>
      </w:r>
    </w:p>
    <w:p w:rsidR="00786B3E" w:rsidRDefault="00786B3E" w:rsidP="00786B3E">
      <w:r>
        <w:t>La respuesta revisada a la pregunta 1 de</w:t>
      </w:r>
      <w:r w:rsidR="00F70C5D">
        <w:t xml:space="preserve"> </w:t>
      </w:r>
      <w:r>
        <w:t>l</w:t>
      </w:r>
      <w:r w:rsidR="00F70C5D">
        <w:t>a</w:t>
      </w:r>
      <w:r>
        <w:t xml:space="preserve"> </w:t>
      </w:r>
      <w:r w:rsidR="00F70C5D">
        <w:t>QA</w:t>
      </w:r>
      <w:r>
        <w:t>00200, publicada en el marco de</w:t>
      </w:r>
      <w:r w:rsidR="00F70C5D">
        <w:t xml:space="preserve"> </w:t>
      </w:r>
      <w:proofErr w:type="gramStart"/>
      <w:r>
        <w:t>l</w:t>
      </w:r>
      <w:r w:rsidR="00F70C5D">
        <w:t xml:space="preserve">a </w:t>
      </w:r>
      <w:r>
        <w:t xml:space="preserve"> </w:t>
      </w:r>
      <w:r w:rsidR="00F70C5D">
        <w:t>QA</w:t>
      </w:r>
      <w:proofErr w:type="gramEnd"/>
      <w:r>
        <w:t xml:space="preserve"> 00270, aclaró que, en el caso de los Fondos cubiertos por el RDC, las autoridades de gestión no tienen que registrar y almacenar datos electrónicos sobre los contratistas en el anexo XVII del RDC para los costes indirectos cubiertos por cualquier tipo de OCS, es decir, costes unitarios, cantidades a tanto alzado o tipos fijos.</w:t>
      </w:r>
    </w:p>
    <w:p w:rsidR="00786B3E" w:rsidRDefault="00786B3E" w:rsidP="00786B3E">
      <w:r>
        <w:t>Sobre la base de lo anterior, la obligación establecida en el artículo 49, apartado 3, letra a), del RDC no se aplica en relación con el nombre del contratista en el caso de la contratación pública para costes indirectos cubiertos por una OCS. En todas las demás situaciones (costes directos cubiertos por las OCS, reembolso de costes basado en otras formas de reembolso, tal como se especifica en el artículo 53, apartado 1, letra a), del RDC), los datos sobre los contratistas deben recopilarse de conformidad con el anexo XVII del RDC y el nombre del contratista debe ponerse a disposición del público en caso de contratación pública de conformidad con las normas de contratación pública de la Unión. Cuando una OCS cubre tanto los costes directos como los indirectos, el requisito de registrar y almacenar datos sobre contratistas, sus titulares reales, contratos y subcontratistas solo se aplica a los costes directos.</w:t>
      </w:r>
    </w:p>
    <w:p w:rsidR="00786B3E" w:rsidRDefault="00786B3E" w:rsidP="00786B3E"/>
    <w:p w:rsidR="00786B3E" w:rsidRDefault="00786B3E" w:rsidP="00786B3E"/>
    <w:p w:rsidR="00786B3E" w:rsidRDefault="00786B3E" w:rsidP="00786B3E">
      <w:pPr>
        <w:pStyle w:val="Ttulo1"/>
      </w:pPr>
      <w:bookmarkStart w:id="492" w:name="scroll-bookmark-579"/>
      <w:bookmarkStart w:id="493" w:name="scroll-bookmark-580"/>
      <w:bookmarkEnd w:id="492"/>
      <w:r>
        <w:t>QA00273 — Posibilidad de aprobar un programa antes de la aprobación del acuerdo de asociación</w:t>
      </w:r>
      <w:bookmarkEnd w:id="493"/>
    </w:p>
    <w:p w:rsidR="00786B3E" w:rsidRDefault="00786B3E" w:rsidP="00786B3E">
      <w:r>
        <w:rPr>
          <w:noProof/>
          <w:lang w:val="es-ES"/>
        </w:rPr>
        <w:drawing>
          <wp:inline distT="0" distB="0" distL="0" distR="0" wp14:anchorId="397E56A6" wp14:editId="3ECEFC57">
            <wp:extent cx="152435" cy="152435"/>
            <wp:effectExtent l="0" t="0" r="0" b="0"/>
            <wp:docPr id="100991" name="Imagen 1009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10, 12, 21 y 23 del RDC</w:t>
      </w:r>
    </w:p>
    <w:p w:rsidR="00786B3E" w:rsidRDefault="00786B3E" w:rsidP="00786B3E">
      <w:r>
        <w:rPr>
          <w:noProof/>
          <w:lang w:val="es-ES"/>
        </w:rPr>
        <w:drawing>
          <wp:inline distT="0" distB="0" distL="0" distR="0" wp14:anchorId="25B36DDF" wp14:editId="6F8ADCCD">
            <wp:extent cx="152435" cy="152435"/>
            <wp:effectExtent l="0" t="0" r="0" b="0"/>
            <wp:docPr id="100993" name="Imagen 1009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 aprobarse un programa antes de la aprobación del acuerdo de asociación del Estado miembro?</w:t>
      </w:r>
    </w:p>
    <w:p w:rsidR="00786B3E" w:rsidRDefault="00786B3E" w:rsidP="00786B3E"/>
    <w:p w:rsidR="00786B3E" w:rsidRDefault="00786B3E" w:rsidP="00786B3E">
      <w:pPr>
        <w:pStyle w:val="P68B1DB1-Normal1"/>
      </w:pPr>
      <w:r>
        <w:lastRenderedPageBreak/>
        <w:t>Respuesta.</w:t>
      </w:r>
    </w:p>
    <w:p w:rsidR="00786B3E" w:rsidRDefault="00786B3E" w:rsidP="00786B3E">
      <w:r>
        <w:t>El artículo 23, apartado 1, del RDC establece la obligación de que la Comisión, una vez que el Estado miembro presente oficialmente el programa, evalúe su coherencia con el acuerdo de asociación pertinente.</w:t>
      </w:r>
    </w:p>
    <w:p w:rsidR="00786B3E" w:rsidRDefault="00786B3E" w:rsidP="00786B3E">
      <w:r>
        <w:t>Por lo tanto, para cumplir esta disposición, la Comisión necesita un acuerdo de asociación aprobado que contenga la orientación estratégica para la programación acordada entre el Estado miembro y la Comisión. En consecuencia, la Comisión no puede aprobar ningún programa antes de la aprobación del acuerdo de asociación del mismo Estado miembro.</w:t>
      </w:r>
    </w:p>
    <w:p w:rsidR="00786B3E" w:rsidRDefault="00786B3E" w:rsidP="00786B3E"/>
    <w:p w:rsidR="00786B3E" w:rsidRDefault="00786B3E" w:rsidP="00786B3E"/>
    <w:p w:rsidR="00786B3E" w:rsidRDefault="00786B3E" w:rsidP="00786B3E">
      <w:pPr>
        <w:pStyle w:val="Ttulo1"/>
      </w:pPr>
      <w:bookmarkStart w:id="494" w:name="scroll-bookmark-581"/>
      <w:bookmarkStart w:id="495" w:name="scroll-bookmark-582"/>
      <w:bookmarkEnd w:id="494"/>
      <w:r>
        <w:t xml:space="preserve">QA569: </w:t>
      </w:r>
      <w:r w:rsidR="00DF0906">
        <w:t>EMFAF</w:t>
      </w:r>
      <w:r>
        <w:t xml:space="preserve"> en la sombra MC</w:t>
      </w:r>
      <w:bookmarkEnd w:id="495"/>
    </w:p>
    <w:p w:rsidR="00786B3E" w:rsidRDefault="00786B3E" w:rsidP="00786B3E">
      <w:r>
        <w:rPr>
          <w:noProof/>
          <w:lang w:val="es-ES"/>
        </w:rPr>
        <w:drawing>
          <wp:inline distT="0" distB="0" distL="0" distR="0" wp14:anchorId="3D4587AE" wp14:editId="2F72E492">
            <wp:extent cx="152435" cy="152435"/>
            <wp:effectExtent l="0" t="0" r="0" b="0"/>
            <wp:docPr id="100995" name="Imagen 1009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r>
        <w:rPr>
          <w:b/>
        </w:rPr>
        <w:t xml:space="preserve"> </w:t>
      </w:r>
      <w:r>
        <w:t>Artículo 69; 39 del Reglamento RDC</w:t>
      </w:r>
    </w:p>
    <w:p w:rsidR="00786B3E" w:rsidRDefault="00786B3E" w:rsidP="00786B3E">
      <w:r>
        <w:rPr>
          <w:noProof/>
          <w:lang w:val="es-ES"/>
        </w:rPr>
        <w:drawing>
          <wp:inline distT="0" distB="0" distL="0" distR="0" wp14:anchorId="65B77E04" wp14:editId="4B6A5C82">
            <wp:extent cx="152435" cy="152435"/>
            <wp:effectExtent l="0" t="0" r="0" b="0"/>
            <wp:docPr id="100997" name="Imagen 1009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Nosotros (NL) estamos preparando la aplicación del FEMPA a través de un primer Reglamento sobre subvenciones, cuya apertura está prevista para noviembre de 2021. No obstante, se espera que la aprobación formal del programa NL tenga lugar en diciembre de 2021. En nuestra correspondencia con la CE se nos ha animado a comenzar con todos los trabajos preparatorios necesarios con los beneficiarios antes de este momento de aprobación final del programa NL. La subvención no se concederá antes de que la CE apruebe el programa NL, pero queremos que las solicitudes se presenten antes de la aprobación del Programa NL.</w:t>
      </w:r>
    </w:p>
    <w:p w:rsidR="00786B3E" w:rsidRDefault="00786B3E" w:rsidP="00786B3E">
      <w:r>
        <w:t>En este momento nos encontramos con el siguiente problema: No estamos seguros de que sea posible instalar formalmente una autoridad de gestión antes de la aprobación formal del programa. De conformidad con el artículo 22, apartado 3, letra k), del Reglamento (UE) 2021/1139, el Programa debe establecer las autoridades del programa y el artículo 71 del Reglamento (CE) n.º 2021/1139 establece que los Estados miembros deben instalar una autoridad de gestión para aplicar el FEMPA, pero no indica si esta autoridad de gestión puede instalarse antes de la aprobación del Programa. ¿Podría comunicarnos si es posible instalar una autoridad de gestión antes de que la CE apruebe formalmente el programa?</w:t>
      </w:r>
    </w:p>
    <w:p w:rsidR="00786B3E" w:rsidRDefault="00786B3E" w:rsidP="00786B3E">
      <w:r>
        <w:t>De no ser así, ¿sería posible por el momento instalar una «autoridad de gestión alternativa» hasta que se haya aprobado el programa NL? Este es el procedimiento que se nos ha aconsejado seguir en relación con la instalación del Comité de Seguimiento. En caso afirmativo, ¿se considerará que una solicitud presentada a una «autoridad de gestión alternativa» es una solicitud de financiación presentada a la autoridad de gestión en el sentido del artículo 63, apartado 6, del RDC?</w:t>
      </w:r>
    </w:p>
    <w:p w:rsidR="00786B3E" w:rsidRDefault="00786B3E" w:rsidP="00786B3E"/>
    <w:p w:rsidR="00786B3E" w:rsidRDefault="00786B3E" w:rsidP="00786B3E">
      <w:pPr>
        <w:pStyle w:val="P68B1DB1-Normal1"/>
      </w:pPr>
      <w:r>
        <w:t>Respuesta.</w:t>
      </w:r>
    </w:p>
    <w:p w:rsidR="00786B3E" w:rsidRDefault="00786B3E" w:rsidP="00786B3E">
      <w:r>
        <w:t>De conformidad con el artículo 69 del Reglamento (UE) 2021/1060 sobre disposiciones comunes, cada Estado miembro dispondrá, a más tardar en el momento de la presentación de la solicitud de pago final para el primer ejercicio contable y a más tardar el 30 de junio de 2023, de una descripción del sistema de gestión y control de conformidad con el modelo que figura en el anexo XVI. El Estado miembro deberá mantener esta descripción actualizada y reflejar en ella todas las modificaciones posteriores. Esto significa que ya no es necesaria la designación formal, tal como se establece en el Reglamento sobre disposiciones comunes 2014-2020.</w:t>
      </w:r>
    </w:p>
    <w:p w:rsidR="00786B3E" w:rsidRDefault="00786B3E" w:rsidP="00786B3E">
      <w:r>
        <w:t xml:space="preserve">De conformidad con el artículo 39 del Reglamento (UE) 2021/1060 sobre disposiciones comunes, el Comité de seguimiento debe crearse en un plazo de 3 meses a partir de la adopción del programa. ¿Desea un Estado miembro crear el Comité de Seguimiento antes de la adopción del programa para evitar retrasos en la ejecución permitiendo, por ejemplo, la aprobación de criterios de selección por parte del Comité de Seguimiento, lo que es posible y muy </w:t>
      </w:r>
      <w:r w:rsidR="007378C4">
        <w:t>recomendado</w:t>
      </w:r>
      <w:r>
        <w:t>. La aprobación de los criterios de selección también puede realizarla un comité de seguimiento alternativo, creado como solución provisional hasta la adopción del programa FEMPA. Tenga en cuenta que, cuando se establezca el Comité de Seguimiento «regular», debe confirmar formalmente las decisiones del comité de seguimiento alternativo.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496" w:name="scroll-bookmark-583"/>
      <w:bookmarkStart w:id="497" w:name="scroll-bookmark-584"/>
      <w:bookmarkEnd w:id="496"/>
      <w:r>
        <w:lastRenderedPageBreak/>
        <w:t>QA573: EMFAF Métodos alternativos de pesca</w:t>
      </w:r>
      <w:bookmarkEnd w:id="497"/>
    </w:p>
    <w:p w:rsidR="00786B3E" w:rsidRDefault="00786B3E" w:rsidP="00786B3E">
      <w:r>
        <w:rPr>
          <w:noProof/>
          <w:lang w:val="es-ES"/>
        </w:rPr>
        <w:drawing>
          <wp:inline distT="0" distB="0" distL="0" distR="0" wp14:anchorId="4A6BC722" wp14:editId="23C35060">
            <wp:extent cx="152435" cy="152435"/>
            <wp:effectExtent l="0" t="0" r="0" b="0"/>
            <wp:docPr id="100999" name="Imagen 1009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b/>
        </w:rPr>
        <w:t>Artículo 17 de la PPC y considerandos del Reglamento (UE) 2021/1139 (FEMPA)</w:t>
      </w:r>
    </w:p>
    <w:p w:rsidR="00786B3E" w:rsidRDefault="00786B3E" w:rsidP="00786B3E">
      <w:r>
        <w:rPr>
          <w:noProof/>
          <w:lang w:val="es-ES"/>
        </w:rPr>
        <w:drawing>
          <wp:inline distT="0" distB="0" distL="0" distR="0" wp14:anchorId="16EF315E" wp14:editId="7145A95B">
            <wp:extent cx="152435" cy="152435"/>
            <wp:effectExtent l="0" t="0" r="0" b="0"/>
            <wp:docPr id="101001" name="Imagen 1010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xml:space="preserve">: </w:t>
      </w:r>
      <w:r>
        <w:rPr>
          <w:b/>
        </w:rPr>
        <w:t>DE</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¿Se promueven ya específicamente métodos de pesca alternativos a nivel federal o europeo y, en caso afirmativo, cuáles y cuánto son los importes de financiación correspondientes?</w:t>
      </w:r>
    </w:p>
    <w:p w:rsidR="00786B3E" w:rsidRDefault="00786B3E" w:rsidP="00786B3E"/>
    <w:p w:rsidR="00786B3E" w:rsidRDefault="00786B3E" w:rsidP="00786B3E">
      <w:pPr>
        <w:pStyle w:val="P68B1DB1-Normal1"/>
      </w:pPr>
      <w:r>
        <w:t>Respuesta.</w:t>
      </w:r>
    </w:p>
    <w:p w:rsidR="00786B3E" w:rsidRDefault="00786B3E" w:rsidP="00786B3E">
      <w:r>
        <w:t>El FEMPA puede apoyar la innovación y la inversión en técnicas de pesca alternativas que contribuyan a la consecución de los objetivos de la PPC, en particular los objetivos de restaurar y mantener las poblaciones de especies capturadas por encima de niveles que puedan producir el RMS, de evitar y reducir, en la medida de lo posible, las capturas no deseadas y de minimizar el impacto negativo de las actividades pesqueras en el ecosistema marino. Las técnicas subvencionables no están predefinidas en el Reglamento, pero el considerando 20 ofrece ejemplos como prácticas y técnicas de bajo impacto, selectivas, resistentes al cambio climático y con bajas emisiones de carbono.</w:t>
      </w:r>
    </w:p>
    <w:p w:rsidR="00786B3E" w:rsidRDefault="00786B3E" w:rsidP="00786B3E">
      <w:r>
        <w:t>Sin embargo, el Reglamento establece restricciones en relación con determinadas operaciones, en particular:</w:t>
      </w:r>
    </w:p>
    <w:p w:rsidR="00786B3E" w:rsidRDefault="00786B3E" w:rsidP="00786B3E"/>
    <w:p w:rsidR="00786B3E" w:rsidRDefault="00786B3E" w:rsidP="00786B3E">
      <w:pPr>
        <w:numPr>
          <w:ilvl w:val="0"/>
          <w:numId w:val="233"/>
        </w:numPr>
      </w:pPr>
      <w:r>
        <w:t>No es admisible la adquisición de equipos que aumenten la capacidad de un buque pesquero para encontrar pescado;</w:t>
      </w:r>
    </w:p>
    <w:p w:rsidR="00786B3E" w:rsidRDefault="00786B3E" w:rsidP="00786B3E">
      <w:pPr>
        <w:numPr>
          <w:ilvl w:val="0"/>
          <w:numId w:val="233"/>
        </w:numPr>
      </w:pPr>
      <w:r>
        <w:t>La ayuda no debe aumentar la capacidad pesquera de los buques, a menos que resulte directamente de un aumento del arqueo bruto necesario para mejorar la seguridad, las condiciones de trabajo o la eficiencia energética;</w:t>
      </w:r>
    </w:p>
    <w:p w:rsidR="00786B3E" w:rsidRDefault="00786B3E" w:rsidP="00786B3E">
      <w:pPr>
        <w:numPr>
          <w:ilvl w:val="0"/>
          <w:numId w:val="233"/>
        </w:numPr>
      </w:pPr>
      <w:r>
        <w:t>La ayuda no puede concederse simplemente para cumplir los requisitos obligatorios en virtud de la legislación de la UE, excepto en el caso de determinados equipos utilizados para controlar las actividades pesqueras;</w:t>
      </w:r>
    </w:p>
    <w:p w:rsidR="00786B3E" w:rsidRDefault="00786B3E" w:rsidP="00786B3E">
      <w:pPr>
        <w:numPr>
          <w:ilvl w:val="0"/>
          <w:numId w:val="233"/>
        </w:numPr>
      </w:pPr>
      <w:r>
        <w:t>No pueden concederse inversiones a bordo de buques que hayan estado en su mayoría inactivos en los últimos 2 años;</w:t>
      </w:r>
    </w:p>
    <w:p w:rsidR="00786B3E" w:rsidRDefault="00786B3E" w:rsidP="00786B3E">
      <w:pPr>
        <w:numPr>
          <w:ilvl w:val="0"/>
          <w:numId w:val="233"/>
        </w:numPr>
      </w:pPr>
      <w:r>
        <w:t>El apoyo prestado i) a los jóvenes pescadores para ayudarles a adquirir, por primera vez, un buque de segunda mano, y ii) para sustituir o modernizar el motor de un buque están sujetos a condiciones, por ejemplo, el buque debe pertenecer a un segmento de la flota pesquera sin exceso de capacidad estructural y el motor nuevo o modernizado no debe tener más potencia que el motor sustituido.</w:t>
      </w:r>
    </w:p>
    <w:p w:rsidR="00786B3E" w:rsidRDefault="00786B3E" w:rsidP="00786B3E"/>
    <w:p w:rsidR="00786B3E" w:rsidRDefault="00786B3E" w:rsidP="00786B3E">
      <w:r>
        <w:lastRenderedPageBreak/>
        <w:t>El porcentaje de intensidad de ayuda lo fija el Estado miembro de conformidad con el artículo 41 y el anexo III del Reglamento FEMPA. El porcentaje máximo estándar es del 50 %, pero son posibles algunas excepciones en los casos descritos en el anexo III, por ejemplo, operaciones relacionadas con la pesca costera artesanal (100 %), operaciones relacionadas con la aplicación de la obligación de desembarque (75-100 %), operaciones que combinan características innovadoras, interés colectivo y beneficiarios colectivos (100 %), operaciones relacionadas con la protección de la biodiversidad marina (100 %), etc.</w:t>
      </w:r>
    </w:p>
    <w:p w:rsidR="00786B3E" w:rsidRDefault="00786B3E" w:rsidP="00786B3E"/>
    <w:p w:rsidR="00786B3E" w:rsidRDefault="00786B3E" w:rsidP="00786B3E">
      <w:pPr>
        <w:pStyle w:val="P68B1DB1-Normal3"/>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378C4" w:rsidP="00786B3E">
      <w:pPr>
        <w:pStyle w:val="Ttulo1"/>
      </w:pPr>
      <w:bookmarkStart w:id="498" w:name="scroll-bookmark-585"/>
      <w:bookmarkStart w:id="499" w:name="scroll-bookmark-586"/>
      <w:bookmarkEnd w:id="498"/>
      <w:r>
        <w:t xml:space="preserve">Porcentaje de cofinanciación </w:t>
      </w:r>
      <w:r w:rsidR="00786B3E">
        <w:t>O</w:t>
      </w:r>
      <w:r>
        <w:t>E</w:t>
      </w:r>
      <w:r w:rsidR="00786B3E">
        <w:t xml:space="preserve"> 3.1 y compensación por costes adicionales en las RUP</w:t>
      </w:r>
      <w:bookmarkEnd w:id="499"/>
    </w:p>
    <w:p w:rsidR="00786B3E" w:rsidRDefault="00786B3E" w:rsidP="00786B3E">
      <w:r>
        <w:rPr>
          <w:noProof/>
          <w:lang w:val="es-ES"/>
        </w:rPr>
        <w:drawing>
          <wp:inline distT="0" distB="0" distL="0" distR="0" wp14:anchorId="187EE978" wp14:editId="57CF592A">
            <wp:extent cx="152435" cy="152435"/>
            <wp:effectExtent l="0" t="0" r="0" b="0"/>
            <wp:docPr id="101003" name="Imagen 1010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40 y 10.2 del Reglamento FEMPA</w:t>
      </w:r>
    </w:p>
    <w:p w:rsidR="00786B3E" w:rsidRDefault="00786B3E" w:rsidP="00786B3E">
      <w:r>
        <w:rPr>
          <w:noProof/>
          <w:lang w:val="es-ES"/>
        </w:rPr>
        <w:drawing>
          <wp:inline distT="0" distB="0" distL="0" distR="0" wp14:anchorId="489C7F6B" wp14:editId="36D0F993">
            <wp:extent cx="152435" cy="152435"/>
            <wp:effectExtent l="0" t="0" r="0" b="0"/>
            <wp:docPr id="101005" name="Imagen 1010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1:</w:t>
      </w:r>
    </w:p>
    <w:p w:rsidR="00786B3E" w:rsidRDefault="00786B3E" w:rsidP="00786B3E">
      <w:pPr>
        <w:pStyle w:val="P68B1DB1-Normal6"/>
      </w:pPr>
      <w:r>
        <w:t>Taux de cofinancement de l’OS 3.1 (DLAL)</w:t>
      </w:r>
    </w:p>
    <w:p w:rsidR="00786B3E" w:rsidRDefault="00786B3E" w:rsidP="00786B3E">
      <w:r>
        <w:br/>
        <w:t xml:space="preserve">Les régions qui gèrent le DLAL en France par délégation de l’AG, souhaitent avoir un taux </w:t>
      </w:r>
      <w:r>
        <w:lastRenderedPageBreak/>
        <w:t xml:space="preserve">de cofinancement non unique sur cet OS (determines souhaitent cofinancer à hauteur de 50 % et d’autres de 70 %). O, ce taux est normalement le même pour tout le territoire et défini dans notre programme pour les autres OS. ¿Afin de prendre en compte cette demande, serait-il possible d’indiquer deux lignes dans le plan de financement du programme? </w:t>
      </w:r>
      <w:r>
        <w:br/>
      </w:r>
    </w:p>
    <w:p w:rsidR="00786B3E" w:rsidRDefault="00786B3E" w:rsidP="00786B3E">
      <w:pPr>
        <w:pStyle w:val="P68B1DB1-Normal1"/>
      </w:pPr>
      <w:r>
        <w:t>Pregunta 2:</w:t>
      </w:r>
    </w:p>
    <w:p w:rsidR="00786B3E" w:rsidRDefault="00786B3E" w:rsidP="00786B3E">
      <w:r>
        <w:rPr>
          <w:u w:val="single"/>
        </w:rPr>
        <w:t>Indemnización de los surcoints dans les RUP</w:t>
      </w:r>
      <w:r>
        <w:rPr>
          <w:u w:val="single"/>
        </w:rPr>
        <w:br/>
      </w:r>
      <w:r>
        <w:t>Nous souhaiterions rendre éligible l’aide au montage des files portant sur la compensation des surco</w:t>
      </w:r>
      <w:r w:rsidR="007378C4">
        <w:t>û</w:t>
      </w:r>
      <w:r>
        <w:t xml:space="preserve">ts dans les RUP. Toutefois, cette dépense n’est pas incluse dans le calcul de ce type d’action qui se base sur le volume de production (la méthodologie de calcul est indiquée dans chaque PA RUP). Ainsi, comentario serait-il posible de rendre éligible cette dépense: ¿peut-on créer un tipo de acción supplémentaire dans l’OS 1.5 ou rendre éligible cette dépense dans l’OS 1.1? </w:t>
      </w:r>
      <w:r>
        <w:br/>
      </w:r>
    </w:p>
    <w:p w:rsidR="00786B3E" w:rsidRDefault="00786B3E" w:rsidP="00786B3E">
      <w:pPr>
        <w:pStyle w:val="P68B1DB1-Normal1"/>
      </w:pPr>
      <w:r>
        <w:t>Pregunta 3:</w:t>
      </w:r>
    </w:p>
    <w:p w:rsidR="00786B3E" w:rsidRDefault="00786B3E" w:rsidP="00786B3E">
      <w:r>
        <w:rPr>
          <w:u w:val="single"/>
        </w:rPr>
        <w:t>Formación</w:t>
      </w:r>
      <w:r>
        <w:rPr>
          <w:u w:val="single"/>
        </w:rPr>
        <w:br/>
      </w:r>
      <w:r>
        <w:t>Le financement pour répondre à des normes obligatoires est interdit par le FEAMPA. Toutefois, nous souhaiterions rendre éligibles certaines dépenses pour lesquelles des besoins ont été identifiés en France et qui ne sont pas expressément listées comme une aide publique par l’art</w:t>
      </w:r>
      <w:r w:rsidR="007378C4">
        <w:t>i</w:t>
      </w:r>
      <w:r>
        <w:t>cl</w:t>
      </w:r>
      <w:r w:rsidR="007378C4">
        <w:t>e</w:t>
      </w:r>
      <w:r>
        <w:t> 31 du règlement n°651/2014 du 17 juin 2014. CES dépenses sont essentielles à plusieurs titres:</w:t>
      </w:r>
    </w:p>
    <w:p w:rsidR="00786B3E" w:rsidRDefault="00786B3E" w:rsidP="00786B3E">
      <w:pPr>
        <w:numPr>
          <w:ilvl w:val="0"/>
          <w:numId w:val="234"/>
        </w:numPr>
      </w:pPr>
      <w:r>
        <w:t>Elles sont rappables à une dépense elle-même admisible à une aide publique;</w:t>
      </w:r>
    </w:p>
    <w:p w:rsidR="00786B3E" w:rsidRDefault="00786B3E" w:rsidP="00786B3E">
      <w:pPr>
        <w:numPr>
          <w:ilvl w:val="0"/>
          <w:numId w:val="234"/>
        </w:numPr>
      </w:pPr>
      <w:r>
        <w:t xml:space="preserve">Elles se </w:t>
      </w:r>
      <w:proofErr w:type="spellStart"/>
      <w:r>
        <w:t>ratt</w:t>
      </w:r>
      <w:r w:rsidR="007378C4">
        <w:t>ach</w:t>
      </w:r>
      <w:r>
        <w:t>ent</w:t>
      </w:r>
      <w:proofErr w:type="spellEnd"/>
      <w:r>
        <w:t xml:space="preserve"> à une </w:t>
      </w:r>
      <w:proofErr w:type="spellStart"/>
      <w:r>
        <w:t>formation</w:t>
      </w:r>
      <w:proofErr w:type="spellEnd"/>
      <w:r>
        <w:t xml:space="preserve"> non </w:t>
      </w:r>
      <w:proofErr w:type="spellStart"/>
      <w:r>
        <w:t>obligatoire</w:t>
      </w:r>
      <w:proofErr w:type="spellEnd"/>
      <w:r>
        <w:t>;</w:t>
      </w:r>
    </w:p>
    <w:p w:rsidR="00786B3E" w:rsidRDefault="00786B3E" w:rsidP="00786B3E">
      <w:pPr>
        <w:numPr>
          <w:ilvl w:val="0"/>
          <w:numId w:val="234"/>
        </w:numPr>
      </w:pPr>
      <w:r>
        <w:t xml:space="preserve">Elles se </w:t>
      </w:r>
      <w:proofErr w:type="spellStart"/>
      <w:r>
        <w:t>ratt</w:t>
      </w:r>
      <w:r w:rsidR="007378C4">
        <w:t>ach</w:t>
      </w:r>
      <w:r>
        <w:t>ent</w:t>
      </w:r>
      <w:proofErr w:type="spellEnd"/>
      <w:r>
        <w:t xml:space="preserve"> à la </w:t>
      </w:r>
      <w:proofErr w:type="spellStart"/>
      <w:r>
        <w:t>fois</w:t>
      </w:r>
      <w:proofErr w:type="spellEnd"/>
      <w:r>
        <w:t xml:space="preserve"> à une </w:t>
      </w:r>
      <w:proofErr w:type="spellStart"/>
      <w:r>
        <w:t>formation</w:t>
      </w:r>
      <w:proofErr w:type="spellEnd"/>
      <w:r>
        <w:t xml:space="preserve"> non </w:t>
      </w:r>
      <w:proofErr w:type="spellStart"/>
      <w:r>
        <w:t>obligatoire</w:t>
      </w:r>
      <w:proofErr w:type="spellEnd"/>
      <w:r>
        <w:t xml:space="preserve"> et à une </w:t>
      </w:r>
      <w:proofErr w:type="spellStart"/>
      <w:r>
        <w:t>autre</w:t>
      </w:r>
      <w:proofErr w:type="spellEnd"/>
      <w:r>
        <w:t xml:space="preserve"> </w:t>
      </w:r>
      <w:proofErr w:type="spellStart"/>
      <w:r>
        <w:t>obligatoire</w:t>
      </w:r>
      <w:proofErr w:type="spellEnd"/>
      <w:r>
        <w:t>.</w:t>
      </w:r>
    </w:p>
    <w:p w:rsidR="00786B3E" w:rsidRDefault="00786B3E" w:rsidP="00786B3E">
      <w:r>
        <w:t xml:space="preserve">Más </w:t>
      </w:r>
      <w:proofErr w:type="spellStart"/>
      <w:r>
        <w:t>particulièrement</w:t>
      </w:r>
      <w:proofErr w:type="spellEnd"/>
      <w:r>
        <w:t xml:space="preserve">, les dépenses que nous souhaiterions rendre éligibles sont les </w:t>
      </w:r>
      <w:proofErr w:type="spellStart"/>
      <w:r>
        <w:t>suivantes</w:t>
      </w:r>
      <w:proofErr w:type="spellEnd"/>
      <w:r>
        <w:t>:</w:t>
      </w:r>
    </w:p>
    <w:p w:rsidR="00786B3E" w:rsidRDefault="00786B3E" w:rsidP="00786B3E">
      <w:pPr>
        <w:numPr>
          <w:ilvl w:val="0"/>
          <w:numId w:val="235"/>
        </w:numPr>
      </w:pPr>
      <w:r>
        <w:t xml:space="preserve">Les dépenses de </w:t>
      </w:r>
      <w:proofErr w:type="spellStart"/>
      <w:r>
        <w:t>rénovation</w:t>
      </w:r>
      <w:proofErr w:type="spellEnd"/>
      <w:r>
        <w:t xml:space="preserve"> des </w:t>
      </w:r>
      <w:proofErr w:type="spellStart"/>
      <w:r>
        <w:t>référentiels</w:t>
      </w:r>
      <w:proofErr w:type="spellEnd"/>
      <w:r>
        <w:t xml:space="preserve"> pour </w:t>
      </w:r>
      <w:proofErr w:type="spellStart"/>
      <w:r>
        <w:t>permettre</w:t>
      </w:r>
      <w:proofErr w:type="spellEnd"/>
      <w:r>
        <w:t xml:space="preserve"> la formación por </w:t>
      </w:r>
      <w:proofErr w:type="spellStart"/>
      <w:r w:rsidR="007378C4">
        <w:t>apprentissage</w:t>
      </w:r>
      <w:proofErr w:type="spellEnd"/>
      <w:r>
        <w:t>;</w:t>
      </w:r>
    </w:p>
    <w:p w:rsidR="00786B3E" w:rsidRDefault="00786B3E" w:rsidP="00786B3E">
      <w:pPr>
        <w:numPr>
          <w:ilvl w:val="0"/>
          <w:numId w:val="235"/>
        </w:numPr>
      </w:pPr>
      <w:r>
        <w:t xml:space="preserve">Les dépenses de </w:t>
      </w:r>
      <w:proofErr w:type="spellStart"/>
      <w:r>
        <w:t>rénovation</w:t>
      </w:r>
      <w:proofErr w:type="spellEnd"/>
      <w:r>
        <w:t xml:space="preserve"> des </w:t>
      </w:r>
      <w:proofErr w:type="spellStart"/>
      <w:r>
        <w:t>référentiels</w:t>
      </w:r>
      <w:proofErr w:type="spellEnd"/>
      <w:r>
        <w:t xml:space="preserve"> pour </w:t>
      </w:r>
      <w:proofErr w:type="spellStart"/>
      <w:r>
        <w:t>permettre</w:t>
      </w:r>
      <w:proofErr w:type="spellEnd"/>
      <w:r>
        <w:t xml:space="preserve"> le e-</w:t>
      </w:r>
      <w:proofErr w:type="spellStart"/>
      <w:r>
        <w:t>learning</w:t>
      </w:r>
      <w:proofErr w:type="spellEnd"/>
      <w:r>
        <w:t>;</w:t>
      </w:r>
    </w:p>
    <w:p w:rsidR="00786B3E" w:rsidRDefault="00786B3E" w:rsidP="00786B3E">
      <w:pPr>
        <w:numPr>
          <w:ilvl w:val="0"/>
          <w:numId w:val="235"/>
        </w:numPr>
      </w:pPr>
      <w:r>
        <w:t xml:space="preserve">Les dépenses de </w:t>
      </w:r>
      <w:proofErr w:type="spellStart"/>
      <w:r>
        <w:t>modernisation</w:t>
      </w:r>
      <w:proofErr w:type="spellEnd"/>
      <w:r>
        <w:t xml:space="preserve"> des centres de </w:t>
      </w:r>
      <w:proofErr w:type="spellStart"/>
      <w:r>
        <w:t>formation</w:t>
      </w:r>
      <w:proofErr w:type="spellEnd"/>
      <w:r>
        <w:t xml:space="preserve"> en </w:t>
      </w:r>
      <w:proofErr w:type="spellStart"/>
      <w:r>
        <w:t>contrepartie</w:t>
      </w:r>
      <w:proofErr w:type="spellEnd"/>
      <w:r>
        <w:t xml:space="preserve">, par </w:t>
      </w:r>
      <w:proofErr w:type="spellStart"/>
      <w:r>
        <w:t>exexle</w:t>
      </w:r>
      <w:proofErr w:type="spellEnd"/>
      <w:r>
        <w:t xml:space="preserve">, </w:t>
      </w:r>
      <w:proofErr w:type="spellStart"/>
      <w:r>
        <w:t>d’une</w:t>
      </w:r>
      <w:proofErr w:type="spellEnd"/>
      <w:r>
        <w:t xml:space="preserve"> </w:t>
      </w:r>
      <w:proofErr w:type="spellStart"/>
      <w:r>
        <w:t>diminution</w:t>
      </w:r>
      <w:proofErr w:type="spellEnd"/>
      <w:r>
        <w:t xml:space="preserve"> des </w:t>
      </w:r>
      <w:proofErr w:type="spellStart"/>
      <w:r>
        <w:t>tarifs</w:t>
      </w:r>
      <w:proofErr w:type="spellEnd"/>
      <w:r>
        <w:t xml:space="preserve"> de </w:t>
      </w:r>
      <w:proofErr w:type="spellStart"/>
      <w:r>
        <w:t>formation</w:t>
      </w:r>
      <w:proofErr w:type="spellEnd"/>
      <w:r>
        <w:t xml:space="preserve"> ou </w:t>
      </w:r>
      <w:proofErr w:type="spellStart"/>
      <w:r>
        <w:t>d’aumentmentation</w:t>
      </w:r>
      <w:proofErr w:type="spellEnd"/>
      <w:r>
        <w:t xml:space="preserve"> </w:t>
      </w:r>
      <w:proofErr w:type="spellStart"/>
      <w:r>
        <w:t>l’offre</w:t>
      </w:r>
      <w:proofErr w:type="spellEnd"/>
      <w:r>
        <w:t xml:space="preserve"> de </w:t>
      </w:r>
      <w:proofErr w:type="spellStart"/>
      <w:r>
        <w:t>formation</w:t>
      </w:r>
      <w:proofErr w:type="spellEnd"/>
      <w:r>
        <w:t>;</w:t>
      </w:r>
    </w:p>
    <w:p w:rsidR="00786B3E" w:rsidRDefault="00786B3E" w:rsidP="00786B3E">
      <w:pPr>
        <w:numPr>
          <w:ilvl w:val="0"/>
          <w:numId w:val="235"/>
        </w:numPr>
      </w:pPr>
      <w:r>
        <w:t xml:space="preserve">Les dépenses </w:t>
      </w:r>
      <w:proofErr w:type="spellStart"/>
      <w:r>
        <w:t>d’purchase</w:t>
      </w:r>
      <w:proofErr w:type="spellEnd"/>
      <w:r>
        <w:t xml:space="preserve"> ou de </w:t>
      </w:r>
      <w:proofErr w:type="spellStart"/>
      <w:r>
        <w:t>modernisation</w:t>
      </w:r>
      <w:proofErr w:type="spellEnd"/>
      <w:r>
        <w:t xml:space="preserve"> </w:t>
      </w:r>
      <w:proofErr w:type="spellStart"/>
      <w:r>
        <w:t>d’équipements</w:t>
      </w:r>
      <w:proofErr w:type="spellEnd"/>
      <w:r>
        <w:t xml:space="preserve"> indispensable à la tenue de la </w:t>
      </w:r>
      <w:proofErr w:type="spellStart"/>
      <w:r>
        <w:t>formation</w:t>
      </w:r>
      <w:proofErr w:type="spellEnd"/>
      <w:r>
        <w:t xml:space="preserve">, par </w:t>
      </w:r>
      <w:proofErr w:type="spellStart"/>
      <w:r>
        <w:t>exexle</w:t>
      </w:r>
      <w:proofErr w:type="spellEnd"/>
      <w:r>
        <w:t xml:space="preserve"> des </w:t>
      </w:r>
      <w:proofErr w:type="spellStart"/>
      <w:r>
        <w:t>simulateurs</w:t>
      </w:r>
      <w:proofErr w:type="spellEnd"/>
      <w:r>
        <w:t>.</w:t>
      </w:r>
    </w:p>
    <w:p w:rsidR="00786B3E" w:rsidRDefault="00786B3E" w:rsidP="00786B3E"/>
    <w:p w:rsidR="00786B3E" w:rsidRDefault="00786B3E" w:rsidP="00786B3E">
      <w:pPr>
        <w:pStyle w:val="P68B1DB1-Normal1"/>
      </w:pPr>
      <w:r>
        <w:t>Respuesta 1:</w:t>
      </w:r>
    </w:p>
    <w:p w:rsidR="007378C4" w:rsidRDefault="007378C4" w:rsidP="007378C4">
      <w:r>
        <w:t xml:space="preserve">Conformément à l’article 40, le taux de </w:t>
      </w:r>
      <w:proofErr w:type="spellStart"/>
      <w:r>
        <w:t>co</w:t>
      </w:r>
      <w:proofErr w:type="spellEnd"/>
      <w:r>
        <w:t xml:space="preserve">-financement </w:t>
      </w:r>
      <w:proofErr w:type="spellStart"/>
      <w:r>
        <w:t>doit</w:t>
      </w:r>
      <w:proofErr w:type="spellEnd"/>
      <w:r>
        <w:t xml:space="preserve"> </w:t>
      </w:r>
      <w:proofErr w:type="spellStart"/>
      <w:r>
        <w:t>être</w:t>
      </w:r>
      <w:proofErr w:type="spellEnd"/>
      <w:r>
        <w:t xml:space="preserve"> défini pour chaque </w:t>
      </w:r>
      <w:proofErr w:type="spellStart"/>
      <w:r>
        <w:t>objectif</w:t>
      </w:r>
      <w:proofErr w:type="spellEnd"/>
      <w:r>
        <w:t xml:space="preserve"> </w:t>
      </w:r>
      <w:proofErr w:type="spellStart"/>
      <w:r>
        <w:t>spécifique</w:t>
      </w:r>
      <w:proofErr w:type="spellEnd"/>
      <w:r>
        <w:t xml:space="preserve"> (OS) au </w:t>
      </w:r>
      <w:proofErr w:type="spellStart"/>
      <w:r>
        <w:t>niveau</w:t>
      </w:r>
      <w:proofErr w:type="spellEnd"/>
      <w:r>
        <w:t xml:space="preserve"> </w:t>
      </w:r>
      <w:proofErr w:type="spellStart"/>
      <w:r>
        <w:t>national</w:t>
      </w:r>
      <w:proofErr w:type="spellEnd"/>
      <w:r>
        <w:t xml:space="preserve">. </w:t>
      </w:r>
      <w:proofErr w:type="spellStart"/>
      <w:r>
        <w:t>S’il</w:t>
      </w:r>
      <w:proofErr w:type="spellEnd"/>
      <w:r>
        <w:t xml:space="preserve"> peut </w:t>
      </w:r>
      <w:proofErr w:type="spellStart"/>
      <w:r>
        <w:t>varier</w:t>
      </w:r>
      <w:proofErr w:type="spellEnd"/>
      <w:r>
        <w:t xml:space="preserve"> entre OS, </w:t>
      </w:r>
      <w:proofErr w:type="spellStart"/>
      <w:r>
        <w:t>il</w:t>
      </w:r>
      <w:proofErr w:type="spellEnd"/>
      <w:r>
        <w:t xml:space="preserve"> ne peut </w:t>
      </w:r>
      <w:proofErr w:type="spellStart"/>
      <w:r>
        <w:t>varier</w:t>
      </w:r>
      <w:proofErr w:type="spellEnd"/>
      <w:r>
        <w:t xml:space="preserve"> pour un même OS. Nous </w:t>
      </w:r>
      <w:proofErr w:type="spellStart"/>
      <w:r>
        <w:t>rappelons</w:t>
      </w:r>
      <w:proofErr w:type="spellEnd"/>
      <w:r>
        <w:t xml:space="preserve"> </w:t>
      </w:r>
      <w:proofErr w:type="spellStart"/>
      <w:r>
        <w:t>toutefois</w:t>
      </w:r>
      <w:proofErr w:type="spellEnd"/>
      <w:r>
        <w:t xml:space="preserve"> que le taux de 70% est un </w:t>
      </w:r>
      <w:proofErr w:type="spellStart"/>
      <w:r>
        <w:t>maximum</w:t>
      </w:r>
      <w:proofErr w:type="spellEnd"/>
      <w:r>
        <w:t xml:space="preserve"> et que </w:t>
      </w:r>
      <w:r>
        <w:lastRenderedPageBreak/>
        <w:t xml:space="preserve">les </w:t>
      </w:r>
      <w:proofErr w:type="spellStart"/>
      <w:r>
        <w:t>autorités</w:t>
      </w:r>
      <w:proofErr w:type="spellEnd"/>
      <w:r>
        <w:t xml:space="preserve"> </w:t>
      </w:r>
      <w:proofErr w:type="spellStart"/>
      <w:r>
        <w:t>nationales</w:t>
      </w:r>
      <w:proofErr w:type="spellEnd"/>
      <w:r>
        <w:t xml:space="preserve"> sont libres de </w:t>
      </w:r>
      <w:proofErr w:type="spellStart"/>
      <w:r>
        <w:t>définir</w:t>
      </w:r>
      <w:proofErr w:type="spellEnd"/>
      <w:r>
        <w:t xml:space="preserve"> un taux </w:t>
      </w:r>
      <w:proofErr w:type="spellStart"/>
      <w:r>
        <w:t>inférieur</w:t>
      </w:r>
      <w:proofErr w:type="spellEnd"/>
      <w:r>
        <w:t xml:space="preserve"> (par </w:t>
      </w:r>
      <w:proofErr w:type="spellStart"/>
      <w:r>
        <w:t>exemple</w:t>
      </w:r>
      <w:proofErr w:type="spellEnd"/>
      <w:r>
        <w:t xml:space="preserve"> un taux </w:t>
      </w:r>
      <w:proofErr w:type="spellStart"/>
      <w:r>
        <w:t>médian</w:t>
      </w:r>
      <w:proofErr w:type="spellEnd"/>
      <w:r>
        <w:t xml:space="preserve"> entre 70% et 50%). </w:t>
      </w:r>
      <w:proofErr w:type="spellStart"/>
      <w:r>
        <w:t>Il</w:t>
      </w:r>
      <w:proofErr w:type="spellEnd"/>
      <w:r>
        <w:t xml:space="preserve"> est par </w:t>
      </w:r>
      <w:proofErr w:type="spellStart"/>
      <w:r>
        <w:t>ailleurs</w:t>
      </w:r>
      <w:proofErr w:type="spellEnd"/>
      <w:r>
        <w:t xml:space="preserve"> possible de </w:t>
      </w:r>
      <w:proofErr w:type="spellStart"/>
      <w:r>
        <w:t>jouer</w:t>
      </w:r>
      <w:proofErr w:type="spellEnd"/>
      <w:r>
        <w:t xml:space="preserve"> sur </w:t>
      </w:r>
      <w:proofErr w:type="spellStart"/>
      <w:r>
        <w:t>l’intensité</w:t>
      </w:r>
      <w:proofErr w:type="spellEnd"/>
      <w:r>
        <w:t xml:space="preserve"> de l’aide publique dans le </w:t>
      </w:r>
      <w:proofErr w:type="spellStart"/>
      <w:r>
        <w:t>respect</w:t>
      </w:r>
      <w:proofErr w:type="spellEnd"/>
      <w:r>
        <w:t xml:space="preserve"> de l’article 41.</w:t>
      </w:r>
    </w:p>
    <w:p w:rsidR="00786B3E" w:rsidRDefault="00786B3E" w:rsidP="00786B3E"/>
    <w:p w:rsidR="00786B3E" w:rsidRDefault="00786B3E" w:rsidP="00786B3E">
      <w:pPr>
        <w:pStyle w:val="P68B1DB1-Normal1"/>
      </w:pPr>
      <w:r>
        <w:t>Respuesta 2:</w:t>
      </w:r>
    </w:p>
    <w:p w:rsidR="007378C4" w:rsidRDefault="007378C4" w:rsidP="007378C4">
      <w:proofErr w:type="spellStart"/>
      <w:r>
        <w:t>Il</w:t>
      </w:r>
      <w:proofErr w:type="spellEnd"/>
      <w:r>
        <w:t xml:space="preserve"> est possible de </w:t>
      </w:r>
      <w:proofErr w:type="spellStart"/>
      <w:r>
        <w:t>soutenir</w:t>
      </w:r>
      <w:proofErr w:type="spellEnd"/>
      <w:r>
        <w:t xml:space="preserve"> l’aide au montage des dossiers de compensation de </w:t>
      </w:r>
      <w:proofErr w:type="spellStart"/>
      <w:r>
        <w:t>surcoût</w:t>
      </w:r>
      <w:proofErr w:type="spellEnd"/>
      <w:r>
        <w:t xml:space="preserve"> dans les RUP au </w:t>
      </w:r>
      <w:proofErr w:type="spellStart"/>
      <w:r>
        <w:t>titre</w:t>
      </w:r>
      <w:proofErr w:type="spellEnd"/>
      <w:r>
        <w:t xml:space="preserve"> de </w:t>
      </w:r>
      <w:proofErr w:type="spellStart"/>
      <w:r>
        <w:t>l’assistance</w:t>
      </w:r>
      <w:proofErr w:type="spellEnd"/>
      <w:r>
        <w:t xml:space="preserve"> </w:t>
      </w:r>
      <w:proofErr w:type="spellStart"/>
      <w:r>
        <w:t>technique</w:t>
      </w:r>
      <w:proofErr w:type="spellEnd"/>
      <w:r>
        <w:t>.</w:t>
      </w:r>
    </w:p>
    <w:p w:rsidR="00786B3E" w:rsidRDefault="00786B3E" w:rsidP="00786B3E"/>
    <w:p w:rsidR="00786B3E" w:rsidRDefault="00786B3E" w:rsidP="00786B3E">
      <w:pPr>
        <w:pStyle w:val="P68B1DB1-Normal1"/>
      </w:pPr>
      <w:r>
        <w:t>Respuesta 3:</w:t>
      </w:r>
    </w:p>
    <w:p w:rsidR="00893D36" w:rsidRDefault="00893D36" w:rsidP="00893D36">
      <w:proofErr w:type="spellStart"/>
      <w:r>
        <w:t>Selon</w:t>
      </w:r>
      <w:proofErr w:type="spellEnd"/>
      <w:r>
        <w:t xml:space="preserve"> l’article 13(k), </w:t>
      </w:r>
      <w:proofErr w:type="spellStart"/>
      <w:r>
        <w:t>l’inéligibilité</w:t>
      </w:r>
      <w:proofErr w:type="spellEnd"/>
      <w:r>
        <w:t xml:space="preserve"> des dépenses </w:t>
      </w:r>
      <w:proofErr w:type="spellStart"/>
      <w:r>
        <w:t>relatives</w:t>
      </w:r>
      <w:proofErr w:type="spellEnd"/>
      <w:r>
        <w:t xml:space="preserve"> à des normes obligatoires en </w:t>
      </w:r>
      <w:proofErr w:type="spellStart"/>
      <w:r>
        <w:t>vertu</w:t>
      </w:r>
      <w:proofErr w:type="spellEnd"/>
      <w:r>
        <w:t xml:space="preserve"> du </w:t>
      </w:r>
      <w:proofErr w:type="spellStart"/>
      <w:r>
        <w:t>droit</w:t>
      </w:r>
      <w:proofErr w:type="spellEnd"/>
      <w:r>
        <w:t xml:space="preserve"> de </w:t>
      </w:r>
      <w:proofErr w:type="spellStart"/>
      <w:r>
        <w:t>l’Union</w:t>
      </w:r>
      <w:proofErr w:type="spellEnd"/>
      <w:r>
        <w:t xml:space="preserve"> porte </w:t>
      </w:r>
      <w:proofErr w:type="spellStart"/>
      <w:r>
        <w:t>uniquement</w:t>
      </w:r>
      <w:proofErr w:type="spellEnd"/>
      <w:r>
        <w:t xml:space="preserve"> sur les </w:t>
      </w:r>
      <w:proofErr w:type="spellStart"/>
      <w:r>
        <w:t>investissements</w:t>
      </w:r>
      <w:proofErr w:type="spellEnd"/>
      <w:r>
        <w:t xml:space="preserve"> à </w:t>
      </w:r>
      <w:proofErr w:type="spellStart"/>
      <w:r>
        <w:t>bord</w:t>
      </w:r>
      <w:proofErr w:type="spellEnd"/>
      <w:r>
        <w:t xml:space="preserve"> de </w:t>
      </w:r>
      <w:proofErr w:type="spellStart"/>
      <w:r>
        <w:t>navires</w:t>
      </w:r>
      <w:proofErr w:type="spellEnd"/>
      <w:r>
        <w:t xml:space="preserve"> de </w:t>
      </w:r>
      <w:proofErr w:type="spellStart"/>
      <w:r>
        <w:t>pêche</w:t>
      </w:r>
      <w:proofErr w:type="spellEnd"/>
      <w:r>
        <w:t xml:space="preserve">. Les dépenses listées dans la </w:t>
      </w:r>
      <w:proofErr w:type="spellStart"/>
      <w:r>
        <w:t>question</w:t>
      </w:r>
      <w:proofErr w:type="spellEnd"/>
      <w:r>
        <w:t xml:space="preserve"> </w:t>
      </w:r>
      <w:proofErr w:type="spellStart"/>
      <w:r>
        <w:t>n’étant</w:t>
      </w:r>
      <w:proofErr w:type="spellEnd"/>
      <w:r>
        <w:t xml:space="preserve"> pas </w:t>
      </w:r>
      <w:proofErr w:type="spellStart"/>
      <w:r>
        <w:t>relatives</w:t>
      </w:r>
      <w:proofErr w:type="spellEnd"/>
      <w:r>
        <w:t xml:space="preserve"> à des </w:t>
      </w:r>
      <w:proofErr w:type="spellStart"/>
      <w:r>
        <w:t>investissements</w:t>
      </w:r>
      <w:proofErr w:type="spellEnd"/>
      <w:r>
        <w:t xml:space="preserve"> à </w:t>
      </w:r>
      <w:proofErr w:type="spellStart"/>
      <w:r>
        <w:t>bord</w:t>
      </w:r>
      <w:proofErr w:type="spellEnd"/>
      <w:r>
        <w:t xml:space="preserve">, elles ne sont </w:t>
      </w:r>
      <w:proofErr w:type="spellStart"/>
      <w:r>
        <w:t>donc</w:t>
      </w:r>
      <w:proofErr w:type="spellEnd"/>
      <w:r>
        <w:t xml:space="preserve"> pas </w:t>
      </w:r>
      <w:proofErr w:type="spellStart"/>
      <w:r>
        <w:t>inéligibles</w:t>
      </w:r>
      <w:proofErr w:type="spellEnd"/>
      <w:r>
        <w:t xml:space="preserve"> en </w:t>
      </w:r>
      <w:proofErr w:type="spellStart"/>
      <w:r>
        <w:t>vertu</w:t>
      </w:r>
      <w:proofErr w:type="spellEnd"/>
      <w:r>
        <w:t xml:space="preserve"> de </w:t>
      </w:r>
      <w:proofErr w:type="spellStart"/>
      <w:r>
        <w:t>l’Article</w:t>
      </w:r>
      <w:proofErr w:type="spellEnd"/>
      <w:r>
        <w:t xml:space="preserve"> 13(k). </w:t>
      </w:r>
    </w:p>
    <w:p w:rsidR="00893D36" w:rsidRDefault="00893D36" w:rsidP="00893D36"/>
    <w:p w:rsidR="00893D36" w:rsidRDefault="00893D36" w:rsidP="00893D36">
      <w:r>
        <w:rPr>
          <w:b/>
        </w:rPr>
        <w:t>N.B.</w:t>
      </w:r>
    </w:p>
    <w:p w:rsidR="00893D36" w:rsidRDefault="00893D36" w:rsidP="00893D36">
      <w:r>
        <w:rPr>
          <w:i/>
        </w:rPr>
        <w:t xml:space="preserve">Conformément à l'article 63, </w:t>
      </w:r>
      <w:proofErr w:type="spellStart"/>
      <w:r>
        <w:rPr>
          <w:i/>
        </w:rPr>
        <w:t>paragraphe</w:t>
      </w:r>
      <w:proofErr w:type="spellEnd"/>
      <w:r>
        <w:rPr>
          <w:i/>
        </w:rPr>
        <w:t xml:space="preserve"> 1, du </w:t>
      </w:r>
      <w:proofErr w:type="spellStart"/>
      <w:r>
        <w:rPr>
          <w:i/>
        </w:rPr>
        <w:t>règlement</w:t>
      </w:r>
      <w:proofErr w:type="spellEnd"/>
      <w:r>
        <w:rPr>
          <w:i/>
        </w:rPr>
        <w:t xml:space="preserve"> (UE) 2021/1060 (le </w:t>
      </w:r>
      <w:proofErr w:type="spellStart"/>
      <w:r>
        <w:rPr>
          <w:i/>
        </w:rPr>
        <w:t>règlement</w:t>
      </w:r>
      <w:proofErr w:type="spellEnd"/>
      <w:r>
        <w:rPr>
          <w:i/>
        </w:rPr>
        <w:t xml:space="preserve"> portant </w:t>
      </w:r>
      <w:proofErr w:type="spellStart"/>
      <w:r>
        <w:rPr>
          <w:i/>
        </w:rPr>
        <w:t>dispositions</w:t>
      </w:r>
      <w:proofErr w:type="spellEnd"/>
      <w:r>
        <w:rPr>
          <w:i/>
        </w:rPr>
        <w:t xml:space="preserve"> </w:t>
      </w:r>
      <w:proofErr w:type="spellStart"/>
      <w:r>
        <w:rPr>
          <w:i/>
        </w:rPr>
        <w:t>communes</w:t>
      </w:r>
      <w:proofErr w:type="spellEnd"/>
      <w:r>
        <w:rPr>
          <w:i/>
        </w:rPr>
        <w:t xml:space="preserve">), l'éligibilité des dépenses est </w:t>
      </w:r>
      <w:proofErr w:type="spellStart"/>
      <w:r>
        <w:rPr>
          <w:i/>
        </w:rPr>
        <w:t>déterminée</w:t>
      </w:r>
      <w:proofErr w:type="spellEnd"/>
      <w:r>
        <w:rPr>
          <w:i/>
        </w:rPr>
        <w:t xml:space="preserve"> sur la base de </w:t>
      </w:r>
      <w:proofErr w:type="spellStart"/>
      <w:r>
        <w:rPr>
          <w:i/>
        </w:rPr>
        <w:t>règles</w:t>
      </w:r>
      <w:proofErr w:type="spellEnd"/>
      <w:r>
        <w:rPr>
          <w:i/>
        </w:rPr>
        <w:t xml:space="preserve"> </w:t>
      </w:r>
      <w:proofErr w:type="spellStart"/>
      <w:r>
        <w:rPr>
          <w:i/>
        </w:rPr>
        <w:t>nationales</w:t>
      </w:r>
      <w:proofErr w:type="spellEnd"/>
      <w:r>
        <w:rPr>
          <w:i/>
        </w:rPr>
        <w:t xml:space="preserve">, </w:t>
      </w:r>
      <w:proofErr w:type="spellStart"/>
      <w:r>
        <w:rPr>
          <w:i/>
        </w:rPr>
        <w:t>sauf</w:t>
      </w:r>
      <w:proofErr w:type="spellEnd"/>
      <w:r>
        <w:rPr>
          <w:i/>
        </w:rPr>
        <w:t xml:space="preserve"> </w:t>
      </w:r>
      <w:proofErr w:type="spellStart"/>
      <w:r>
        <w:rPr>
          <w:i/>
        </w:rPr>
        <w:t>lorsque</w:t>
      </w:r>
      <w:proofErr w:type="spellEnd"/>
      <w:r>
        <w:rPr>
          <w:i/>
        </w:rPr>
        <w:t xml:space="preserve"> des </w:t>
      </w:r>
      <w:proofErr w:type="spellStart"/>
      <w:r>
        <w:rPr>
          <w:i/>
        </w:rPr>
        <w:t>règles</w:t>
      </w:r>
      <w:proofErr w:type="spellEnd"/>
      <w:r>
        <w:rPr>
          <w:i/>
        </w:rPr>
        <w:t xml:space="preserve"> </w:t>
      </w:r>
      <w:proofErr w:type="spellStart"/>
      <w:r>
        <w:rPr>
          <w:i/>
        </w:rPr>
        <w:t>spécifiques</w:t>
      </w:r>
      <w:proofErr w:type="spellEnd"/>
      <w:r>
        <w:rPr>
          <w:i/>
        </w:rPr>
        <w:t xml:space="preserve"> sont </w:t>
      </w:r>
      <w:proofErr w:type="spellStart"/>
      <w:r>
        <w:rPr>
          <w:i/>
        </w:rPr>
        <w:t>fixées</w:t>
      </w:r>
      <w:proofErr w:type="spellEnd"/>
      <w:r>
        <w:rPr>
          <w:i/>
        </w:rPr>
        <w:t xml:space="preserve"> dans le </w:t>
      </w:r>
      <w:proofErr w:type="spellStart"/>
      <w:r>
        <w:rPr>
          <w:i/>
        </w:rPr>
        <w:t>règlement</w:t>
      </w:r>
      <w:proofErr w:type="spellEnd"/>
      <w:r>
        <w:rPr>
          <w:i/>
        </w:rPr>
        <w:t xml:space="preserve"> portant </w:t>
      </w:r>
      <w:proofErr w:type="spellStart"/>
      <w:r>
        <w:rPr>
          <w:i/>
        </w:rPr>
        <w:t>dispositions</w:t>
      </w:r>
      <w:proofErr w:type="spellEnd"/>
      <w:r>
        <w:rPr>
          <w:i/>
        </w:rPr>
        <w:t xml:space="preserve"> </w:t>
      </w:r>
      <w:proofErr w:type="spellStart"/>
      <w:r>
        <w:rPr>
          <w:i/>
        </w:rPr>
        <w:t>communes</w:t>
      </w:r>
      <w:proofErr w:type="spellEnd"/>
      <w:r>
        <w:rPr>
          <w:i/>
        </w:rPr>
        <w:t xml:space="preserve"> ou dans les </w:t>
      </w:r>
      <w:proofErr w:type="spellStart"/>
      <w:r>
        <w:rPr>
          <w:i/>
        </w:rPr>
        <w:t>Règlements</w:t>
      </w:r>
      <w:proofErr w:type="spellEnd"/>
      <w:r>
        <w:rPr>
          <w:i/>
        </w:rPr>
        <w:t xml:space="preserve"> </w:t>
      </w:r>
      <w:proofErr w:type="spellStart"/>
      <w:r>
        <w:rPr>
          <w:i/>
        </w:rPr>
        <w:t>spécifiques</w:t>
      </w:r>
      <w:proofErr w:type="spellEnd"/>
      <w:r>
        <w:rPr>
          <w:i/>
        </w:rPr>
        <w:t xml:space="preserve"> au Fonds.</w:t>
      </w:r>
    </w:p>
    <w:p w:rsidR="00893D36" w:rsidRDefault="00893D36" w:rsidP="00893D36">
      <w:r>
        <w:rPr>
          <w:i/>
        </w:rPr>
        <w:t xml:space="preserve">Conformément à l'article 12 du </w:t>
      </w:r>
      <w:proofErr w:type="spellStart"/>
      <w:r>
        <w:rPr>
          <w:i/>
        </w:rPr>
        <w:t>règlement</w:t>
      </w:r>
      <w:proofErr w:type="spellEnd"/>
      <w:r>
        <w:rPr>
          <w:i/>
        </w:rPr>
        <w:t xml:space="preserve"> (UE) 2021/1139 (le </w:t>
      </w:r>
      <w:proofErr w:type="spellStart"/>
      <w:r>
        <w:rPr>
          <w:i/>
        </w:rPr>
        <w:t>règlement</w:t>
      </w:r>
      <w:proofErr w:type="spellEnd"/>
      <w:r>
        <w:rPr>
          <w:i/>
        </w:rPr>
        <w:t xml:space="preserve"> FEAMPA), les </w:t>
      </w:r>
      <w:proofErr w:type="spellStart"/>
      <w:r>
        <w:rPr>
          <w:i/>
        </w:rPr>
        <w:t>opérations</w:t>
      </w:r>
      <w:proofErr w:type="spellEnd"/>
      <w:r>
        <w:rPr>
          <w:i/>
        </w:rPr>
        <w:t xml:space="preserve"> </w:t>
      </w:r>
      <w:proofErr w:type="spellStart"/>
      <w:r>
        <w:rPr>
          <w:i/>
        </w:rPr>
        <w:t>sélectionnées</w:t>
      </w:r>
      <w:proofErr w:type="spellEnd"/>
      <w:r>
        <w:rPr>
          <w:i/>
        </w:rPr>
        <w:t xml:space="preserve"> par les </w:t>
      </w:r>
      <w:proofErr w:type="spellStart"/>
      <w:r>
        <w:rPr>
          <w:i/>
        </w:rPr>
        <w:t>États</w:t>
      </w:r>
      <w:proofErr w:type="spellEnd"/>
      <w:r>
        <w:rPr>
          <w:i/>
        </w:rPr>
        <w:t xml:space="preserve"> </w:t>
      </w:r>
      <w:proofErr w:type="spellStart"/>
      <w:r>
        <w:rPr>
          <w:i/>
        </w:rPr>
        <w:t>membres</w:t>
      </w:r>
      <w:proofErr w:type="spellEnd"/>
      <w:r>
        <w:rPr>
          <w:i/>
        </w:rPr>
        <w:t xml:space="preserve"> </w:t>
      </w:r>
      <w:proofErr w:type="spellStart"/>
      <w:r>
        <w:rPr>
          <w:i/>
        </w:rPr>
        <w:t>doivent</w:t>
      </w:r>
      <w:proofErr w:type="spellEnd"/>
      <w:r>
        <w:rPr>
          <w:i/>
        </w:rPr>
        <w:t xml:space="preserve"> </w:t>
      </w:r>
      <w:proofErr w:type="spellStart"/>
      <w:r>
        <w:rPr>
          <w:i/>
        </w:rPr>
        <w:t>relever</w:t>
      </w:r>
      <w:proofErr w:type="spellEnd"/>
      <w:r>
        <w:rPr>
          <w:i/>
        </w:rPr>
        <w:t xml:space="preserve"> du </w:t>
      </w:r>
      <w:proofErr w:type="spellStart"/>
      <w:r>
        <w:rPr>
          <w:i/>
        </w:rPr>
        <w:t>champ</w:t>
      </w:r>
      <w:proofErr w:type="spellEnd"/>
      <w:r>
        <w:rPr>
          <w:i/>
        </w:rPr>
        <w:t xml:space="preserve"> </w:t>
      </w:r>
      <w:proofErr w:type="spellStart"/>
      <w:r>
        <w:rPr>
          <w:i/>
        </w:rPr>
        <w:t>d'application</w:t>
      </w:r>
      <w:proofErr w:type="spellEnd"/>
      <w:r>
        <w:rPr>
          <w:i/>
        </w:rPr>
        <w:t xml:space="preserve"> des </w:t>
      </w:r>
      <w:proofErr w:type="spellStart"/>
      <w:r>
        <w:rPr>
          <w:i/>
        </w:rPr>
        <w:t>priorités</w:t>
      </w:r>
      <w:proofErr w:type="spellEnd"/>
      <w:r>
        <w:rPr>
          <w:i/>
        </w:rPr>
        <w:t xml:space="preserve"> et des </w:t>
      </w:r>
      <w:proofErr w:type="spellStart"/>
      <w:r>
        <w:rPr>
          <w:i/>
        </w:rPr>
        <w:t>objectifs</w:t>
      </w:r>
      <w:proofErr w:type="spellEnd"/>
      <w:r>
        <w:rPr>
          <w:i/>
        </w:rPr>
        <w:t xml:space="preserve"> </w:t>
      </w:r>
      <w:proofErr w:type="spellStart"/>
      <w:r>
        <w:rPr>
          <w:i/>
        </w:rPr>
        <w:t>spécifiques</w:t>
      </w:r>
      <w:proofErr w:type="spellEnd"/>
      <w:r>
        <w:rPr>
          <w:i/>
        </w:rPr>
        <w:t xml:space="preserve"> </w:t>
      </w:r>
      <w:proofErr w:type="spellStart"/>
      <w:r>
        <w:rPr>
          <w:i/>
        </w:rPr>
        <w:t>énoncés</w:t>
      </w:r>
      <w:proofErr w:type="spellEnd"/>
      <w:r>
        <w:rPr>
          <w:i/>
        </w:rPr>
        <w:t xml:space="preserve"> à l'article 8, </w:t>
      </w:r>
      <w:proofErr w:type="spellStart"/>
      <w:r>
        <w:rPr>
          <w:i/>
        </w:rPr>
        <w:t>paragraphe</w:t>
      </w:r>
      <w:proofErr w:type="spellEnd"/>
      <w:r>
        <w:rPr>
          <w:i/>
        </w:rPr>
        <w:t xml:space="preserve"> 2, ne </w:t>
      </w:r>
      <w:proofErr w:type="spellStart"/>
      <w:r>
        <w:rPr>
          <w:i/>
        </w:rPr>
        <w:t>doivent</w:t>
      </w:r>
      <w:proofErr w:type="spellEnd"/>
      <w:r>
        <w:rPr>
          <w:i/>
        </w:rPr>
        <w:t xml:space="preserve"> pas </w:t>
      </w:r>
      <w:proofErr w:type="spellStart"/>
      <w:r>
        <w:rPr>
          <w:i/>
        </w:rPr>
        <w:t>être</w:t>
      </w:r>
      <w:proofErr w:type="spellEnd"/>
      <w:r>
        <w:rPr>
          <w:i/>
        </w:rPr>
        <w:t xml:space="preserve"> </w:t>
      </w:r>
      <w:proofErr w:type="spellStart"/>
      <w:r>
        <w:rPr>
          <w:i/>
        </w:rPr>
        <w:t>inéligibles</w:t>
      </w:r>
      <w:proofErr w:type="spellEnd"/>
      <w:r>
        <w:rPr>
          <w:i/>
        </w:rPr>
        <w:t xml:space="preserve"> en </w:t>
      </w:r>
      <w:proofErr w:type="spellStart"/>
      <w:r>
        <w:rPr>
          <w:i/>
        </w:rPr>
        <w:t>vertu</w:t>
      </w:r>
      <w:proofErr w:type="spellEnd"/>
      <w:r>
        <w:rPr>
          <w:i/>
        </w:rPr>
        <w:t xml:space="preserve"> de l'article 13 et </w:t>
      </w:r>
      <w:proofErr w:type="spellStart"/>
      <w:r>
        <w:rPr>
          <w:i/>
        </w:rPr>
        <w:t>doit</w:t>
      </w:r>
      <w:proofErr w:type="spellEnd"/>
      <w:r>
        <w:rPr>
          <w:i/>
        </w:rPr>
        <w:t xml:space="preserve"> </w:t>
      </w:r>
      <w:proofErr w:type="spellStart"/>
      <w:r>
        <w:rPr>
          <w:i/>
        </w:rPr>
        <w:t>être</w:t>
      </w:r>
      <w:proofErr w:type="spellEnd"/>
      <w:r>
        <w:rPr>
          <w:i/>
        </w:rPr>
        <w:t xml:space="preserve"> conforme au </w:t>
      </w:r>
      <w:proofErr w:type="spellStart"/>
      <w:r>
        <w:rPr>
          <w:i/>
        </w:rPr>
        <w:t>droit</w:t>
      </w:r>
      <w:proofErr w:type="spellEnd"/>
      <w:r>
        <w:rPr>
          <w:i/>
        </w:rPr>
        <w:t xml:space="preserve"> de </w:t>
      </w:r>
      <w:proofErr w:type="spellStart"/>
      <w:r>
        <w:rPr>
          <w:i/>
        </w:rPr>
        <w:t>l'Union</w:t>
      </w:r>
      <w:proofErr w:type="spellEnd"/>
      <w:r>
        <w:rPr>
          <w:i/>
        </w:rPr>
        <w:t xml:space="preserve"> </w:t>
      </w:r>
      <w:proofErr w:type="spellStart"/>
      <w:r>
        <w:rPr>
          <w:i/>
        </w:rPr>
        <w:t>applicable</w:t>
      </w:r>
      <w:proofErr w:type="spellEnd"/>
      <w:r>
        <w:rPr>
          <w:i/>
        </w:rPr>
        <w:t>.</w:t>
      </w:r>
    </w:p>
    <w:p w:rsidR="00893D36" w:rsidRDefault="00893D36" w:rsidP="00893D36">
      <w:r>
        <w:rPr>
          <w:i/>
        </w:rPr>
        <w:t xml:space="preserve">Conformément au </w:t>
      </w:r>
      <w:proofErr w:type="spellStart"/>
      <w:r>
        <w:rPr>
          <w:i/>
        </w:rPr>
        <w:t>considérant</w:t>
      </w:r>
      <w:proofErr w:type="spellEnd"/>
      <w:r>
        <w:rPr>
          <w:i/>
        </w:rPr>
        <w:t xml:space="preserve"> 7 du </w:t>
      </w:r>
      <w:proofErr w:type="spellStart"/>
      <w:r>
        <w:rPr>
          <w:i/>
        </w:rPr>
        <w:t>règlement</w:t>
      </w:r>
      <w:proofErr w:type="spellEnd"/>
      <w:r>
        <w:rPr>
          <w:i/>
        </w:rPr>
        <w:t xml:space="preserve"> FEAMPA, le </w:t>
      </w:r>
      <w:proofErr w:type="spellStart"/>
      <w:r>
        <w:rPr>
          <w:i/>
        </w:rPr>
        <w:t>soutien</w:t>
      </w:r>
      <w:proofErr w:type="spellEnd"/>
      <w:r>
        <w:rPr>
          <w:i/>
        </w:rPr>
        <w:t xml:space="preserve"> </w:t>
      </w:r>
      <w:proofErr w:type="spellStart"/>
      <w:r>
        <w:rPr>
          <w:i/>
        </w:rPr>
        <w:t>devrait</w:t>
      </w:r>
      <w:proofErr w:type="spellEnd"/>
      <w:r>
        <w:rPr>
          <w:i/>
        </w:rPr>
        <w:t xml:space="preserve"> avoir une </w:t>
      </w:r>
      <w:proofErr w:type="spellStart"/>
      <w:r>
        <w:rPr>
          <w:i/>
        </w:rPr>
        <w:t>valeur</w:t>
      </w:r>
      <w:proofErr w:type="spellEnd"/>
      <w:r>
        <w:rPr>
          <w:i/>
        </w:rPr>
        <w:t xml:space="preserve"> </w:t>
      </w:r>
      <w:proofErr w:type="spellStart"/>
      <w:r>
        <w:rPr>
          <w:i/>
        </w:rPr>
        <w:t>ajoutée</w:t>
      </w:r>
      <w:proofErr w:type="spellEnd"/>
      <w:r>
        <w:rPr>
          <w:i/>
        </w:rPr>
        <w:t xml:space="preserve"> </w:t>
      </w:r>
      <w:proofErr w:type="spellStart"/>
      <w:r>
        <w:rPr>
          <w:i/>
        </w:rPr>
        <w:t>européenne</w:t>
      </w:r>
      <w:proofErr w:type="spellEnd"/>
      <w:r>
        <w:rPr>
          <w:i/>
        </w:rPr>
        <w:t xml:space="preserve"> </w:t>
      </w:r>
      <w:proofErr w:type="spellStart"/>
      <w:r>
        <w:rPr>
          <w:i/>
        </w:rPr>
        <w:t>claire</w:t>
      </w:r>
      <w:proofErr w:type="spellEnd"/>
      <w:r>
        <w:rPr>
          <w:i/>
        </w:rPr>
        <w:t xml:space="preserve">, </w:t>
      </w:r>
      <w:proofErr w:type="spellStart"/>
      <w:r>
        <w:rPr>
          <w:i/>
        </w:rPr>
        <w:t>notamment</w:t>
      </w:r>
      <w:proofErr w:type="spellEnd"/>
      <w:r>
        <w:rPr>
          <w:i/>
        </w:rPr>
        <w:t xml:space="preserve"> en </w:t>
      </w:r>
      <w:proofErr w:type="spellStart"/>
      <w:r>
        <w:rPr>
          <w:i/>
        </w:rPr>
        <w:t>remédiant</w:t>
      </w:r>
      <w:proofErr w:type="spellEnd"/>
      <w:r>
        <w:rPr>
          <w:i/>
        </w:rPr>
        <w:t xml:space="preserve"> </w:t>
      </w:r>
      <w:proofErr w:type="spellStart"/>
      <w:r>
        <w:rPr>
          <w:i/>
        </w:rPr>
        <w:t>aux</w:t>
      </w:r>
      <w:proofErr w:type="spellEnd"/>
      <w:r>
        <w:rPr>
          <w:i/>
        </w:rPr>
        <w:t xml:space="preserve"> </w:t>
      </w:r>
      <w:proofErr w:type="spellStart"/>
      <w:r>
        <w:rPr>
          <w:i/>
        </w:rPr>
        <w:t>défaillances</w:t>
      </w:r>
      <w:proofErr w:type="spellEnd"/>
      <w:r>
        <w:rPr>
          <w:i/>
        </w:rPr>
        <w:t xml:space="preserve"> du marché ou </w:t>
      </w:r>
      <w:proofErr w:type="spellStart"/>
      <w:r>
        <w:rPr>
          <w:i/>
        </w:rPr>
        <w:t>aux</w:t>
      </w:r>
      <w:proofErr w:type="spellEnd"/>
      <w:r>
        <w:rPr>
          <w:i/>
        </w:rPr>
        <w:t xml:space="preserve"> </w:t>
      </w:r>
      <w:proofErr w:type="spellStart"/>
      <w:r>
        <w:rPr>
          <w:i/>
        </w:rPr>
        <w:t>situations</w:t>
      </w:r>
      <w:proofErr w:type="spellEnd"/>
      <w:r>
        <w:rPr>
          <w:i/>
        </w:rPr>
        <w:t xml:space="preserve"> </w:t>
      </w:r>
      <w:proofErr w:type="spellStart"/>
      <w:r>
        <w:rPr>
          <w:i/>
        </w:rPr>
        <w:t>d'investissement</w:t>
      </w:r>
      <w:proofErr w:type="spellEnd"/>
      <w:r>
        <w:rPr>
          <w:i/>
        </w:rPr>
        <w:t xml:space="preserve"> </w:t>
      </w:r>
      <w:proofErr w:type="spellStart"/>
      <w:r>
        <w:rPr>
          <w:i/>
        </w:rPr>
        <w:t>sous-optimales</w:t>
      </w:r>
      <w:proofErr w:type="spellEnd"/>
      <w:r>
        <w:rPr>
          <w:i/>
        </w:rPr>
        <w:t xml:space="preserve"> de </w:t>
      </w:r>
      <w:proofErr w:type="spellStart"/>
      <w:r>
        <w:rPr>
          <w:i/>
        </w:rPr>
        <w:t>manière</w:t>
      </w:r>
      <w:proofErr w:type="spellEnd"/>
      <w:r>
        <w:rPr>
          <w:i/>
        </w:rPr>
        <w:t xml:space="preserve"> </w:t>
      </w:r>
      <w:proofErr w:type="spellStart"/>
      <w:r>
        <w:rPr>
          <w:i/>
        </w:rPr>
        <w:t>proportionnée</w:t>
      </w:r>
      <w:proofErr w:type="spellEnd"/>
      <w:r>
        <w:rPr>
          <w:i/>
        </w:rPr>
        <w:t xml:space="preserve">, et ne </w:t>
      </w:r>
      <w:proofErr w:type="spellStart"/>
      <w:r>
        <w:rPr>
          <w:i/>
        </w:rPr>
        <w:t>devrait</w:t>
      </w:r>
      <w:proofErr w:type="spellEnd"/>
      <w:r>
        <w:rPr>
          <w:i/>
        </w:rPr>
        <w:t xml:space="preserve"> pas </w:t>
      </w:r>
      <w:proofErr w:type="spellStart"/>
      <w:r>
        <w:rPr>
          <w:i/>
        </w:rPr>
        <w:t>dupliquer</w:t>
      </w:r>
      <w:proofErr w:type="spellEnd"/>
      <w:r>
        <w:rPr>
          <w:i/>
        </w:rPr>
        <w:t xml:space="preserve"> ou </w:t>
      </w:r>
      <w:proofErr w:type="spellStart"/>
      <w:r>
        <w:rPr>
          <w:i/>
        </w:rPr>
        <w:t>évincer</w:t>
      </w:r>
      <w:proofErr w:type="spellEnd"/>
      <w:r>
        <w:rPr>
          <w:i/>
        </w:rPr>
        <w:t xml:space="preserve"> le financement privé ni </w:t>
      </w:r>
      <w:proofErr w:type="spellStart"/>
      <w:r>
        <w:rPr>
          <w:i/>
        </w:rPr>
        <w:t>fausser</w:t>
      </w:r>
      <w:proofErr w:type="spellEnd"/>
      <w:r>
        <w:rPr>
          <w:i/>
        </w:rPr>
        <w:t xml:space="preserve"> la </w:t>
      </w:r>
      <w:proofErr w:type="spellStart"/>
      <w:r>
        <w:rPr>
          <w:i/>
        </w:rPr>
        <w:t>concurrence</w:t>
      </w:r>
      <w:proofErr w:type="spellEnd"/>
      <w:r>
        <w:rPr>
          <w:i/>
        </w:rPr>
        <w:t xml:space="preserve"> sur le marché </w:t>
      </w:r>
      <w:proofErr w:type="spellStart"/>
      <w:proofErr w:type="gramStart"/>
      <w:r>
        <w:rPr>
          <w:i/>
        </w:rPr>
        <w:t>intérieur</w:t>
      </w:r>
      <w:proofErr w:type="spellEnd"/>
      <w:r>
        <w:rPr>
          <w:i/>
        </w:rPr>
        <w:t xml:space="preserve"> .</w:t>
      </w:r>
      <w:proofErr w:type="gramEnd"/>
    </w:p>
    <w:p w:rsidR="00786B3E" w:rsidRDefault="00786B3E" w:rsidP="00786B3E"/>
    <w:p w:rsidR="00786B3E" w:rsidRDefault="00786B3E" w:rsidP="00786B3E"/>
    <w:p w:rsidR="00786B3E" w:rsidRDefault="00786B3E" w:rsidP="00786B3E">
      <w:pPr>
        <w:pStyle w:val="Ttulo1"/>
      </w:pPr>
      <w:bookmarkStart w:id="500" w:name="scroll-bookmark-587"/>
      <w:bookmarkStart w:id="501" w:name="scroll-bookmark-588"/>
      <w:bookmarkEnd w:id="500"/>
      <w:r>
        <w:t xml:space="preserve">QA585: </w:t>
      </w:r>
      <w:r w:rsidR="00DF0906">
        <w:t>EMFAF</w:t>
      </w:r>
      <w:r>
        <w:t xml:space="preserve"> Primera adquisición de un buque pesquero (registro en la flota de la UE)</w:t>
      </w:r>
      <w:bookmarkEnd w:id="501"/>
    </w:p>
    <w:p w:rsidR="00786B3E" w:rsidRDefault="00786B3E" w:rsidP="00786B3E">
      <w:r>
        <w:rPr>
          <w:noProof/>
          <w:lang w:val="es-ES"/>
        </w:rPr>
        <w:drawing>
          <wp:inline distT="0" distB="0" distL="0" distR="0" wp14:anchorId="0A033DBE" wp14:editId="3964647C">
            <wp:extent cx="152435" cy="152435"/>
            <wp:effectExtent l="0" t="0" r="0" b="0"/>
            <wp:docPr id="101007" name="Imagen 1010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Artículo 26, 27 y 28 del Reglamento FEMPA.</w:t>
      </w:r>
    </w:p>
    <w:p w:rsidR="00786B3E" w:rsidRDefault="00786B3E" w:rsidP="00786B3E">
      <w:r>
        <w:rPr>
          <w:noProof/>
          <w:lang w:val="es-ES"/>
        </w:rPr>
        <w:drawing>
          <wp:inline distT="0" distB="0" distL="0" distR="0" wp14:anchorId="5B6FC74E" wp14:editId="6A3DE881">
            <wp:extent cx="152435" cy="152435"/>
            <wp:effectExtent l="0" t="0" r="0" b="0"/>
            <wp:docPr id="101009" name="Imagen 1010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lastRenderedPageBreak/>
        <w:br/>
        <w:t>Pregunta 1:</w:t>
      </w:r>
    </w:p>
    <w:p w:rsidR="00786B3E" w:rsidRDefault="00786B3E" w:rsidP="00786B3E">
      <w:pPr>
        <w:pStyle w:val="P68B1DB1-Normal11"/>
      </w:pPr>
      <w:r>
        <w:t>Inclusión de la venta al por menor de pescado, incluida la transformación de pescado de base, con arreglo al artículo 26 del Reglamento FEMPA y, por tanto, no seguimiento del tamaño de la empresa, con el fin de excluir a las grandes empresas de la ayuda en el período de programación 2021-2027. </w:t>
      </w:r>
    </w:p>
    <w:p w:rsidR="00786B3E" w:rsidRDefault="00786B3E" w:rsidP="00786B3E"/>
    <w:p w:rsidR="00786B3E" w:rsidRDefault="00786B3E" w:rsidP="00786B3E">
      <w:pPr>
        <w:pStyle w:val="P68B1DB1-Normal1"/>
      </w:pPr>
      <w:r>
        <w:t>Respuesta.</w:t>
      </w:r>
    </w:p>
    <w:p w:rsidR="00786B3E" w:rsidRDefault="00786B3E" w:rsidP="00786B3E">
      <w:r>
        <w:t>El artículo 26, apartado 1, letra a), del Reglamento FEMPA se refiere a «la promoción de actividades acuícolas sostenibles, en particular reforzando la competitividad de la producción acuícola, garantizando al mismo tiempo que las actividades sean medioambientalmente sostenibles a largo plazo».  </w:t>
      </w:r>
    </w:p>
    <w:p w:rsidR="00786B3E" w:rsidRDefault="00786B3E" w:rsidP="00786B3E">
      <w:r>
        <w:t>De conformidad con el artículo 26, apartado 1, letra b), del Reglamento FEMPA, se concede ayuda para «promover la comercialización, la calidad y el valor añadido de los productos de la pesca y la acuicultura, así como la transformación de estos productos». </w:t>
      </w:r>
    </w:p>
    <w:p w:rsidR="00786B3E" w:rsidRDefault="00786B3E" w:rsidP="00786B3E">
      <w:r>
        <w:t>El Reglamento FEMPA no contiene una definición de comercio al por menor, pero el Reglamento (UE) n.º 1379/2013 por el que se establece la organización común de mercados en el sector de los productos de la pesca y de la acuicultura contiene la siguiente defini</w:t>
      </w:r>
      <w:r w:rsidR="00195008">
        <w:t>ción en su artículo 5, letra g)</w:t>
      </w:r>
      <w:r>
        <w:t>:  </w:t>
      </w:r>
    </w:p>
    <w:p w:rsidR="00786B3E" w:rsidRDefault="00786B3E" w:rsidP="00786B3E">
      <w:r>
        <w:t> ««Comercio al por menor»: la manipulación o transformación de alimentos y su almacenamiento en el punto de venta o entrega al consumidor final, incluidas las terminales de distribución, las actividades de restauración colectiva, los comedores de fábrica, los servicios de restauración institucional, los restaurantes y otros servicios alimentarios similares, las tiendas, los centros de distribución de supermercados y los puntos de venta al por mayor;» </w:t>
      </w:r>
    </w:p>
    <w:p w:rsidR="00786B3E" w:rsidRDefault="00786B3E" w:rsidP="00786B3E">
      <w:r>
        <w:t> El artículo 28 del FEMPA establece que, si se concede ayuda a empresas distintas de las pymes «para la promoción de la comercialización, la calidad y el valor añadido de los productos de la pesca y la acuicultura, así como de la transformación de estos productos», esto solo puede hacerse a través de instrumentos financieros, tal como se establece en el artículo 58 del Reglamento (UE) 2021/1060, o a través de InvestEU, de conformidad con el artículo 10 del Reglamento (UE) 2021/523. </w:t>
      </w:r>
    </w:p>
    <w:p w:rsidR="00786B3E" w:rsidRDefault="00786B3E" w:rsidP="00786B3E">
      <w:r>
        <w:t>Teniendo en cuenta este marco jurídico, la «transformación» de los productos de la pesca y la acuicultura por grandes empresas está sujeta a las limitaciones del artículo 28 del Reglamento FEMPA. Por lo tanto, cuando la venta al por menor adopte la forma de transformación, estas actividades también estarán cubiertas por esta disposición.  </w:t>
      </w:r>
    </w:p>
    <w:p w:rsidR="00786B3E" w:rsidRDefault="00786B3E" w:rsidP="00786B3E">
      <w:r>
        <w:t>No obstante, cuando la venta al por menor de productos de la pesca y la acuicultura incluya alguna transformación de carácter menor que sería inherente a la actividad de venta al por menor en cuestión, tales actividades no deben estar cubiertas por el artículo 28 del Reglamento FEMPA.  </w:t>
      </w:r>
    </w:p>
    <w:p w:rsidR="00786B3E" w:rsidRDefault="00786B3E" w:rsidP="00786B3E">
      <w:r>
        <w:t>En los casos de venta al por menor que no entrarían en el ámbito de aplicación de la exención del artículo 28 del Reglamento FEMPA, las medidas de apoyo tendrían que cumplir naturalmente todas las demás condiciones de subvencionabilidad del FEMPA.  </w:t>
      </w:r>
    </w:p>
    <w:p w:rsidR="00786B3E" w:rsidRDefault="00786B3E" w:rsidP="00786B3E">
      <w:r>
        <w:t> </w:t>
      </w:r>
    </w:p>
    <w:p w:rsidR="00786B3E" w:rsidRDefault="00786B3E" w:rsidP="00786B3E">
      <w:r>
        <w:lastRenderedPageBreak/>
        <w:t>Por lo tanto, puede concluirse que, cuando las actividades de venta al por menor de los beneficiarios no se consideran actividades de transformación, los beneficiarios no están limitados por el tamaño de la empresa y no es necesario introducir un control sobre el tamaño de la empresa.  </w:t>
      </w:r>
    </w:p>
    <w:p w:rsidR="00786B3E" w:rsidRDefault="00786B3E" w:rsidP="00786B3E">
      <w:r>
        <w:t>Esto también conduce a una reducción considerable de la carga administrativa y a la simplificación de ambas partes, la autoridad de gestión y el solicitante/beneficiario.  </w:t>
      </w:r>
    </w:p>
    <w:p w:rsidR="00786B3E" w:rsidRDefault="00786B3E" w:rsidP="00786B3E">
      <w:r>
        <w:t>  </w:t>
      </w:r>
    </w:p>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502" w:name="scroll-bookmark-589"/>
      <w:bookmarkStart w:id="503" w:name="scroll-bookmark-590"/>
      <w:bookmarkEnd w:id="502"/>
      <w:r>
        <w:t xml:space="preserve">QA587: </w:t>
      </w:r>
      <w:r w:rsidR="00DF0906">
        <w:t>EMFAF</w:t>
      </w:r>
      <w:r>
        <w:t xml:space="preserve"> Apoyo a la recogida de datos</w:t>
      </w:r>
      <w:bookmarkEnd w:id="503"/>
    </w:p>
    <w:p w:rsidR="00786B3E" w:rsidRDefault="00786B3E" w:rsidP="00786B3E">
      <w:r>
        <w:rPr>
          <w:noProof/>
          <w:lang w:val="es-ES"/>
        </w:rPr>
        <w:drawing>
          <wp:inline distT="0" distB="0" distL="0" distR="0" wp14:anchorId="640D8FA7" wp14:editId="774CDDFE">
            <wp:extent cx="152435" cy="152435"/>
            <wp:effectExtent l="0" t="0" r="0" b="0"/>
            <wp:docPr id="101011" name="Imagen 1010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23 del Reglamento FEMPA</w:t>
      </w:r>
    </w:p>
    <w:p w:rsidR="00786B3E" w:rsidRDefault="00786B3E" w:rsidP="00786B3E">
      <w:r>
        <w:rPr>
          <w:noProof/>
          <w:lang w:val="es-ES"/>
        </w:rPr>
        <w:drawing>
          <wp:inline distT="0" distB="0" distL="0" distR="0" wp14:anchorId="5AED61CB" wp14:editId="5FCD80C9">
            <wp:extent cx="152435" cy="152435"/>
            <wp:effectExtent l="0" t="0" r="0" b="0"/>
            <wp:docPr id="101013" name="Imagen 1010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Se tiene una pregunta sobre el apoyo en el marco del artículo 23 del FEMPA. El artículo 23 solo hace referencia al artículo 6 del Reglamento (UE) 2017/1004 sobre el marco para la recopilación de datos (MRD) sobre los programas de trabajo nacionales.</w:t>
      </w:r>
    </w:p>
    <w:p w:rsidR="00786B3E" w:rsidRDefault="00786B3E" w:rsidP="00786B3E">
      <w:r>
        <w:t>Sin embargo, el artículo 9, apartado 10, del Reglamento del MRD establece que se considerará que los planes regionales complementan o sustituyen partes de los programas de trabajo nacionales.</w:t>
      </w:r>
    </w:p>
    <w:p w:rsidR="00786B3E" w:rsidRDefault="00786B3E" w:rsidP="00786B3E">
      <w:r>
        <w:t>Si se elabora un plan de trabajo regional para una parte del trabajo sueco de recopilación de datos (por ejemplo, para una pesquería en el mar Báltico), esto podría significar que la parte sueca de la ejecución del MRD estaría cubierta por el plan regional.</w:t>
      </w:r>
    </w:p>
    <w:p w:rsidR="00786B3E" w:rsidRDefault="00786B3E" w:rsidP="00786B3E">
      <w:r>
        <w:t>Se llama la atención de la Comisión sobre este hecho y que la búsqueda de una mayor regionalización del trabajo de recogida de datos no debe significar que el trabajo de recogida de datos pierda financiación de la UE a través del FEMPA.</w:t>
      </w:r>
    </w:p>
    <w:p w:rsidR="00786B3E" w:rsidRDefault="00786B3E" w:rsidP="00786B3E">
      <w:r>
        <w:lastRenderedPageBreak/>
        <w:t>Se encuentra con dificultades para ver cómo la Comisión podría sustituir estas actividades mediante gestión directa, sobre todo teniendo en cuenta que el programa de trabajo de gestión directa se financia a través de programas de trabajo anuales y que los planes regionales de MRD pueden ser plurianuales y abarcar a un gran número de Estados miembros.</w:t>
      </w:r>
    </w:p>
    <w:p w:rsidR="00786B3E" w:rsidRDefault="00786B3E" w:rsidP="00786B3E">
      <w:r>
        <w:t>Se considera que los planes regionales siempre deben considerarse complementarios de los programas de trabajo nacionales cubiertos por la regionalización y, por tanto, pueden financiarse como otras actividades de recopilación de datos en virtud del artículo 23 del FEMPA.</w:t>
      </w:r>
    </w:p>
    <w:p w:rsidR="00786B3E" w:rsidRDefault="00786B3E" w:rsidP="00786B3E">
      <w:r>
        <w:t>Se desearía que esto se confirmara haciendo referencia a la redacción del artículo 23 del proyecto de Reglamento del FEMP, que dice lo siguiente:</w:t>
      </w:r>
    </w:p>
    <w:p w:rsidR="00786B3E" w:rsidRDefault="00786B3E" w:rsidP="00786B3E">
      <w:pPr>
        <w:pStyle w:val="P68B1DB1-Normal3"/>
      </w:pPr>
      <w:r>
        <w:t>Artículo 23 recopilación, gestión, utilización y tratamiento de datos en el sector pesquero y programas de investigación e innovación</w:t>
      </w:r>
    </w:p>
    <w:p w:rsidR="00786B3E" w:rsidRDefault="00786B3E" w:rsidP="00786B3E">
      <w:pPr>
        <w:pStyle w:val="P68B1DB1-Normal4"/>
        <w:numPr>
          <w:ilvl w:val="0"/>
          <w:numId w:val="236"/>
        </w:numPr>
      </w:pPr>
      <w:r>
        <w:t>El FEMPA podrá apoyar la recopilación, la gestión, el uso y el tratamiento de datos biológicos, medioambientales, técnicos y socioeconómicos en el sector pesquero, tal como se establece en el artículo 25, apartado 1, y (2) del Reglamento (UE) n.º 1380/2013 y se especifica con más detalle en el Reglamento (UE) 2017/1004, sobre la base de los planes de trabajo nacionales a que se refiere el artículo 6 del Reglamento (UE) 2017/1004. El FEMPA podrá apoyar también programas de investigación e innovación, según lo dispuesto en el artículo 27 del Reglamento (UE) n.º 1380/2013.</w:t>
      </w:r>
    </w:p>
    <w:p w:rsidR="00786B3E" w:rsidRDefault="00786B3E" w:rsidP="00786B3E">
      <w:pPr>
        <w:pStyle w:val="P68B1DB1-Normal4"/>
        <w:numPr>
          <w:ilvl w:val="0"/>
          <w:numId w:val="236"/>
        </w:numPr>
      </w:pPr>
      <w:r>
        <w:t>El apoyo a que se refiere el apartado 1 del presente artículo contribuirá al objetivo específico a que se refiere el artículo 14, apartado 1, letra d).</w:t>
      </w:r>
    </w:p>
    <w:p w:rsidR="00786B3E" w:rsidRDefault="00786B3E" w:rsidP="00786B3E"/>
    <w:p w:rsidR="00786B3E" w:rsidRDefault="00786B3E" w:rsidP="00786B3E">
      <w:pPr>
        <w:pStyle w:val="P68B1DB1-Normal1"/>
      </w:pPr>
      <w:r>
        <w:t>Respuesta.</w:t>
      </w:r>
    </w:p>
    <w:p w:rsidR="00786B3E" w:rsidRDefault="00786B3E" w:rsidP="00786B3E">
      <w:r>
        <w:t>El artículo 23 del Reglamento FEMPA permite a los Estados miembros prestar apoyo para la recopilación de datos en el sector pesquero, tal como se establece en el artículo 25, apartado 1, y (2) del Reglamento sobre la PPC y se especifica en el Reglamento sobre el MRD, sobre la base de los planes de trabajo nacionales a que se refiere el artículo 6. Esto significa que las actividades de recopilación de datos incluidas en los planes de trabajo nacionales de un Estado miembro pueden optar a la financiación del FEMPA.</w:t>
      </w:r>
    </w:p>
    <w:p w:rsidR="00786B3E" w:rsidRDefault="00786B3E" w:rsidP="00786B3E">
      <w:r>
        <w:t xml:space="preserve">El Reglamento FEMPA no hace referencia a los planes regionales establecidos en virtud del artículo 9 del Reglamento sobre el MRD. El objetivo de los planes de trabajo regionales es complementar o sustituir determinadas partes de los planes de trabajo nacionales. Los planes regionales están plenamente en consonancia con la condición del apoyo del FEMPA a la recogida de datos, tal como se establece en el artículo 23, apartado 2: Las actividades contribuyen a </w:t>
      </w:r>
      <w:r>
        <w:rPr>
          <w:i/>
        </w:rPr>
        <w:t>«fomentar un control y una observancia eficientes de la pesca, incluida la lucha contra la pesca INDNR, así como datos fiables para una toma de decisiones basada en el conocimiento»</w:t>
      </w:r>
      <w:r>
        <w:t>.</w:t>
      </w:r>
    </w:p>
    <w:p w:rsidR="00786B3E" w:rsidRDefault="00786B3E" w:rsidP="00786B3E">
      <w:r>
        <w:t>Además, los planes de trabajo regionales son aprobados por la Comisión y sustituyen o complementan las partes pertinentes de los planes de trabajo nacionales.</w:t>
      </w:r>
    </w:p>
    <w:p w:rsidR="00786B3E" w:rsidRDefault="00786B3E" w:rsidP="00786B3E">
      <w:r>
        <w:lastRenderedPageBreak/>
        <w:t>En conclusión, las actividades de recopilación de datos emprendidas en el marco de un plan de trabajo regional, aprobado por la Comisión, pueden optar al apoyo del FEMPA.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04" w:name="scroll-bookmark-591"/>
      <w:bookmarkStart w:id="505" w:name="scroll-bookmark-592"/>
      <w:bookmarkEnd w:id="504"/>
      <w:r>
        <w:t>QA589: EMFÁFICA Utilización del artículo 32 del FEMPA para las acciones que no estén directamente relacionadas con la recopilación y gestión de datos</w:t>
      </w:r>
      <w:bookmarkEnd w:id="505"/>
    </w:p>
    <w:p w:rsidR="00786B3E" w:rsidRDefault="00786B3E" w:rsidP="00786B3E">
      <w:r>
        <w:rPr>
          <w:noProof/>
          <w:lang w:val="es-ES"/>
        </w:rPr>
        <w:drawing>
          <wp:inline distT="0" distB="0" distL="0" distR="0" wp14:anchorId="69D28944" wp14:editId="4CE8E545">
            <wp:extent cx="152435" cy="152435"/>
            <wp:effectExtent l="0" t="0" r="0" b="0"/>
            <wp:docPr id="101015" name="Imagen 1010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32 del Reglamento FEMPA</w:t>
      </w:r>
    </w:p>
    <w:p w:rsidR="00786B3E" w:rsidRDefault="00786B3E" w:rsidP="00786B3E">
      <w:r>
        <w:rPr>
          <w:noProof/>
          <w:lang w:val="es-ES"/>
        </w:rPr>
        <w:drawing>
          <wp:inline distT="0" distB="0" distL="0" distR="0" wp14:anchorId="1DB073AA" wp14:editId="1552144E">
            <wp:extent cx="152435" cy="152435"/>
            <wp:effectExtent l="0" t="0" r="0" b="0"/>
            <wp:docPr id="101017" name="Imagen 1010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En cuanto a las acciones en materia de medio ambiente en la prioridad 4 de la Unión, el artículo 32 establece lo siguiente:</w:t>
      </w:r>
    </w:p>
    <w:p w:rsidR="00786B3E" w:rsidRDefault="00786B3E" w:rsidP="00786B3E">
      <w:pPr>
        <w:pStyle w:val="P68B1DB1-Normal4"/>
      </w:pPr>
      <w:r>
        <w:t>El apoyo concedido para alcanzar el objetivo específico al que se refiere el artículo 31 del presente Reglamento mediante la promoción del conocimiento del medio marino contribuirá a acciones destinadas a recoger, gestionar analizar, tratar y utilizar datos que mejoren el conocimiento del estado del entorno marino, con el fin de:</w:t>
      </w:r>
    </w:p>
    <w:p w:rsidR="00786B3E" w:rsidRDefault="00786B3E" w:rsidP="00786B3E">
      <w:r>
        <w:lastRenderedPageBreak/>
        <w:t xml:space="preserve"> </w:t>
      </w:r>
      <w:r>
        <w:rPr>
          <w:i/>
        </w:rPr>
        <w:t>a) el cumplimiento de los requisitos de seguimiento y designación y gestión del lugar con arreglo a las Directivas 92/43/CEE y 2009/147/CE;</w:t>
      </w:r>
    </w:p>
    <w:p w:rsidR="00786B3E" w:rsidRDefault="00786B3E" w:rsidP="00786B3E">
      <w:r>
        <w:t xml:space="preserve"> </w:t>
      </w:r>
      <w:r>
        <w:rPr>
          <w:i/>
        </w:rPr>
        <w:t>b) apoyar la ordenación del espacio marítimo con arreglo a la Directiva 2014/89/UE del Parlamento Europeo y del Consejo; o</w:t>
      </w:r>
    </w:p>
    <w:p w:rsidR="00786B3E" w:rsidRDefault="00786B3E" w:rsidP="00786B3E">
      <w:r>
        <w:t xml:space="preserve"> </w:t>
      </w:r>
      <w:r>
        <w:rPr>
          <w:i/>
        </w:rPr>
        <w:t>C) aumentar la calidad de los datos y su puesta en común a través de la red europea de observación y datos marinos (EMODnet).</w:t>
      </w:r>
    </w:p>
    <w:p w:rsidR="00786B3E" w:rsidRDefault="00786B3E" w:rsidP="00786B3E">
      <w:r>
        <w:t xml:space="preserve"> Parece que este artículo limita las posibilidades de financiación únicamente a estos tres temas identificados (a) a c) y, además, solo a las acciones destinadas a recopilar, gestionar, analizar, procesar y utilizar datos para mejorar los conocimientos sobre el estado del medio marino. ¿Pueden los proyectos medioambientales más amplios en los que los datos no solo se recopilan y analizan, sino que también se utilizan en las acciones concretas (como la protección de las zonas marinas, la recogida de desechos marinos, etc.) financiadas en el marco de este artículo? ¿O deberían financiarse acciones concretas a partir de otras fuentes, como el artículo 25?</w:t>
      </w:r>
    </w:p>
    <w:p w:rsidR="00786B3E" w:rsidRDefault="00786B3E" w:rsidP="00786B3E">
      <w:r>
        <w:t>En las observaciones informales sobre el proyecto de PO finlandés, la Comisión señaló (observación número 42) que normalmente se abordarían acciones medioambientales más amplias, como la basura marina y las nuevas sustancias nocivas, en el objetivo específico 1.6. De hecho, el artículo 25 (Protección y restauración de la biodiversidad y los ecosistemas acuáticos) está más abierto a abordar diversos retos medioambientales. Sin embargo, la política marítima es un ámbito de importancia estratégica en Finlandia y también el proceso nacional de toma de decisiones de la prioridad 4 de la Unión se estructura de manera diferente a la de las demás prioridades de la Unión. Por lo tanto, es importante que comprendamos de qué manera debe interpretarse el artículo 32 relativo al conocimiento del medio marino.</w:t>
      </w:r>
    </w:p>
    <w:p w:rsidR="00786B3E" w:rsidRDefault="00786B3E" w:rsidP="00786B3E"/>
    <w:p w:rsidR="00786B3E" w:rsidRDefault="00786B3E" w:rsidP="00786B3E">
      <w:pPr>
        <w:pStyle w:val="P68B1DB1-Normal1"/>
      </w:pPr>
      <w:r>
        <w:t>Respuesta.</w:t>
      </w:r>
    </w:p>
    <w:p w:rsidR="00786B3E" w:rsidRDefault="00786B3E" w:rsidP="00786B3E">
      <w:r>
        <w:t>El objetivo específico 4.1 es muy específico. Se refiere únicamente al conocimiento del medio marino dentro del ámbito de aplicación descrito en el artículo 32, letras a), b) y c), del Reglamento FEMPA. Otras operaciones relacionadas con el conocimiento del medio marino son potencialmente subvencionables en virtud de los artículos 23 y 25 de dicho Reglamento. La interpretación más amplia sugerida por Finlandia podría crear problemas relativos a la contabilidad y la delimitación entre diferentes acciones y, por lo tanto, no es adecuada.</w:t>
      </w:r>
    </w:p>
    <w:p w:rsidR="00786B3E" w:rsidRDefault="00786B3E" w:rsidP="00786B3E">
      <w:r>
        <w:t>Por lo tanto, consideramos que Finlandia debería limitar el uso del artículo 34 únicamente a las actividades explícitamente mencionadas en el artículo, y utilizar otros artículos para otras actividades. Para facilitar la delimitación entre los artículos potencialmente afectados por el conocimiento del medio marino, sugerimos a Finlandia que defina la admisibilidad potencial de las acciones desde el ámbito más restringido hasta el más amplio: en primer lugar, comprobar si la operación entra en el ámbito de aplicación del artículo 32, después del artículo 23 y, por último, del artículo 25 si no son aplicables ni 32 ni 23.</w:t>
      </w:r>
    </w:p>
    <w:p w:rsidR="00786B3E" w:rsidRDefault="00786B3E" w:rsidP="00786B3E"/>
    <w:p w:rsidR="00786B3E" w:rsidRDefault="00786B3E" w:rsidP="00786B3E">
      <w:pPr>
        <w:pStyle w:val="P68B1DB1-Normal1"/>
      </w:pPr>
      <w:r>
        <w:t>NOTA:</w:t>
      </w:r>
    </w:p>
    <w:p w:rsidR="00786B3E" w:rsidRDefault="00786B3E" w:rsidP="00786B3E">
      <w:pPr>
        <w:pStyle w:val="P68B1DB1-Normal4"/>
      </w:pPr>
      <w:r>
        <w:lastRenderedPageBreak/>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06" w:name="scroll-bookmark-593"/>
      <w:bookmarkStart w:id="507" w:name="scroll-bookmark-594"/>
      <w:bookmarkEnd w:id="506"/>
      <w:r>
        <w:t xml:space="preserve">PAC590 </w:t>
      </w:r>
      <w:r w:rsidR="00DF0906">
        <w:t>EMFAF</w:t>
      </w:r>
      <w:r>
        <w:t xml:space="preserve"> pregunta de Finlandia sobre el uso del artículo 34 por parte del FEMPA para proyectos de guardacostas con o sin participación de las agencias de la UE</w:t>
      </w:r>
      <w:bookmarkEnd w:id="507"/>
    </w:p>
    <w:p w:rsidR="00786B3E" w:rsidRDefault="00786B3E" w:rsidP="00786B3E">
      <w:r>
        <w:rPr>
          <w:noProof/>
          <w:lang w:val="es-ES"/>
        </w:rPr>
        <w:drawing>
          <wp:inline distT="0" distB="0" distL="0" distR="0" wp14:anchorId="08E1BC1F" wp14:editId="56FAA530">
            <wp:extent cx="152435" cy="152435"/>
            <wp:effectExtent l="0" t="0" r="0" b="0"/>
            <wp:docPr id="101019" name="Imagen 1010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34 del Reglamento FEMPA</w:t>
      </w:r>
    </w:p>
    <w:p w:rsidR="00786B3E" w:rsidRDefault="00786B3E" w:rsidP="00786B3E">
      <w:r>
        <w:rPr>
          <w:noProof/>
          <w:lang w:val="es-ES"/>
        </w:rPr>
        <w:drawing>
          <wp:inline distT="0" distB="0" distL="0" distR="0" wp14:anchorId="689FF78E" wp14:editId="5BE8E99C">
            <wp:extent cx="152435" cy="152435"/>
            <wp:effectExtent l="0" t="0" r="0" b="0"/>
            <wp:docPr id="101021" name="Imagen 1010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El artículo 34 (Cooperación en materia de guardacostas) limita las posibilidades de financiación a las acciones que las autoridades nacionales llevan a cabo en el marco de la cooperación europea en materia de funciones de guardacostas. Estas funciones se definen con más detalle en tres reglamentos. </w:t>
      </w:r>
    </w:p>
    <w:p w:rsidR="00786B3E" w:rsidRDefault="00786B3E" w:rsidP="00786B3E"/>
    <w:p w:rsidR="00786B3E" w:rsidRDefault="00786B3E" w:rsidP="00786B3E">
      <w:pPr>
        <w:pStyle w:val="P68B1DB1-Normal4"/>
        <w:numPr>
          <w:ilvl w:val="0"/>
          <w:numId w:val="237"/>
        </w:numPr>
      </w:pPr>
      <w:r>
        <w:t xml:space="preserve">El apoyo concedido para lograr el objetivo específico previsto en el artículo 31 mediante la promoción de la cooperación entre </w:t>
      </w:r>
      <w:r>
        <w:rPr>
          <w:u w:val="single"/>
        </w:rPr>
        <w:t>guardacostas contribuirá a las</w:t>
      </w:r>
      <w:r>
        <w:t xml:space="preserve"> acciones realizadas por las autoridades </w:t>
      </w:r>
      <w:r>
        <w:rPr>
          <w:u w:val="single"/>
        </w:rPr>
        <w:t>nacionales en el marco de la cooperación europea en las funciones de</w:t>
      </w:r>
      <w:r>
        <w:t xml:space="preserve"> guardacostas a que se hace referencia en el artículo 2 ter del Reglamento (UE) 2019/1896 del Parlamento Europeo y del Consejo, el artículo 69 del Reglamento (CE) n.º 1406/2002 del Parlamento </w:t>
      </w:r>
      <w:r>
        <w:lastRenderedPageBreak/>
        <w:t>Europeo y del Consejo y el artículo 8 del Reglamento (UE) 2019/473 del Parlamento Europeo y del Consejo.</w:t>
      </w:r>
    </w:p>
    <w:p w:rsidR="00786B3E" w:rsidRDefault="00786B3E" w:rsidP="00786B3E"/>
    <w:p w:rsidR="00786B3E" w:rsidRDefault="00786B3E" w:rsidP="00786B3E">
      <w:r>
        <w:t>El artículo 69 del Reglamento (UE) 2019/1896 (Guardia Europea de Fronteras y Costas) especifica la cooperación europea en materia de funciones de guardacostas de la siguiente manera:</w:t>
      </w:r>
    </w:p>
    <w:p w:rsidR="00786B3E" w:rsidRDefault="00786B3E" w:rsidP="00786B3E"/>
    <w:p w:rsidR="00786B3E" w:rsidRDefault="00786B3E" w:rsidP="00786B3E">
      <w:pPr>
        <w:pStyle w:val="P68B1DB1-Normal4"/>
        <w:numPr>
          <w:ilvl w:val="0"/>
          <w:numId w:val="238"/>
        </w:numPr>
      </w:pPr>
      <w:r>
        <w:t xml:space="preserve">Sin perjuicio de EUROSUR, la </w:t>
      </w:r>
      <w:r>
        <w:rPr>
          <w:u w:val="single"/>
        </w:rPr>
        <w:t>Agencia,</w:t>
      </w:r>
      <w:r>
        <w:t xml:space="preserve"> en cooperación con la AECP y con la AESM, prestará </w:t>
      </w:r>
      <w:r>
        <w:rPr>
          <w:u w:val="single"/>
        </w:rPr>
        <w:t>apoyo a las autoridades nacionales que lleven a cabo funciones de guardacostas</w:t>
      </w:r>
      <w:r>
        <w:t xml:space="preserve"> a nivel nacional y de la Unión y, cuando proceda, a nivel internacional mediante:</w:t>
      </w:r>
    </w:p>
    <w:p w:rsidR="00786B3E" w:rsidRDefault="00786B3E" w:rsidP="00786B3E">
      <w:pPr>
        <w:pStyle w:val="P68B1DB1-Normal4"/>
      </w:pPr>
      <w:r>
        <w:t> </w:t>
      </w:r>
    </w:p>
    <w:p w:rsidR="00786B3E" w:rsidRDefault="00786B3E" w:rsidP="00786B3E">
      <w:pPr>
        <w:pStyle w:val="P68B1DB1-Normal4"/>
      </w:pPr>
      <w:r>
        <w:t>a) compartir, utilizar y analizar la información disponible en los sistemas de notificación de buques y otros sistemas de información alojados por dichos organismos o a los que tengan acceso, de conformidad con sus respectivas bases jurídicas y sin perjuicio de la propiedad de los datos por parte de los Estados miembros;</w:t>
      </w:r>
    </w:p>
    <w:p w:rsidR="00786B3E" w:rsidRDefault="00786B3E" w:rsidP="00786B3E">
      <w:pPr>
        <w:pStyle w:val="P68B1DB1-Normal4"/>
      </w:pPr>
      <w:r>
        <w:t>b) prestar servicios de vigilancia y comunicación basados en tecnología punta, incluida la infraestructura espacial y terrestre y los sensores instalados en cualquier tipo de plataforma;</w:t>
      </w:r>
    </w:p>
    <w:p w:rsidR="00786B3E" w:rsidRDefault="00786B3E" w:rsidP="00786B3E">
      <w:pPr>
        <w:pStyle w:val="P68B1DB1-Normal4"/>
      </w:pPr>
      <w:r>
        <w:t>C) el desarrollo de capacidades mediante la elaboración de directrices y recomendaciones y el establecimiento de mejores prácticas, así como mediante la formación y el intercambio de personal;</w:t>
      </w:r>
    </w:p>
    <w:p w:rsidR="00786B3E" w:rsidRDefault="00786B3E" w:rsidP="00786B3E">
      <w:pPr>
        <w:pStyle w:val="P68B1DB1-Normal4"/>
      </w:pPr>
      <w:r>
        <w:t>d) mejorar el intercambio de información y la cooperación en materia de funciones de guardacostas, en particular mediante el análisis de los retos operativos y los riesgos emergentes en el ámbito marítimo;</w:t>
      </w:r>
    </w:p>
    <w:p w:rsidR="00786B3E" w:rsidRDefault="00786B3E" w:rsidP="00786B3E">
      <w:pPr>
        <w:pStyle w:val="P68B1DB1-Normal4"/>
      </w:pPr>
      <w:r>
        <w:t>e) compartir capacidades mediante la planificación y ejecución de operaciones polivalentes y el uso compartido de activos y otras capacidades, en la medida en que dichas actividades sean coordinadas por dichas agencias y acordadas por las autoridades competentes de los Estados miembros de que se trate.</w:t>
      </w:r>
    </w:p>
    <w:p w:rsidR="00786B3E" w:rsidRDefault="00786B3E" w:rsidP="00786B3E"/>
    <w:p w:rsidR="00786B3E" w:rsidRDefault="00786B3E" w:rsidP="00786B3E">
      <w:r>
        <w:t>Los Reglamentos 2016/1625 (Agencia Europea de Seguridad Marítima) y 2019/473 (Agencia Europea de Control de la Pesca) definen la cooperación europea de manera similar a la del artículo 69 relativo a la Guardia Europea de Fronteras y Costas (véase más arriba). Sobre la base de estos tres Reglamentos, parece que la cooperación europea en materia de funciones de guardacostas se define como acciones en las que la implementación cuenta con el apoyo de una de las agencias europeas.</w:t>
      </w:r>
    </w:p>
    <w:p w:rsidR="00786B3E" w:rsidRDefault="00786B3E" w:rsidP="00786B3E"/>
    <w:p w:rsidR="00786B3E" w:rsidRDefault="00786B3E" w:rsidP="00786B3E">
      <w:r>
        <w:t xml:space="preserve">En el proyecto de PO finlandés, el refuerzo de la cooperación entre las diferentes funciones nacionales de guardacostas (por ejemplo, la vigilancia marítima y la protección del medio marino) se define como una de las necesidades que deben apoyarse en el programa FEMPA. Para abordar este tema correctamente en el </w:t>
      </w:r>
      <w:r>
        <w:lastRenderedPageBreak/>
        <w:t>programa, es importante comprender las posibles restricciones del artículo 34. ¿Podemos interpretar este artículo en sentido amplio, que permitiría financiar acciones llevadas a cabo por las autoridades nacionales sin el apoyo de las agencias europeas? O, si existe un requisito obligatorio de que las acciones de cooperación deben contar siempre con el apoyo de una de las agencias europeas, ¿significa que una de las agencias debe participar en la ejecución del proyecto? En caso afirmativo, ¿cómo debería documentarse?</w:t>
      </w:r>
    </w:p>
    <w:p w:rsidR="00786B3E" w:rsidRDefault="00786B3E" w:rsidP="00786B3E"/>
    <w:p w:rsidR="00786B3E" w:rsidRDefault="00786B3E" w:rsidP="00786B3E">
      <w:pPr>
        <w:pStyle w:val="P68B1DB1-Normal1"/>
      </w:pPr>
      <w:r>
        <w:t>Respuesta.</w:t>
      </w:r>
    </w:p>
    <w:p w:rsidR="00786B3E" w:rsidRDefault="00786B3E" w:rsidP="00786B3E">
      <w:r>
        <w:t xml:space="preserve">El artículo 34 abarca las </w:t>
      </w:r>
      <w:r>
        <w:rPr>
          <w:u w:val="single"/>
        </w:rPr>
        <w:t>acciones llevadas a cabo por las autoridades</w:t>
      </w:r>
      <w:r>
        <w:t xml:space="preserve"> nacionales. La referencia a la «cooperación europea en materia de funciones de guardacostas» describe el marco en el que deben ejecutarse las acciones nacionales, pero no las propias acciones. Por lo tanto, no se exige que las agencias de la UE participen directamente en la ejecución de la operación.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08" w:name="scroll-bookmark-595"/>
      <w:bookmarkStart w:id="509" w:name="scroll-bookmark-596"/>
      <w:bookmarkEnd w:id="508"/>
      <w:r>
        <w:t xml:space="preserve">QA591: </w:t>
      </w:r>
      <w:r w:rsidR="00DF0906">
        <w:t>EMFAF</w:t>
      </w:r>
      <w:r>
        <w:t xml:space="preserve"> Porcentaje de cofinanciación e intensidad de la ayuda pública en el marco del FEMPA — organismos de Derecho público</w:t>
      </w:r>
      <w:bookmarkEnd w:id="509"/>
    </w:p>
    <w:p w:rsidR="00786B3E" w:rsidRDefault="00786B3E" w:rsidP="00786B3E">
      <w:r>
        <w:rPr>
          <w:noProof/>
          <w:lang w:val="es-ES"/>
        </w:rPr>
        <w:drawing>
          <wp:inline distT="0" distB="0" distL="0" distR="0" wp14:anchorId="1156FC83" wp14:editId="5121E436">
            <wp:extent cx="152435" cy="152435"/>
            <wp:effectExtent l="0" t="0" r="0" b="0"/>
            <wp:docPr id="101023" name="Imagen 1010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40 y 41 del Reglamento FEMPA</w:t>
      </w:r>
    </w:p>
    <w:p w:rsidR="00786B3E" w:rsidRDefault="00786B3E" w:rsidP="00786B3E">
      <w:r>
        <w:rPr>
          <w:noProof/>
          <w:lang w:val="es-ES"/>
        </w:rPr>
        <w:lastRenderedPageBreak/>
        <w:drawing>
          <wp:inline distT="0" distB="0" distL="0" distR="0" wp14:anchorId="1C3CD56B" wp14:editId="64D42FA1">
            <wp:extent cx="152435" cy="152435"/>
            <wp:effectExtent l="0" t="0" r="0" b="0"/>
            <wp:docPr id="101025" name="Imagen 1010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Durante la preparación del nuevo programa operativo, se planteó una cuestión relativa a la financiación de proyectos en los que el beneficiario es una entidad pública y el porcentaje de ayuda pública es inferior al 100 % (es decir, las inversiones, en las que la intensidad de la ayuda pública es del 50 %).</w:t>
      </w:r>
    </w:p>
    <w:p w:rsidR="00786B3E" w:rsidRDefault="00786B3E" w:rsidP="00786B3E">
      <w:r>
        <w:t>En caso de que el beneficiario sea una entidad pública, todos los gastos son públicos (es decir, también la parte pagada por el beneficiario). En algunos programas operativos de la DG REGIO se aplica una norma de financiación para que la ayuda pública (por ejemplo, el 50 % del gasto total subvencionable) esté totalmente cubierta por los recursos de la UE y no se utilice ninguna otra cofinanciación pública nacional, es decir, el presupuesto del Estado (la cofinanciación nacional en el 50 % restante de la ayuda consiste en cofinanciación privada por el beneficiario).</w:t>
      </w:r>
    </w:p>
    <w:p w:rsidR="00786B3E" w:rsidRDefault="00786B3E" w:rsidP="00786B3E">
      <w:r>
        <w:t>Así pues, en el caso de un proyecto de 1 millones CZK, cuando la ayuda es de 0.5 millones CZK, la totalidad de la parte se paga únicamente con cargo al fondo de la UE (hipotéticamente del FEMPA). Esto significa un gasto más rápido de la asignación.</w:t>
      </w:r>
    </w:p>
    <w:p w:rsidR="00786B3E" w:rsidRDefault="00786B3E" w:rsidP="00786B3E">
      <w:r>
        <w:t>Actualmente, este método se utiliza ampliamente en otros Fondos EIE checos y se ha convertido en una práctica común. Como parte de la preparación para la ejecución del nuevo programa, el Ministerio de Hacienda nos preguntó si lo utilizaremos también. Nos gustaría señalar que este procedimiento afecta a una minoría de beneficiarios y no debería repercutir en el nivel global de cofinanciación de la UE a nivel de prioridad u objetivo específico.</w:t>
      </w:r>
    </w:p>
    <w:p w:rsidR="00786B3E" w:rsidRDefault="00786B3E" w:rsidP="00786B3E">
      <w:r>
        <w:t>Por lo tanto, le rogamos nos comunique si este principio también es utilizado por otros Estados miembros que aplican el FEMP y si la introducción plantearía un problema en el nuevo período de programación (en particular en lo que respecta a los artículos 40 y 41 del FEMPA). Le agradeceríamos cualquier información más detallada sobre este tema.</w:t>
      </w:r>
    </w:p>
    <w:p w:rsidR="00786B3E" w:rsidRDefault="00786B3E" w:rsidP="00786B3E">
      <w:r>
        <w:t xml:space="preserve">Por el momento, ya podemos imaginar que esto podría estar asociado a ciertas complicaciones. Si manipulamos los porcentajes de cofinanciación y los creamos de acuerdo con las solicitudes presentadas por los beneficiarios públicos, no podemos determinar la asignación exacta del programa en el PO. Si estamos equivocados, diríjase a nosotros. En el caso de los diferentes porcentajes de cofinanciación, la AG tendría que asegurarse al nivel del pliego de cargos de que no se superan los porcentajes determinados, es decir, el 70 % del gasto público subvencionable de </w:t>
      </w:r>
      <w:r w:rsidR="00195008">
        <w:t>ENRAF</w:t>
      </w:r>
      <w:r>
        <w:t xml:space="preserve"> (artículo 40 del FEMPA).</w:t>
      </w:r>
    </w:p>
    <w:p w:rsidR="00786B3E" w:rsidRDefault="00786B3E" w:rsidP="00786B3E"/>
    <w:p w:rsidR="00786B3E" w:rsidRDefault="00786B3E" w:rsidP="00786B3E">
      <w:pPr>
        <w:pStyle w:val="P68B1DB1-Normal1"/>
      </w:pPr>
      <w:r>
        <w:t>Respuesta.</w:t>
      </w:r>
    </w:p>
    <w:p w:rsidR="00786B3E" w:rsidRDefault="00786B3E" w:rsidP="00786B3E">
      <w:r>
        <w:t>De conformidad con el artículo 40 del Reglamento FEMPA, el porcentaje máximo de cofinanciación del FEMPA por objetivo específico será del 70 % del gasto público subvencionable. Esto significa que la UE paga hasta el 70 % de la parte pública del gasto subvencionable. El porcentaje de cofinanciación se fija para cada objetivo específico en el plan de financiación del programa.</w:t>
      </w:r>
    </w:p>
    <w:p w:rsidR="00786B3E" w:rsidRDefault="00786B3E" w:rsidP="00786B3E"/>
    <w:p w:rsidR="00786B3E" w:rsidRDefault="00786B3E" w:rsidP="00786B3E">
      <w:r>
        <w:t>El porcentaje de cofinanciación se fija independientemente de la intensidad de la ayuda pública (es decir, la parte pública del gasto subvencionable), que fija el Estado miembro para cada operación, de conformidad con el artículo 41 y el anexo III del Reglamento FEMPA. La fila 8 del anexo III establece que el Estado miembro puede aplicar una intensidad de ayuda pública del 100 % del gasto subvencionable de la operación para la que el beneficiario sea un organismo público.</w:t>
      </w:r>
    </w:p>
    <w:p w:rsidR="00786B3E" w:rsidRDefault="00786B3E" w:rsidP="00786B3E">
      <w:r>
        <w:t>En todos los casos, deben aplicarse los respectivos porcentajes de cofinanciación del FEMPA.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10" w:name="scroll-bookmark-597"/>
      <w:bookmarkStart w:id="511" w:name="scroll-bookmark-598"/>
      <w:bookmarkEnd w:id="510"/>
      <w:r>
        <w:t xml:space="preserve">QA593 </w:t>
      </w:r>
      <w:r w:rsidR="00DF0906">
        <w:t>EMFAF</w:t>
      </w:r>
      <w:r>
        <w:t xml:space="preserve"> Eligibilidad del apoyo a la formación</w:t>
      </w:r>
      <w:bookmarkEnd w:id="511"/>
    </w:p>
    <w:p w:rsidR="00786B3E" w:rsidRDefault="00786B3E" w:rsidP="00786B3E">
      <w:r>
        <w:rPr>
          <w:noProof/>
          <w:lang w:val="es-ES"/>
        </w:rPr>
        <w:drawing>
          <wp:inline distT="0" distB="0" distL="0" distR="0" wp14:anchorId="3B341173" wp14:editId="578E3A13">
            <wp:extent cx="152435" cy="152435"/>
            <wp:effectExtent l="0" t="0" r="0" b="0"/>
            <wp:docPr id="101027" name="Imagen 1010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xml:space="preserve"> </w:t>
      </w:r>
      <w:r>
        <w:rPr>
          <w:i/>
        </w:rPr>
        <w:t>Artículo pertinente</w:t>
      </w:r>
      <w:r>
        <w:t>: Artículo 13 del Reglamento FEMPA</w:t>
      </w:r>
    </w:p>
    <w:p w:rsidR="00786B3E" w:rsidRDefault="00786B3E" w:rsidP="00786B3E">
      <w:r>
        <w:rPr>
          <w:noProof/>
          <w:lang w:val="es-ES"/>
        </w:rPr>
        <w:drawing>
          <wp:inline distT="0" distB="0" distL="0" distR="0" wp14:anchorId="0656C7D1" wp14:editId="4A3C5965">
            <wp:extent cx="152435" cy="152435"/>
            <wp:effectExtent l="0" t="0" r="0" b="0"/>
            <wp:docPr id="101029" name="Imagen 1010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xml:space="preserve"> </w:t>
      </w:r>
      <w:r>
        <w:rPr>
          <w:i/>
        </w:rPr>
        <w:t>Estado miembro</w:t>
      </w:r>
      <w:r>
        <w:t>: FR</w:t>
      </w:r>
    </w:p>
    <w:p w:rsidR="00786B3E" w:rsidRDefault="00786B3E" w:rsidP="00786B3E"/>
    <w:p w:rsidR="00786B3E" w:rsidRDefault="00786B3E" w:rsidP="00786B3E">
      <w:pPr>
        <w:pStyle w:val="P68B1DB1-Normal1"/>
      </w:pPr>
      <w:r>
        <w:br/>
      </w:r>
      <w:r w:rsidR="00377B57">
        <w:t>Pregunta</w:t>
      </w:r>
    </w:p>
    <w:p w:rsidR="00786B3E" w:rsidRDefault="00786B3E" w:rsidP="00786B3E">
      <w:r>
        <w:t xml:space="preserve">Nous </w:t>
      </w:r>
      <w:proofErr w:type="spellStart"/>
      <w:r>
        <w:t>avons</w:t>
      </w:r>
      <w:proofErr w:type="spellEnd"/>
      <w:r>
        <w:t xml:space="preserve"> une pregunta </w:t>
      </w:r>
      <w:proofErr w:type="spellStart"/>
      <w:r>
        <w:t>relative</w:t>
      </w:r>
      <w:proofErr w:type="spellEnd"/>
      <w:r>
        <w:t xml:space="preserve"> </w:t>
      </w:r>
      <w:proofErr w:type="spellStart"/>
      <w:r>
        <w:t>aux</w:t>
      </w:r>
      <w:proofErr w:type="spellEnd"/>
      <w:r>
        <w:t xml:space="preserve"> </w:t>
      </w:r>
      <w:proofErr w:type="spellStart"/>
      <w:r>
        <w:t>modalités</w:t>
      </w:r>
      <w:proofErr w:type="spellEnd"/>
      <w:r>
        <w:t xml:space="preserve"> de mise en place </w:t>
      </w:r>
      <w:proofErr w:type="spellStart"/>
      <w:r>
        <w:t>d’une</w:t>
      </w:r>
      <w:proofErr w:type="spellEnd"/>
      <w:r>
        <w:t xml:space="preserve"> mesure </w:t>
      </w:r>
      <w:proofErr w:type="spellStart"/>
      <w:r>
        <w:t>compensatrice</w:t>
      </w:r>
      <w:proofErr w:type="spellEnd"/>
      <w:r>
        <w:t xml:space="preserve"> de </w:t>
      </w:r>
      <w:proofErr w:type="spellStart"/>
      <w:r>
        <w:t>l’envoi</w:t>
      </w:r>
      <w:proofErr w:type="spellEnd"/>
      <w:r>
        <w:t xml:space="preserve"> en </w:t>
      </w:r>
      <w:proofErr w:type="spellStart"/>
      <w:r>
        <w:t>formation</w:t>
      </w:r>
      <w:proofErr w:type="spellEnd"/>
      <w:r>
        <w:t xml:space="preserve"> </w:t>
      </w:r>
      <w:proofErr w:type="spellStart"/>
      <w:r>
        <w:t>selon</w:t>
      </w:r>
      <w:proofErr w:type="spellEnd"/>
      <w:r>
        <w:t xml:space="preserve"> les </w:t>
      </w:r>
      <w:proofErr w:type="spellStart"/>
      <w:r>
        <w:t>modalités</w:t>
      </w:r>
      <w:proofErr w:type="spellEnd"/>
      <w:r>
        <w:t xml:space="preserve"> </w:t>
      </w:r>
      <w:proofErr w:type="spellStart"/>
      <w:r>
        <w:t>suivantes</w:t>
      </w:r>
      <w:proofErr w:type="spellEnd"/>
      <w:r>
        <w:t>:</w:t>
      </w:r>
      <w:r>
        <w:br/>
        <w:t xml:space="preserve">— Mesure au </w:t>
      </w:r>
      <w:proofErr w:type="spellStart"/>
      <w:r>
        <w:t>profit</w:t>
      </w:r>
      <w:proofErr w:type="spellEnd"/>
      <w:r>
        <w:t xml:space="preserve"> de </w:t>
      </w:r>
      <w:proofErr w:type="spellStart"/>
      <w:r>
        <w:t>l’armateur</w:t>
      </w:r>
      <w:proofErr w:type="spellEnd"/>
      <w:r>
        <w:t xml:space="preserve"> (trabajador por cuenta ajena);</w:t>
      </w:r>
      <w:r>
        <w:br/>
        <w:t xml:space="preserve">— </w:t>
      </w:r>
      <w:proofErr w:type="spellStart"/>
      <w:r>
        <w:t>Compenser</w:t>
      </w:r>
      <w:proofErr w:type="spellEnd"/>
      <w:r>
        <w:t xml:space="preserve"> le </w:t>
      </w:r>
      <w:proofErr w:type="spellStart"/>
      <w:r>
        <w:t>départ</w:t>
      </w:r>
      <w:proofErr w:type="spellEnd"/>
      <w:r>
        <w:t xml:space="preserve"> en </w:t>
      </w:r>
      <w:proofErr w:type="spellStart"/>
      <w:r>
        <w:t>formation</w:t>
      </w:r>
      <w:proofErr w:type="spellEnd"/>
      <w:r>
        <w:t xml:space="preserve"> </w:t>
      </w:r>
      <w:proofErr w:type="spellStart"/>
      <w:r>
        <w:t>d’un</w:t>
      </w:r>
      <w:proofErr w:type="spellEnd"/>
      <w:r>
        <w:t xml:space="preserve">/de </w:t>
      </w:r>
      <w:proofErr w:type="spellStart"/>
      <w:r>
        <w:t>plusieurs</w:t>
      </w:r>
      <w:proofErr w:type="spellEnd"/>
      <w:r>
        <w:t xml:space="preserve"> </w:t>
      </w:r>
      <w:proofErr w:type="spellStart"/>
      <w:r>
        <w:t>marins</w:t>
      </w:r>
      <w:proofErr w:type="spellEnd"/>
      <w:r>
        <w:t>;</w:t>
      </w:r>
      <w:r>
        <w:br/>
        <w:t xml:space="preserve">— Par le financement </w:t>
      </w:r>
      <w:proofErr w:type="spellStart"/>
      <w:r>
        <w:t>d’un</w:t>
      </w:r>
      <w:proofErr w:type="spellEnd"/>
      <w:r>
        <w:t xml:space="preserve"> </w:t>
      </w:r>
      <w:proofErr w:type="spellStart"/>
      <w:r>
        <w:t>revenu</w:t>
      </w:r>
      <w:proofErr w:type="spellEnd"/>
      <w:r>
        <w:t xml:space="preserve"> de </w:t>
      </w:r>
      <w:proofErr w:type="spellStart"/>
      <w:r>
        <w:t>remplacement</w:t>
      </w:r>
      <w:proofErr w:type="spellEnd"/>
      <w:r>
        <w:t xml:space="preserve"> lui </w:t>
      </w:r>
      <w:proofErr w:type="spellStart"/>
      <w:r>
        <w:t>permettant</w:t>
      </w:r>
      <w:proofErr w:type="spellEnd"/>
      <w:r>
        <w:t xml:space="preserve"> </w:t>
      </w:r>
      <w:proofErr w:type="spellStart"/>
      <w:r>
        <w:t>d’enterprise</w:t>
      </w:r>
      <w:proofErr w:type="spellEnd"/>
      <w:r>
        <w:t xml:space="preserve">, le </w:t>
      </w:r>
      <w:proofErr w:type="spellStart"/>
      <w:r>
        <w:lastRenderedPageBreak/>
        <w:t>temps</w:t>
      </w:r>
      <w:proofErr w:type="spellEnd"/>
      <w:r>
        <w:t xml:space="preserve"> de la </w:t>
      </w:r>
      <w:proofErr w:type="spellStart"/>
      <w:r>
        <w:t>formation</w:t>
      </w:r>
      <w:proofErr w:type="spellEnd"/>
      <w:r>
        <w:t xml:space="preserve">, d’autres </w:t>
      </w:r>
      <w:proofErr w:type="spellStart"/>
      <w:r>
        <w:t>marins</w:t>
      </w:r>
      <w:proofErr w:type="spellEnd"/>
      <w:r>
        <w:t xml:space="preserve"> à </w:t>
      </w:r>
      <w:proofErr w:type="spellStart"/>
      <w:r>
        <w:t>bord</w:t>
      </w:r>
      <w:proofErr w:type="spellEnd"/>
      <w:r>
        <w:t xml:space="preserve"> pour une </w:t>
      </w:r>
      <w:proofErr w:type="spellStart"/>
      <w:r>
        <w:t>durée</w:t>
      </w:r>
      <w:proofErr w:type="spellEnd"/>
      <w:r>
        <w:t xml:space="preserve"> </w:t>
      </w:r>
      <w:proofErr w:type="spellStart"/>
      <w:r>
        <w:t>déterminée</w:t>
      </w:r>
      <w:proofErr w:type="spellEnd"/>
      <w:r>
        <w:t>.</w:t>
      </w:r>
      <w:r>
        <w:br/>
      </w:r>
      <w:r>
        <w:br/>
        <w:t xml:space="preserve">Une </w:t>
      </w:r>
      <w:proofErr w:type="spellStart"/>
      <w:r>
        <w:t>telle</w:t>
      </w:r>
      <w:proofErr w:type="spellEnd"/>
      <w:r>
        <w:t xml:space="preserve"> mesure peut-elle </w:t>
      </w:r>
      <w:proofErr w:type="spellStart"/>
      <w:r>
        <w:t>être</w:t>
      </w:r>
      <w:proofErr w:type="spellEnd"/>
      <w:r>
        <w:t xml:space="preserve"> compatible avec la </w:t>
      </w:r>
      <w:proofErr w:type="spellStart"/>
      <w:r>
        <w:t>règlementation</w:t>
      </w:r>
      <w:proofErr w:type="spellEnd"/>
      <w:r>
        <w:t xml:space="preserve"> FEAMPA et le RPDC et les </w:t>
      </w:r>
      <w:proofErr w:type="spellStart"/>
      <w:r>
        <w:t>prescriptions</w:t>
      </w:r>
      <w:proofErr w:type="spellEnd"/>
      <w:r>
        <w:t xml:space="preserve"> en </w:t>
      </w:r>
      <w:proofErr w:type="spellStart"/>
      <w:r>
        <w:t>matière</w:t>
      </w:r>
      <w:proofErr w:type="spellEnd"/>
      <w:r>
        <w:t xml:space="preserve"> </w:t>
      </w:r>
      <w:proofErr w:type="spellStart"/>
      <w:r>
        <w:t>d’aides</w:t>
      </w:r>
      <w:proofErr w:type="spellEnd"/>
      <w:r>
        <w:t xml:space="preserve"> </w:t>
      </w:r>
      <w:proofErr w:type="spellStart"/>
      <w:r>
        <w:t>d’État</w:t>
      </w:r>
      <w:proofErr w:type="spellEnd"/>
      <w:r>
        <w:t xml:space="preserve"> et plus </w:t>
      </w:r>
      <w:proofErr w:type="spellStart"/>
      <w:r>
        <w:t>généralement</w:t>
      </w:r>
      <w:proofErr w:type="spellEnd"/>
      <w:r>
        <w:t xml:space="preserve"> au </w:t>
      </w:r>
      <w:proofErr w:type="spellStart"/>
      <w:r>
        <w:t>regard</w:t>
      </w:r>
      <w:proofErr w:type="spellEnd"/>
      <w:r>
        <w:t xml:space="preserve"> des </w:t>
      </w:r>
      <w:proofErr w:type="spellStart"/>
      <w:r>
        <w:t>exior</w:t>
      </w:r>
      <w:proofErr w:type="spellEnd"/>
      <w:r>
        <w:t xml:space="preserve"> du </w:t>
      </w:r>
      <w:proofErr w:type="spellStart"/>
      <w:r>
        <w:t>droit</w:t>
      </w:r>
      <w:proofErr w:type="spellEnd"/>
      <w:r>
        <w:t xml:space="preserve"> </w:t>
      </w:r>
      <w:proofErr w:type="spellStart"/>
      <w:r>
        <w:t>communautaire</w:t>
      </w:r>
      <w:proofErr w:type="spellEnd"/>
      <w:r>
        <w:t>?</w:t>
      </w:r>
    </w:p>
    <w:p w:rsidR="00786B3E" w:rsidRDefault="00786B3E" w:rsidP="00786B3E"/>
    <w:p w:rsidR="00786B3E" w:rsidRDefault="00786B3E" w:rsidP="00786B3E">
      <w:pPr>
        <w:pStyle w:val="P68B1DB1-Normal1"/>
      </w:pPr>
      <w:r>
        <w:t>Respuesta.</w:t>
      </w:r>
    </w:p>
    <w:p w:rsidR="00786B3E" w:rsidRDefault="00786B3E" w:rsidP="00786B3E">
      <w:r>
        <w:t xml:space="preserve">La </w:t>
      </w:r>
      <w:proofErr w:type="spellStart"/>
      <w:r>
        <w:t>contribution</w:t>
      </w:r>
      <w:proofErr w:type="spellEnd"/>
      <w:r>
        <w:t xml:space="preserve"> du FEAMPA au capital </w:t>
      </w:r>
      <w:proofErr w:type="spellStart"/>
      <w:r>
        <w:t>humain</w:t>
      </w:r>
      <w:proofErr w:type="spellEnd"/>
      <w:r>
        <w:t xml:space="preserve"> et </w:t>
      </w:r>
      <w:proofErr w:type="spellStart"/>
      <w:r>
        <w:t>notamment</w:t>
      </w:r>
      <w:proofErr w:type="spellEnd"/>
      <w:r>
        <w:t xml:space="preserve"> à la </w:t>
      </w:r>
      <w:proofErr w:type="spellStart"/>
      <w:r>
        <w:t>formation</w:t>
      </w:r>
      <w:proofErr w:type="spellEnd"/>
      <w:r>
        <w:t xml:space="preserve"> </w:t>
      </w:r>
      <w:proofErr w:type="spellStart"/>
      <w:r>
        <w:t>professionnelle</w:t>
      </w:r>
      <w:proofErr w:type="spellEnd"/>
      <w:r>
        <w:t xml:space="preserve"> est </w:t>
      </w:r>
      <w:proofErr w:type="spellStart"/>
      <w:r>
        <w:t>asserée</w:t>
      </w:r>
      <w:proofErr w:type="spellEnd"/>
      <w:r>
        <w:t xml:space="preserve"> au </w:t>
      </w:r>
      <w:proofErr w:type="spellStart"/>
      <w:r>
        <w:t>considérant</w:t>
      </w:r>
      <w:proofErr w:type="spellEnd"/>
      <w:r>
        <w:t xml:space="preserve"> 25 du </w:t>
      </w:r>
      <w:proofErr w:type="spellStart"/>
      <w:r>
        <w:t>Règlement</w:t>
      </w:r>
      <w:proofErr w:type="spellEnd"/>
      <w:r>
        <w:t xml:space="preserve">. Par </w:t>
      </w:r>
      <w:proofErr w:type="spellStart"/>
      <w:r>
        <w:t>ailleurs</w:t>
      </w:r>
      <w:proofErr w:type="spellEnd"/>
      <w:r>
        <w:t xml:space="preserve">, </w:t>
      </w:r>
      <w:r w:rsidR="007378C4">
        <w:t>l’article</w:t>
      </w:r>
      <w:r>
        <w:t xml:space="preserve"> 13 qui </w:t>
      </w:r>
      <w:proofErr w:type="spellStart"/>
      <w:r>
        <w:t>contient</w:t>
      </w:r>
      <w:proofErr w:type="spellEnd"/>
      <w:r>
        <w:t xml:space="preserve"> une liste </w:t>
      </w:r>
      <w:proofErr w:type="spellStart"/>
      <w:r>
        <w:t>limitative</w:t>
      </w:r>
      <w:proofErr w:type="spellEnd"/>
      <w:r>
        <w:t xml:space="preserve"> des mesures </w:t>
      </w:r>
      <w:proofErr w:type="spellStart"/>
      <w:r>
        <w:t>inéligibles</w:t>
      </w:r>
      <w:proofErr w:type="spellEnd"/>
      <w:r>
        <w:t xml:space="preserve"> </w:t>
      </w:r>
      <w:proofErr w:type="spellStart"/>
      <w:r>
        <w:t>n’interdit</w:t>
      </w:r>
      <w:proofErr w:type="spellEnd"/>
      <w:r>
        <w:t xml:space="preserve"> pas le </w:t>
      </w:r>
      <w:proofErr w:type="spellStart"/>
      <w:r>
        <w:t>soutien</w:t>
      </w:r>
      <w:proofErr w:type="spellEnd"/>
      <w:r>
        <w:t xml:space="preserve"> </w:t>
      </w:r>
      <w:proofErr w:type="spellStart"/>
      <w:r>
        <w:t>aux</w:t>
      </w:r>
      <w:proofErr w:type="spellEnd"/>
      <w:r>
        <w:t xml:space="preserve"> </w:t>
      </w:r>
      <w:proofErr w:type="spellStart"/>
      <w:r>
        <w:t>formations</w:t>
      </w:r>
      <w:proofErr w:type="spellEnd"/>
      <w:r>
        <w:t>.</w:t>
      </w:r>
    </w:p>
    <w:p w:rsidR="00786B3E" w:rsidRDefault="00786B3E" w:rsidP="00786B3E">
      <w:r>
        <w:t xml:space="preserve">Toutefois, </w:t>
      </w:r>
      <w:r w:rsidR="007378C4">
        <w:t>l’article</w:t>
      </w:r>
      <w:r>
        <w:t xml:space="preserve"> 12 du </w:t>
      </w:r>
      <w:proofErr w:type="spellStart"/>
      <w:r>
        <w:t>Règlement</w:t>
      </w:r>
      <w:proofErr w:type="spellEnd"/>
      <w:r>
        <w:t xml:space="preserve"> FEAMPA </w:t>
      </w:r>
      <w:proofErr w:type="spellStart"/>
      <w:r>
        <w:t>spécifie</w:t>
      </w:r>
      <w:proofErr w:type="spellEnd"/>
      <w:r>
        <w:t xml:space="preserve"> que </w:t>
      </w:r>
      <w:proofErr w:type="spellStart"/>
      <w:r>
        <w:t>l’utilisation</w:t>
      </w:r>
      <w:proofErr w:type="spellEnd"/>
      <w:r>
        <w:t xml:space="preserve"> du </w:t>
      </w:r>
      <w:proofErr w:type="spellStart"/>
      <w:r>
        <w:t>fonds</w:t>
      </w:r>
      <w:proofErr w:type="spellEnd"/>
      <w:r>
        <w:t xml:space="preserve"> est </w:t>
      </w:r>
      <w:proofErr w:type="spellStart"/>
      <w:r>
        <w:t>limitée</w:t>
      </w:r>
      <w:proofErr w:type="spellEnd"/>
      <w:r>
        <w:t xml:space="preserve"> à la </w:t>
      </w:r>
      <w:proofErr w:type="spellStart"/>
      <w:r>
        <w:t>poursuite</w:t>
      </w:r>
      <w:proofErr w:type="spellEnd"/>
      <w:r>
        <w:t xml:space="preserve"> des </w:t>
      </w:r>
      <w:proofErr w:type="spellStart"/>
      <w:r>
        <w:t>priorités</w:t>
      </w:r>
      <w:proofErr w:type="spellEnd"/>
      <w:r>
        <w:t xml:space="preserve"> et </w:t>
      </w:r>
      <w:proofErr w:type="spellStart"/>
      <w:r>
        <w:t>objectifs</w:t>
      </w:r>
      <w:proofErr w:type="spellEnd"/>
      <w:r>
        <w:t xml:space="preserve"> de ce même </w:t>
      </w:r>
      <w:proofErr w:type="spellStart"/>
      <w:r>
        <w:t>fonds</w:t>
      </w:r>
      <w:proofErr w:type="spellEnd"/>
      <w:r>
        <w:t>.</w:t>
      </w:r>
    </w:p>
    <w:p w:rsidR="00786B3E" w:rsidRDefault="00786B3E" w:rsidP="00786B3E">
      <w:r>
        <w:t xml:space="preserve">IL </w:t>
      </w:r>
      <w:proofErr w:type="spellStart"/>
      <w:r>
        <w:t>résulte</w:t>
      </w:r>
      <w:proofErr w:type="spellEnd"/>
      <w:r>
        <w:t xml:space="preserve"> des </w:t>
      </w:r>
      <w:proofErr w:type="spellStart"/>
      <w:r>
        <w:t>règles</w:t>
      </w:r>
      <w:proofErr w:type="spellEnd"/>
      <w:r>
        <w:t xml:space="preserve"> </w:t>
      </w:r>
      <w:proofErr w:type="spellStart"/>
      <w:r>
        <w:t>précitées</w:t>
      </w:r>
      <w:proofErr w:type="spellEnd"/>
      <w:r>
        <w:t xml:space="preserve"> que s’ </w:t>
      </w:r>
      <w:proofErr w:type="spellStart"/>
      <w:r>
        <w:t>il</w:t>
      </w:r>
      <w:proofErr w:type="spellEnd"/>
      <w:r>
        <w:t xml:space="preserve"> possible </w:t>
      </w:r>
      <w:proofErr w:type="spellStart"/>
      <w:r>
        <w:t>d’utiliser</w:t>
      </w:r>
      <w:proofErr w:type="spellEnd"/>
      <w:r>
        <w:t xml:space="preserve"> le FEAMPA pour </w:t>
      </w:r>
      <w:proofErr w:type="spellStart"/>
      <w:r>
        <w:t>aider</w:t>
      </w:r>
      <w:proofErr w:type="spellEnd"/>
      <w:r>
        <w:t xml:space="preserve"> un </w:t>
      </w:r>
      <w:proofErr w:type="spellStart"/>
      <w:r>
        <w:t>emplour</w:t>
      </w:r>
      <w:proofErr w:type="spellEnd"/>
      <w:r>
        <w:t xml:space="preserve"> à subvenir au </w:t>
      </w:r>
      <w:proofErr w:type="spellStart"/>
      <w:r>
        <w:t>coНt</w:t>
      </w:r>
      <w:proofErr w:type="spellEnd"/>
      <w:r>
        <w:t xml:space="preserve"> </w:t>
      </w:r>
      <w:proofErr w:type="spellStart"/>
      <w:r>
        <w:t>d’une</w:t>
      </w:r>
      <w:proofErr w:type="spellEnd"/>
      <w:r>
        <w:t xml:space="preserve"> </w:t>
      </w:r>
      <w:proofErr w:type="spellStart"/>
      <w:r>
        <w:t>formation</w:t>
      </w:r>
      <w:proofErr w:type="spellEnd"/>
      <w:r>
        <w:t xml:space="preserve"> </w:t>
      </w:r>
      <w:proofErr w:type="spellStart"/>
      <w:r>
        <w:t>qu</w:t>
      </w:r>
      <w:proofErr w:type="spellEnd"/>
      <w:r>
        <w:t xml:space="preserve">’ </w:t>
      </w:r>
      <w:proofErr w:type="spellStart"/>
      <w:r>
        <w:t>il</w:t>
      </w:r>
      <w:proofErr w:type="spellEnd"/>
      <w:r>
        <w:t xml:space="preserve"> </w:t>
      </w:r>
      <w:proofErr w:type="spellStart"/>
      <w:r>
        <w:t>afite</w:t>
      </w:r>
      <w:proofErr w:type="spellEnd"/>
      <w:r>
        <w:t xml:space="preserve"> pour lui-même ou </w:t>
      </w:r>
      <w:proofErr w:type="spellStart"/>
      <w:r>
        <w:t>ses</w:t>
      </w:r>
      <w:proofErr w:type="spellEnd"/>
      <w:r>
        <w:t xml:space="preserve"> </w:t>
      </w:r>
      <w:proofErr w:type="spellStart"/>
      <w:r>
        <w:t>Emploés</w:t>
      </w:r>
      <w:proofErr w:type="spellEnd"/>
      <w:r>
        <w:t xml:space="preserve">, </w:t>
      </w:r>
      <w:proofErr w:type="spellStart"/>
      <w:r>
        <w:t>il</w:t>
      </w:r>
      <w:proofErr w:type="spellEnd"/>
      <w:r>
        <w:t xml:space="preserve"> n’est pas possible de </w:t>
      </w:r>
      <w:proofErr w:type="spellStart"/>
      <w:r>
        <w:t>l’aider</w:t>
      </w:r>
      <w:proofErr w:type="spellEnd"/>
      <w:r>
        <w:t xml:space="preserve"> </w:t>
      </w:r>
      <w:proofErr w:type="spellStart"/>
      <w:r>
        <w:t>financièrement</w:t>
      </w:r>
      <w:proofErr w:type="spellEnd"/>
      <w:r>
        <w:t xml:space="preserve">, au </w:t>
      </w:r>
      <w:proofErr w:type="spellStart"/>
      <w:r>
        <w:t>titre</w:t>
      </w:r>
      <w:proofErr w:type="spellEnd"/>
      <w:r>
        <w:t xml:space="preserve"> du FEAMPA, pour </w:t>
      </w:r>
      <w:proofErr w:type="spellStart"/>
      <w:r>
        <w:t>compenser</w:t>
      </w:r>
      <w:proofErr w:type="spellEnd"/>
      <w:r>
        <w:t xml:space="preserve"> des </w:t>
      </w:r>
      <w:proofErr w:type="spellStart"/>
      <w:r>
        <w:t>pertes</w:t>
      </w:r>
      <w:proofErr w:type="spellEnd"/>
      <w:r>
        <w:t xml:space="preserve"> </w:t>
      </w:r>
      <w:proofErr w:type="spellStart"/>
      <w:r>
        <w:t>causées</w:t>
      </w:r>
      <w:proofErr w:type="spellEnd"/>
      <w:r>
        <w:t xml:space="preserve"> par </w:t>
      </w:r>
      <w:proofErr w:type="spellStart"/>
      <w:r>
        <w:t>l’absence</w:t>
      </w:r>
      <w:proofErr w:type="spellEnd"/>
      <w:r>
        <w:t xml:space="preserve"> de </w:t>
      </w:r>
      <w:proofErr w:type="spellStart"/>
      <w:r>
        <w:t>ses</w:t>
      </w:r>
      <w:proofErr w:type="spellEnd"/>
      <w:r>
        <w:t xml:space="preserve"> </w:t>
      </w:r>
      <w:proofErr w:type="spellStart"/>
      <w:r>
        <w:t>Emploés</w:t>
      </w:r>
      <w:proofErr w:type="spellEnd"/>
      <w:r>
        <w:t xml:space="preserve"> </w:t>
      </w:r>
      <w:proofErr w:type="spellStart"/>
      <w:r>
        <w:t>fussent-ils</w:t>
      </w:r>
      <w:proofErr w:type="spellEnd"/>
      <w:r>
        <w:t xml:space="preserve"> en formación. CE </w:t>
      </w:r>
      <w:proofErr w:type="spellStart"/>
      <w:r>
        <w:t>dernier</w:t>
      </w:r>
      <w:proofErr w:type="spellEnd"/>
      <w:r>
        <w:t xml:space="preserve"> cas qui </w:t>
      </w:r>
      <w:proofErr w:type="spellStart"/>
      <w:r>
        <w:t>constitue</w:t>
      </w:r>
      <w:proofErr w:type="spellEnd"/>
      <w:r>
        <w:t xml:space="preserve"> une </w:t>
      </w:r>
      <w:proofErr w:type="spellStart"/>
      <w:r>
        <w:t>aide</w:t>
      </w:r>
      <w:proofErr w:type="spellEnd"/>
      <w:r>
        <w:t xml:space="preserve"> </w:t>
      </w:r>
      <w:proofErr w:type="spellStart"/>
      <w:r>
        <w:t>économique</w:t>
      </w:r>
      <w:proofErr w:type="spellEnd"/>
      <w:r>
        <w:t xml:space="preserve"> pour manque de staff est en </w:t>
      </w:r>
      <w:proofErr w:type="spellStart"/>
      <w:r>
        <w:t>effet</w:t>
      </w:r>
      <w:proofErr w:type="spellEnd"/>
      <w:r>
        <w:t xml:space="preserve"> </w:t>
      </w:r>
      <w:proofErr w:type="spellStart"/>
      <w:r>
        <w:t>trop</w:t>
      </w:r>
      <w:proofErr w:type="spellEnd"/>
      <w:r>
        <w:t xml:space="preserve"> </w:t>
      </w:r>
      <w:proofErr w:type="spellStart"/>
      <w:r>
        <w:t>éloigné</w:t>
      </w:r>
      <w:proofErr w:type="spellEnd"/>
      <w:r>
        <w:t xml:space="preserve"> des </w:t>
      </w:r>
      <w:proofErr w:type="spellStart"/>
      <w:r>
        <w:t>objectifs</w:t>
      </w:r>
      <w:proofErr w:type="spellEnd"/>
      <w:r>
        <w:t xml:space="preserve"> du FEAMPA.</w:t>
      </w:r>
    </w:p>
    <w:p w:rsidR="00786B3E" w:rsidRDefault="00786B3E" w:rsidP="00786B3E">
      <w:r>
        <w:t xml:space="preserve">Pour </w:t>
      </w:r>
      <w:proofErr w:type="spellStart"/>
      <w:r>
        <w:t>toute</w:t>
      </w:r>
      <w:proofErr w:type="spellEnd"/>
      <w:r>
        <w:t xml:space="preserve"> questions </w:t>
      </w:r>
      <w:proofErr w:type="spellStart"/>
      <w:r>
        <w:t>relative</w:t>
      </w:r>
      <w:proofErr w:type="spellEnd"/>
      <w:r>
        <w:t xml:space="preserve"> à </w:t>
      </w:r>
      <w:proofErr w:type="spellStart"/>
      <w:r>
        <w:t>l’interprétation</w:t>
      </w:r>
      <w:proofErr w:type="spellEnd"/>
      <w:r>
        <w:t xml:space="preserve"> des </w:t>
      </w:r>
      <w:proofErr w:type="spellStart"/>
      <w:r>
        <w:t>règles</w:t>
      </w:r>
      <w:proofErr w:type="spellEnd"/>
      <w:r>
        <w:t xml:space="preserve"> sur les </w:t>
      </w:r>
      <w:proofErr w:type="spellStart"/>
      <w:r>
        <w:t>Aides</w:t>
      </w:r>
      <w:proofErr w:type="spellEnd"/>
      <w:r>
        <w:t xml:space="preserve"> </w:t>
      </w:r>
      <w:proofErr w:type="spellStart"/>
      <w:r>
        <w:t>d’État</w:t>
      </w:r>
      <w:proofErr w:type="spellEnd"/>
      <w:r>
        <w:t xml:space="preserve">, nous </w:t>
      </w:r>
      <w:proofErr w:type="spellStart"/>
      <w:r>
        <w:t>vous</w:t>
      </w:r>
      <w:proofErr w:type="spellEnd"/>
      <w:r>
        <w:t xml:space="preserve"> </w:t>
      </w:r>
      <w:proofErr w:type="spellStart"/>
      <w:r>
        <w:t>vous</w:t>
      </w:r>
      <w:proofErr w:type="spellEnd"/>
      <w:r>
        <w:t xml:space="preserve"> </w:t>
      </w:r>
      <w:proofErr w:type="spellStart"/>
      <w:r>
        <w:t>invitons</w:t>
      </w:r>
      <w:proofErr w:type="spellEnd"/>
      <w:r>
        <w:t xml:space="preserve"> à prendre </w:t>
      </w:r>
      <w:proofErr w:type="spellStart"/>
      <w:r>
        <w:t>l’atthe</w:t>
      </w:r>
      <w:proofErr w:type="spellEnd"/>
      <w:r>
        <w:t xml:space="preserve"> de la DG </w:t>
      </w:r>
      <w:proofErr w:type="spellStart"/>
      <w:r>
        <w:t>Concurrence</w:t>
      </w:r>
      <w:proofErr w:type="spellEnd"/>
      <w:r>
        <w:t xml:space="preserve"> (M. </w:t>
      </w:r>
      <w:proofErr w:type="spellStart"/>
      <w:r>
        <w:t>Gereon</w:t>
      </w:r>
      <w:proofErr w:type="spellEnd"/>
      <w:r>
        <w:t xml:space="preserve"> </w:t>
      </w:r>
      <w:proofErr w:type="spellStart"/>
      <w:r>
        <w:t>Thiele</w:t>
      </w:r>
      <w:proofErr w:type="spellEnd"/>
      <w:r>
        <w:t xml:space="preserve">, Chef </w:t>
      </w:r>
      <w:proofErr w:type="spellStart"/>
      <w:r>
        <w:t>d’unité</w:t>
      </w:r>
      <w:proofErr w:type="spellEnd"/>
      <w:r>
        <w:t xml:space="preserve"> H6).</w:t>
      </w:r>
    </w:p>
    <w:p w:rsidR="00786B3E" w:rsidRDefault="00786B3E" w:rsidP="00786B3E"/>
    <w:p w:rsidR="00786B3E" w:rsidRDefault="00786B3E" w:rsidP="00786B3E">
      <w:pPr>
        <w:pStyle w:val="P68B1DB1-Normal1"/>
      </w:pPr>
      <w:r>
        <w:t>NOTA:</w:t>
      </w:r>
    </w:p>
    <w:p w:rsidR="00786B3E" w:rsidRDefault="00786B3E" w:rsidP="00786B3E">
      <w:pPr>
        <w:pStyle w:val="P68B1DB1-Normal4"/>
      </w:pPr>
      <w:r>
        <w:t xml:space="preserve">Conformément à </w:t>
      </w:r>
      <w:r w:rsidR="007378C4">
        <w:t>l’article</w:t>
      </w:r>
      <w:r>
        <w:t xml:space="preserve"> 63, </w:t>
      </w:r>
      <w:proofErr w:type="spellStart"/>
      <w:r>
        <w:t>paragraphe</w:t>
      </w:r>
      <w:proofErr w:type="spellEnd"/>
      <w:r>
        <w:t xml:space="preserve"> 1, du </w:t>
      </w:r>
      <w:proofErr w:type="spellStart"/>
      <w:r>
        <w:t>règlement</w:t>
      </w:r>
      <w:proofErr w:type="spellEnd"/>
      <w:r>
        <w:t xml:space="preserve"> (UE) 2021/1060 (le </w:t>
      </w:r>
      <w:proofErr w:type="spellStart"/>
      <w:r>
        <w:t>règlement</w:t>
      </w:r>
      <w:proofErr w:type="spellEnd"/>
      <w:r>
        <w:t xml:space="preserve"> portant </w:t>
      </w:r>
      <w:proofErr w:type="spellStart"/>
      <w:r>
        <w:t>dispositions</w:t>
      </w:r>
      <w:proofErr w:type="spellEnd"/>
      <w:r>
        <w:t xml:space="preserve"> </w:t>
      </w:r>
      <w:proofErr w:type="spellStart"/>
      <w:r>
        <w:t>communes</w:t>
      </w:r>
      <w:proofErr w:type="spellEnd"/>
      <w:r>
        <w:t xml:space="preserve">), l’éligibilité des dépenses est </w:t>
      </w:r>
      <w:proofErr w:type="spellStart"/>
      <w:r>
        <w:t>déterminée</w:t>
      </w:r>
      <w:proofErr w:type="spellEnd"/>
      <w:r>
        <w:t xml:space="preserve"> sur la base de </w:t>
      </w:r>
      <w:proofErr w:type="spellStart"/>
      <w:r>
        <w:t>règles</w:t>
      </w:r>
      <w:proofErr w:type="spellEnd"/>
      <w:r>
        <w:t xml:space="preserve"> </w:t>
      </w:r>
      <w:proofErr w:type="spellStart"/>
      <w:r>
        <w:t>nationales</w:t>
      </w:r>
      <w:proofErr w:type="spellEnd"/>
      <w:r>
        <w:t xml:space="preserve">, </w:t>
      </w:r>
      <w:proofErr w:type="spellStart"/>
      <w:r>
        <w:t>sauf</w:t>
      </w:r>
      <w:proofErr w:type="spellEnd"/>
      <w:r>
        <w:t xml:space="preserve"> </w:t>
      </w:r>
      <w:proofErr w:type="spellStart"/>
      <w:r>
        <w:t>lorsque</w:t>
      </w:r>
      <w:proofErr w:type="spellEnd"/>
      <w:r>
        <w:t xml:space="preserve"> des </w:t>
      </w:r>
      <w:proofErr w:type="spellStart"/>
      <w:r>
        <w:t>règles</w:t>
      </w:r>
      <w:proofErr w:type="spellEnd"/>
      <w:r>
        <w:t xml:space="preserve"> </w:t>
      </w:r>
      <w:proofErr w:type="spellStart"/>
      <w:r>
        <w:t>spécifiques</w:t>
      </w:r>
      <w:proofErr w:type="spellEnd"/>
      <w:r>
        <w:t xml:space="preserve"> sont </w:t>
      </w:r>
      <w:proofErr w:type="spellStart"/>
      <w:r>
        <w:t>fixées</w:t>
      </w:r>
      <w:proofErr w:type="spellEnd"/>
      <w:r>
        <w:t xml:space="preserve"> dans le </w:t>
      </w:r>
      <w:proofErr w:type="spellStart"/>
      <w:r>
        <w:t>règlement</w:t>
      </w:r>
      <w:proofErr w:type="spellEnd"/>
      <w:r>
        <w:t xml:space="preserve"> portant </w:t>
      </w:r>
      <w:proofErr w:type="spellStart"/>
      <w:r>
        <w:t>dispositions</w:t>
      </w:r>
      <w:proofErr w:type="spellEnd"/>
      <w:r>
        <w:t xml:space="preserve"> </w:t>
      </w:r>
      <w:proofErr w:type="spellStart"/>
      <w:r>
        <w:t>communes</w:t>
      </w:r>
      <w:proofErr w:type="spellEnd"/>
      <w:r>
        <w:t xml:space="preserve"> ou dans les </w:t>
      </w:r>
      <w:proofErr w:type="spellStart"/>
      <w:r>
        <w:t>Règlements</w:t>
      </w:r>
      <w:proofErr w:type="spellEnd"/>
      <w:r>
        <w:t xml:space="preserve"> </w:t>
      </w:r>
      <w:proofErr w:type="spellStart"/>
      <w:r>
        <w:t>spécifiques</w:t>
      </w:r>
      <w:proofErr w:type="spellEnd"/>
      <w:r>
        <w:t xml:space="preserve"> au Fonds.</w:t>
      </w:r>
    </w:p>
    <w:p w:rsidR="00786B3E" w:rsidRDefault="00786B3E" w:rsidP="00786B3E">
      <w:pPr>
        <w:pStyle w:val="P68B1DB1-Normal4"/>
      </w:pPr>
      <w:r>
        <w:t xml:space="preserve">Conformément à </w:t>
      </w:r>
      <w:r w:rsidR="007378C4">
        <w:t>l’article</w:t>
      </w:r>
      <w:r>
        <w:t xml:space="preserve"> 12 du </w:t>
      </w:r>
      <w:proofErr w:type="spellStart"/>
      <w:r>
        <w:t>règlement</w:t>
      </w:r>
      <w:proofErr w:type="spellEnd"/>
      <w:r>
        <w:t xml:space="preserve"> (UE) 2021/1139 (le </w:t>
      </w:r>
      <w:proofErr w:type="spellStart"/>
      <w:r>
        <w:t>règlement</w:t>
      </w:r>
      <w:proofErr w:type="spellEnd"/>
      <w:r>
        <w:t xml:space="preserve"> FEAMPA), les </w:t>
      </w:r>
      <w:proofErr w:type="spellStart"/>
      <w:r>
        <w:t>opérations</w:t>
      </w:r>
      <w:proofErr w:type="spellEnd"/>
      <w:r>
        <w:t xml:space="preserve"> </w:t>
      </w:r>
      <w:proofErr w:type="spellStart"/>
      <w:r>
        <w:t>sélectionnées</w:t>
      </w:r>
      <w:proofErr w:type="spellEnd"/>
      <w:r>
        <w:t xml:space="preserve"> par les </w:t>
      </w:r>
      <w:proofErr w:type="spellStart"/>
      <w:r>
        <w:t>États</w:t>
      </w:r>
      <w:proofErr w:type="spellEnd"/>
      <w:r>
        <w:t xml:space="preserve"> </w:t>
      </w:r>
      <w:proofErr w:type="spellStart"/>
      <w:r>
        <w:t>membres</w:t>
      </w:r>
      <w:proofErr w:type="spellEnd"/>
      <w:r>
        <w:t xml:space="preserve"> </w:t>
      </w:r>
      <w:proofErr w:type="spellStart"/>
      <w:r>
        <w:t>doivent</w:t>
      </w:r>
      <w:proofErr w:type="spellEnd"/>
      <w:r>
        <w:t xml:space="preserve"> </w:t>
      </w:r>
      <w:proofErr w:type="spellStart"/>
      <w:r>
        <w:t>relever</w:t>
      </w:r>
      <w:proofErr w:type="spellEnd"/>
      <w:r>
        <w:t xml:space="preserve"> du </w:t>
      </w:r>
      <w:proofErr w:type="spellStart"/>
      <w:r>
        <w:t>champ</w:t>
      </w:r>
      <w:proofErr w:type="spellEnd"/>
      <w:r>
        <w:t xml:space="preserve"> </w:t>
      </w:r>
      <w:proofErr w:type="spellStart"/>
      <w:r>
        <w:t>d’application</w:t>
      </w:r>
      <w:proofErr w:type="spellEnd"/>
      <w:r>
        <w:t xml:space="preserve"> des </w:t>
      </w:r>
      <w:proofErr w:type="spellStart"/>
      <w:r>
        <w:t>priorités</w:t>
      </w:r>
      <w:proofErr w:type="spellEnd"/>
      <w:r>
        <w:t xml:space="preserve"> et des </w:t>
      </w:r>
      <w:proofErr w:type="spellStart"/>
      <w:r>
        <w:t>objetifs</w:t>
      </w:r>
      <w:proofErr w:type="spellEnd"/>
      <w:r>
        <w:t xml:space="preserve"> </w:t>
      </w:r>
      <w:proofErr w:type="spellStart"/>
      <w:r>
        <w:t>spécifiques</w:t>
      </w:r>
      <w:proofErr w:type="spellEnd"/>
      <w:r>
        <w:t xml:space="preserve"> </w:t>
      </w:r>
      <w:proofErr w:type="spellStart"/>
      <w:r>
        <w:t>énoncés</w:t>
      </w:r>
      <w:proofErr w:type="spellEnd"/>
      <w:r>
        <w:t xml:space="preserve"> à </w:t>
      </w:r>
      <w:r w:rsidR="007378C4">
        <w:t>l’article</w:t>
      </w:r>
      <w:r>
        <w:t xml:space="preserve"> 8, </w:t>
      </w:r>
      <w:proofErr w:type="spellStart"/>
      <w:r>
        <w:t>apdoivent</w:t>
      </w:r>
      <w:proofErr w:type="spellEnd"/>
      <w:r>
        <w:t xml:space="preserve"> pas </w:t>
      </w:r>
      <w:proofErr w:type="spellStart"/>
      <w:r>
        <w:t>être</w:t>
      </w:r>
      <w:proofErr w:type="spellEnd"/>
      <w:r>
        <w:t xml:space="preserve"> </w:t>
      </w:r>
      <w:proofErr w:type="spellStart"/>
      <w:r>
        <w:t>inéligibles</w:t>
      </w:r>
      <w:proofErr w:type="spellEnd"/>
      <w:r>
        <w:t xml:space="preserve"> en </w:t>
      </w:r>
      <w:proofErr w:type="spellStart"/>
      <w:r>
        <w:t>vertu</w:t>
      </w:r>
      <w:proofErr w:type="spellEnd"/>
      <w:r>
        <w:t xml:space="preserve"> de </w:t>
      </w:r>
      <w:r w:rsidR="007378C4">
        <w:t>l’article</w:t>
      </w:r>
      <w:r>
        <w:t xml:space="preserve"> 13 et </w:t>
      </w:r>
      <w:proofErr w:type="spellStart"/>
      <w:r>
        <w:t>doit</w:t>
      </w:r>
      <w:proofErr w:type="spellEnd"/>
      <w:r>
        <w:t xml:space="preserve"> </w:t>
      </w:r>
      <w:proofErr w:type="spellStart"/>
      <w:r>
        <w:t>être</w:t>
      </w:r>
      <w:proofErr w:type="spellEnd"/>
      <w:r>
        <w:t xml:space="preserve"> conforme au </w:t>
      </w:r>
      <w:proofErr w:type="spellStart"/>
      <w:r>
        <w:t>droit</w:t>
      </w:r>
      <w:proofErr w:type="spellEnd"/>
      <w:r>
        <w:t xml:space="preserve"> de </w:t>
      </w:r>
      <w:proofErr w:type="spellStart"/>
      <w:r>
        <w:t>l’Union</w:t>
      </w:r>
      <w:proofErr w:type="spellEnd"/>
      <w:r>
        <w:t xml:space="preserve"> aplicable.</w:t>
      </w:r>
    </w:p>
    <w:p w:rsidR="00786B3E" w:rsidRDefault="00786B3E" w:rsidP="00786B3E">
      <w:pPr>
        <w:pStyle w:val="P68B1DB1-Normal4"/>
      </w:pPr>
      <w:r>
        <w:t xml:space="preserve">Conformément au </w:t>
      </w:r>
      <w:proofErr w:type="spellStart"/>
      <w:r>
        <w:t>considérant</w:t>
      </w:r>
      <w:proofErr w:type="spellEnd"/>
      <w:r>
        <w:t xml:space="preserve"> 7 du </w:t>
      </w:r>
      <w:proofErr w:type="spellStart"/>
      <w:r>
        <w:t>règlement</w:t>
      </w:r>
      <w:proofErr w:type="spellEnd"/>
      <w:r>
        <w:t xml:space="preserve"> FEAMPA, le </w:t>
      </w:r>
      <w:proofErr w:type="spellStart"/>
      <w:r>
        <w:t>soutien</w:t>
      </w:r>
      <w:proofErr w:type="spellEnd"/>
      <w:r>
        <w:t xml:space="preserve"> </w:t>
      </w:r>
      <w:proofErr w:type="spellStart"/>
      <w:r>
        <w:t>devrait</w:t>
      </w:r>
      <w:proofErr w:type="spellEnd"/>
      <w:r>
        <w:t xml:space="preserve"> avoir une </w:t>
      </w:r>
      <w:proofErr w:type="spellStart"/>
      <w:r>
        <w:t>valeur</w:t>
      </w:r>
      <w:proofErr w:type="spellEnd"/>
      <w:r>
        <w:t xml:space="preserve"> </w:t>
      </w:r>
      <w:proofErr w:type="spellStart"/>
      <w:r>
        <w:t>ajoutée</w:t>
      </w:r>
      <w:proofErr w:type="spellEnd"/>
      <w:r>
        <w:t xml:space="preserve"> </w:t>
      </w:r>
      <w:proofErr w:type="spellStart"/>
      <w:r>
        <w:t>européenne</w:t>
      </w:r>
      <w:proofErr w:type="spellEnd"/>
      <w:r>
        <w:t xml:space="preserve"> </w:t>
      </w:r>
      <w:proofErr w:type="spellStart"/>
      <w:r>
        <w:t>claire</w:t>
      </w:r>
      <w:proofErr w:type="spellEnd"/>
      <w:r>
        <w:t xml:space="preserve">, </w:t>
      </w:r>
      <w:proofErr w:type="spellStart"/>
      <w:r>
        <w:t>notamment</w:t>
      </w:r>
      <w:proofErr w:type="spellEnd"/>
      <w:r>
        <w:t xml:space="preserve"> en </w:t>
      </w:r>
      <w:proofErr w:type="spellStart"/>
      <w:r>
        <w:t>remédiant</w:t>
      </w:r>
      <w:proofErr w:type="spellEnd"/>
      <w:r>
        <w:t xml:space="preserve"> </w:t>
      </w:r>
      <w:proofErr w:type="spellStart"/>
      <w:r>
        <w:t>aux</w:t>
      </w:r>
      <w:proofErr w:type="spellEnd"/>
      <w:r>
        <w:t xml:space="preserve"> </w:t>
      </w:r>
      <w:proofErr w:type="spellStart"/>
      <w:r>
        <w:t>Défaillances</w:t>
      </w:r>
      <w:proofErr w:type="spellEnd"/>
      <w:r>
        <w:t xml:space="preserve"> du marché ou </w:t>
      </w:r>
      <w:proofErr w:type="spellStart"/>
      <w:r>
        <w:t>aux</w:t>
      </w:r>
      <w:proofErr w:type="spellEnd"/>
      <w:r>
        <w:t xml:space="preserve"> </w:t>
      </w:r>
      <w:proofErr w:type="spellStart"/>
      <w:r>
        <w:t>situations</w:t>
      </w:r>
      <w:proofErr w:type="spellEnd"/>
      <w:r>
        <w:t xml:space="preserve"> </w:t>
      </w:r>
      <w:proofErr w:type="spellStart"/>
      <w:r>
        <w:t>d’investissement</w:t>
      </w:r>
      <w:proofErr w:type="spellEnd"/>
      <w:r>
        <w:t xml:space="preserve"> </w:t>
      </w:r>
      <w:proofErr w:type="spellStart"/>
      <w:r>
        <w:t>sous-optimales</w:t>
      </w:r>
      <w:proofErr w:type="spellEnd"/>
      <w:r>
        <w:t xml:space="preserve"> de </w:t>
      </w:r>
      <w:proofErr w:type="spellStart"/>
      <w:r>
        <w:t>manière</w:t>
      </w:r>
      <w:proofErr w:type="spellEnd"/>
      <w:r>
        <w:t xml:space="preserve"> </w:t>
      </w:r>
      <w:proofErr w:type="spellStart"/>
      <w:r>
        <w:t>proportionnée</w:t>
      </w:r>
      <w:proofErr w:type="spellEnd"/>
      <w:r>
        <w:t xml:space="preserve">, et ne </w:t>
      </w:r>
      <w:proofErr w:type="spellStart"/>
      <w:r>
        <w:t>devrait</w:t>
      </w:r>
      <w:proofErr w:type="spellEnd"/>
      <w:r>
        <w:t xml:space="preserve"> pas </w:t>
      </w:r>
      <w:proofErr w:type="spellStart"/>
      <w:r>
        <w:t>dupliquer</w:t>
      </w:r>
      <w:proofErr w:type="spellEnd"/>
      <w:r>
        <w:t xml:space="preserve"> ou </w:t>
      </w:r>
      <w:proofErr w:type="spellStart"/>
      <w:r>
        <w:t>éНer</w:t>
      </w:r>
      <w:proofErr w:type="spellEnd"/>
      <w:r>
        <w:t xml:space="preserve"> le financement privé ni </w:t>
      </w:r>
      <w:proofErr w:type="spellStart"/>
      <w:r>
        <w:t>fausser</w:t>
      </w:r>
      <w:proofErr w:type="spellEnd"/>
      <w:r>
        <w:t xml:space="preserve"> la </w:t>
      </w:r>
      <w:proofErr w:type="spellStart"/>
      <w:r>
        <w:t>concurrence</w:t>
      </w:r>
      <w:proofErr w:type="spellEnd"/>
      <w:r>
        <w:t xml:space="preserve"> sur le marché </w:t>
      </w:r>
      <w:proofErr w:type="spellStart"/>
      <w:r>
        <w:t>intérieur</w:t>
      </w:r>
      <w:proofErr w:type="spellEnd"/>
      <w:r>
        <w:t>.</w:t>
      </w:r>
    </w:p>
    <w:p w:rsidR="00786B3E" w:rsidRDefault="00786B3E" w:rsidP="00786B3E"/>
    <w:p w:rsidR="00786B3E" w:rsidRDefault="00786B3E" w:rsidP="00786B3E"/>
    <w:p w:rsidR="00786B3E" w:rsidRDefault="00786B3E" w:rsidP="00786B3E"/>
    <w:p w:rsidR="00786B3E" w:rsidRDefault="00786B3E" w:rsidP="00786B3E">
      <w:pPr>
        <w:pStyle w:val="Ttulo1"/>
      </w:pPr>
      <w:bookmarkStart w:id="512" w:name="scroll-bookmark-599"/>
      <w:bookmarkStart w:id="513" w:name="scroll-bookmark-600"/>
      <w:bookmarkEnd w:id="512"/>
      <w:r>
        <w:lastRenderedPageBreak/>
        <w:t xml:space="preserve">QA594: </w:t>
      </w:r>
      <w:r w:rsidR="00DF0906">
        <w:t>EMFAF</w:t>
      </w:r>
      <w:r>
        <w:t xml:space="preserve"> Inversiones a bordo de buques pesqueros</w:t>
      </w:r>
      <w:bookmarkEnd w:id="513"/>
    </w:p>
    <w:p w:rsidR="00786B3E" w:rsidRDefault="00786B3E" w:rsidP="00786B3E">
      <w:r>
        <w:rPr>
          <w:noProof/>
          <w:lang w:val="es-ES"/>
        </w:rPr>
        <w:drawing>
          <wp:inline distT="0" distB="0" distL="0" distR="0" wp14:anchorId="083E4193" wp14:editId="57665BA0">
            <wp:extent cx="152435" cy="152435"/>
            <wp:effectExtent l="0" t="0" r="0" b="0"/>
            <wp:docPr id="101031" name="Imagen 1010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del Reglamento FEMPA</w:t>
      </w:r>
    </w:p>
    <w:p w:rsidR="00786B3E" w:rsidRDefault="00786B3E" w:rsidP="00786B3E">
      <w:r>
        <w:rPr>
          <w:noProof/>
          <w:lang w:val="es-ES"/>
        </w:rPr>
        <w:drawing>
          <wp:inline distT="0" distB="0" distL="0" distR="0" wp14:anchorId="0CD5DDF3" wp14:editId="03B05812">
            <wp:extent cx="152435" cy="152435"/>
            <wp:effectExtent l="0" t="0" r="0" b="0"/>
            <wp:docPr id="101033" name="Imagen 1010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NL</w:t>
      </w:r>
    </w:p>
    <w:p w:rsidR="00786B3E" w:rsidRDefault="00786B3E" w:rsidP="00786B3E"/>
    <w:p w:rsidR="00786B3E" w:rsidRDefault="00786B3E" w:rsidP="00786B3E">
      <w:pPr>
        <w:pStyle w:val="P68B1DB1-Normal1"/>
      </w:pPr>
      <w:r>
        <w:br/>
      </w:r>
      <w:r w:rsidR="00377B57">
        <w:t>Pregunta</w:t>
      </w:r>
    </w:p>
    <w:p w:rsidR="00786B3E" w:rsidRDefault="00786B3E" w:rsidP="00786B3E">
      <w:r>
        <w:t>La autoridad de gestión del FEMP neerlandesa desea saber si la restricción de las inversiones a bordo de buques pesqueros que hayan llevado a cabo actividades pesqueras durante menos de 60 días en los dos años civiles anteriores al año de presentación de la solicitud de ayuda es aplicable a los buques pesqueros que no hayan llevado a cabo actividades pesqueras, pero que hayan sido utilizados durante al menos 60 días en actividades acuícolas.</w:t>
      </w:r>
    </w:p>
    <w:p w:rsidR="00786B3E" w:rsidRDefault="00786B3E" w:rsidP="00786B3E"/>
    <w:p w:rsidR="00786B3E" w:rsidRDefault="00786B3E" w:rsidP="00786B3E">
      <w:pPr>
        <w:pStyle w:val="P68B1DB1-Normal1"/>
      </w:pPr>
      <w:r>
        <w:t>Respuesta.</w:t>
      </w:r>
    </w:p>
    <w:p w:rsidR="00786B3E" w:rsidRDefault="00786B3E" w:rsidP="00786B3E">
      <w:r>
        <w:t>El artículo 13, letra l), del Reglamento FEMPA se refiere específicamente a la restricción de las inversiones a bordo de los buques pesqueros que hayan llevado a cabo «actividades pesqueras» durante menos de 60 días en los dos años civiles anteriores al año de presentación de la solicitud de ayuda.</w:t>
      </w:r>
      <w:r>
        <w:br/>
      </w:r>
    </w:p>
    <w:p w:rsidR="00786B3E" w:rsidRDefault="00786B3E" w:rsidP="00786B3E">
      <w:r>
        <w:t xml:space="preserve">El artículo 4, apartado 28, del Reglamento 1380/2013 (Reglamento PPC) establece que por «actividad pesquera» se </w:t>
      </w:r>
      <w:proofErr w:type="spellStart"/>
      <w:proofErr w:type="gramStart"/>
      <w:r>
        <w:t>entiende</w:t>
      </w:r>
      <w:r>
        <w:rPr>
          <w:i/>
        </w:rPr>
        <w:t>«</w:t>
      </w:r>
      <w:proofErr w:type="gramEnd"/>
      <w:r>
        <w:rPr>
          <w:i/>
        </w:rPr>
        <w:t>la</w:t>
      </w:r>
      <w:proofErr w:type="spellEnd"/>
      <w:r>
        <w:rPr>
          <w:i/>
        </w:rPr>
        <w:t xml:space="preserve"> búsqueda de pescado, el larguero, la </w:t>
      </w:r>
      <w:proofErr w:type="spellStart"/>
      <w:r>
        <w:rPr>
          <w:i/>
        </w:rPr>
        <w:t>calada</w:t>
      </w:r>
      <w:proofErr w:type="spellEnd"/>
      <w:r>
        <w:rPr>
          <w:i/>
        </w:rPr>
        <w:t>, el remolque, el arrastre de un arte de pesca, la captura a bordo, el transbordo, el mantenimiento a bordo, la transformación a bordo, el traslado, la introducción en jaula, el engorde y el desembarque de pescado y productos de la</w:t>
      </w:r>
      <w:r>
        <w:t xml:space="preserve"> pesca». Esta definición se aplica al FEMPA de conformidad con el artículo 2, apartado 1, del Reglamento FEMPA.</w:t>
      </w:r>
    </w:p>
    <w:p w:rsidR="00786B3E" w:rsidRDefault="00786B3E" w:rsidP="00786B3E">
      <w:r>
        <w:br/>
        <w:t>A menos que las «actividades acuícolas» a que se refieren las autoridades neerlandesas incluyan actividades incluidas en la definición de «actividades pesqueras» del artículo 4, apartado 28, del Reglamento PPC, haber llevado a cabo «actividades acuícolas» durante 60 días en los dos años civiles anteriores al año de presentación de la solicitud de ayuda no cumple el requisito establecido en el artículo 13, letra l), del Reglamento FEMPA. Por lo tanto, las inversiones a bordo no pueden optar al apoyo del FEMPA para los buques pesqueros en cuestión.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lastRenderedPageBreak/>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14" w:name="scroll-bookmark-601"/>
      <w:bookmarkStart w:id="515" w:name="scroll-bookmark-602"/>
      <w:bookmarkEnd w:id="514"/>
      <w:r>
        <w:t xml:space="preserve">QA595: </w:t>
      </w:r>
      <w:r w:rsidR="00DF0906">
        <w:t>EMFAF</w:t>
      </w:r>
      <w:r>
        <w:t xml:space="preserve"> La admisibilidad de la ayuda al sistema de </w:t>
      </w:r>
      <w:proofErr w:type="spellStart"/>
      <w:r>
        <w:t>acuaponía</w:t>
      </w:r>
      <w:proofErr w:type="spellEnd"/>
      <w:r>
        <w:t xml:space="preserve"> en el marco del FEMPA</w:t>
      </w:r>
      <w:bookmarkEnd w:id="515"/>
    </w:p>
    <w:p w:rsidR="00786B3E" w:rsidRDefault="00786B3E" w:rsidP="00786B3E">
      <w:r>
        <w:rPr>
          <w:noProof/>
          <w:lang w:val="es-ES"/>
        </w:rPr>
        <w:drawing>
          <wp:inline distT="0" distB="0" distL="0" distR="0" wp14:anchorId="1F2F6523" wp14:editId="7847A4D6">
            <wp:extent cx="152435" cy="152435"/>
            <wp:effectExtent l="0" t="0" r="0" b="0"/>
            <wp:docPr id="101035" name="Imagen 1010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27 del Reglamento FEMPA</w:t>
      </w:r>
    </w:p>
    <w:p w:rsidR="00786B3E" w:rsidRDefault="00786B3E" w:rsidP="00786B3E">
      <w:r>
        <w:rPr>
          <w:noProof/>
          <w:lang w:val="es-ES"/>
        </w:rPr>
        <w:drawing>
          <wp:inline distT="0" distB="0" distL="0" distR="0" wp14:anchorId="6F8B9DA0" wp14:editId="5A2AF4F1">
            <wp:extent cx="152435" cy="152435"/>
            <wp:effectExtent l="0" t="0" r="0" b="0"/>
            <wp:docPr id="101037" name="Imagen 1010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r>
      <w:r w:rsidR="00377B57">
        <w:t>Pregunta</w:t>
      </w:r>
    </w:p>
    <w:p w:rsidR="00786B3E" w:rsidRDefault="00786B3E" w:rsidP="00786B3E">
      <w:r>
        <w:t>Tenemos una pregunta relativa a la actividad Inversión en sistemas intensivos de acuicultura, que forma parte de la prioridad 2 Fomento de las actividades acuícolas sostenibles y transformación y comercialización de productos de la pesca y la acuicultura. Contribuye a la seguridad alimentaria en la Unión, objetivo específico 2.1: Promover actividades acuícolas sostenibles, especialmente reforzando la competitividad de la producción acuícola, garantizando al mismo tiempo que las actividades sean sostenibles desde el punto de vista medioambiental a largo plazo.</w:t>
      </w:r>
    </w:p>
    <w:p w:rsidR="00786B3E" w:rsidRDefault="00786B3E" w:rsidP="00786B3E">
      <w:r>
        <w:t xml:space="preserve">Sobre la base del aumento de la demanda de los beneficiarios potenciales, la AG tiene la intención de incluir en esta actividad la posibilidad de apoyar la aplicación de sistemas de </w:t>
      </w:r>
      <w:proofErr w:type="spellStart"/>
      <w:r>
        <w:t>acuaponía</w:t>
      </w:r>
      <w:proofErr w:type="spellEnd"/>
      <w:r>
        <w:t>, cuyos productos son aproximadamente 1/3 peces y 2/3 hortalizas.</w:t>
      </w:r>
    </w:p>
    <w:p w:rsidR="00786B3E" w:rsidRDefault="00786B3E" w:rsidP="00786B3E">
      <w:r>
        <w:t>La AG formula las siguientes preguntas sobre esta cuestión:</w:t>
      </w:r>
    </w:p>
    <w:p w:rsidR="00786B3E" w:rsidRDefault="00786B3E" w:rsidP="00786B3E">
      <w:r>
        <w:t xml:space="preserve">1) ¿son admisibles los componentes, incluida la «parte vegetal» del sistema de </w:t>
      </w:r>
      <w:proofErr w:type="spellStart"/>
      <w:r>
        <w:t>acuaponía</w:t>
      </w:r>
      <w:proofErr w:type="spellEnd"/>
      <w:r>
        <w:t>, a partir del PO 2021-2027 o solo es subvencionable la parte del sistema dedicada a la producción de pescado?</w:t>
      </w:r>
    </w:p>
    <w:p w:rsidR="00786B3E" w:rsidRDefault="00786B3E" w:rsidP="00786B3E">
      <w:r>
        <w:t>2) ¿podrían considerarse ayudas estatales los ingresos posteriores procedentes de la venta de hortalizas cultivadas?</w:t>
      </w:r>
    </w:p>
    <w:p w:rsidR="00786B3E" w:rsidRDefault="00786B3E" w:rsidP="00786B3E"/>
    <w:p w:rsidR="00786B3E" w:rsidRDefault="00786B3E" w:rsidP="00786B3E">
      <w:pPr>
        <w:pStyle w:val="P68B1DB1-Normal1"/>
      </w:pPr>
      <w:r>
        <w:t>Respuesta.</w:t>
      </w:r>
    </w:p>
    <w:p w:rsidR="00786B3E" w:rsidRDefault="00786B3E" w:rsidP="00786B3E">
      <w:r>
        <w:lastRenderedPageBreak/>
        <w:t>El artículo 27 del Reglamento FEMPA se refiere al ámbito de aplicación del objetivo específico 2.1, tal como se describe en el artículo 26, apartado 1, letra a</w:t>
      </w:r>
      <w:proofErr w:type="gramStart"/>
      <w:r>
        <w:t>),:</w:t>
      </w:r>
      <w:proofErr w:type="gramEnd"/>
      <w:r>
        <w:t xml:space="preserve"> «</w:t>
      </w:r>
      <w:r>
        <w:rPr>
          <w:i/>
        </w:rPr>
        <w:t>promover actividades acuícolas sostenibles, especialmente reforzando la competitividad de la producción acuícola, garantizando al mismo tiempo que las actividades sean medioambientalmente sostenibles a largo plazo</w:t>
      </w:r>
      <w:r>
        <w:t>».</w:t>
      </w:r>
    </w:p>
    <w:p w:rsidR="00786B3E" w:rsidRDefault="00786B3E" w:rsidP="00786B3E">
      <w:r>
        <w:t>En este contexto, se entiende por acuicultura «</w:t>
      </w:r>
      <w:r>
        <w:rPr>
          <w:i/>
        </w:rPr>
        <w:t>la cría o el cultivo de organismos acuáticos mediante técnicas destinadas a aumentar la producción de los organismos en cuestión más allá de la capacidad natural del medio ambiente, cuando los organismos sigan siendo propiedad de una persona física o jurídica durante toda la fase de cría y cultivo, hasta la recolección inclusive</w:t>
      </w:r>
      <w:r>
        <w:t>» (</w:t>
      </w:r>
      <w:r w:rsidR="001313FA">
        <w:t>véase el</w:t>
      </w:r>
      <w:r>
        <w:t xml:space="preserve"> artículo 4, punto 25, del Reglamento 1380/2013). La </w:t>
      </w:r>
      <w:proofErr w:type="spellStart"/>
      <w:r>
        <w:t>acuaponía</w:t>
      </w:r>
      <w:proofErr w:type="spellEnd"/>
      <w:r>
        <w:t xml:space="preserve"> es un sistema de producción de alimentos que aúna la acuicultura y la hidropónica. Los </w:t>
      </w:r>
      <w:proofErr w:type="spellStart"/>
      <w:r>
        <w:t>hidroponicos</w:t>
      </w:r>
      <w:proofErr w:type="spellEnd"/>
      <w:r>
        <w:t xml:space="preserve"> no están incluidos en el ámbito de aplicación de la acuicultura definido anteriormente, por lo que no pueden optar a ayudas en virtud del objetivo específico 2.1.</w:t>
      </w:r>
    </w:p>
    <w:p w:rsidR="00786B3E" w:rsidRDefault="00786B3E" w:rsidP="00786B3E">
      <w:r>
        <w:t xml:space="preserve">Por lo tanto, la </w:t>
      </w:r>
      <w:proofErr w:type="spellStart"/>
      <w:r>
        <w:t>acuaponía</w:t>
      </w:r>
      <w:proofErr w:type="spellEnd"/>
      <w:r>
        <w:t xml:space="preserve"> entra en el ámbito de aplicación del objetivo específico 2.1, pero solo son subvencionables los gastos relacionados con la acuicultura de las operaciones subvencionadas.</w:t>
      </w:r>
    </w:p>
    <w:p w:rsidR="00786B3E" w:rsidRDefault="00786B3E" w:rsidP="00786B3E">
      <w:r>
        <w:t>Si las características de las operaciones no permiten distinguir claramente los gastos relacionados con la acuicultura de los gastos relacionados con los hidrocarburos, invitamos al Estado miembro a conceder ayudas en el marco de las opciones de costes simplificados con arreglo al artículo 53, apartado 1, letras b), c) o d), del RDC. La metodología para calcular estas opciones de costes simplificados debe aproximarse a la proporción del gasto relacionado con la acuicultura en la operación.</w:t>
      </w:r>
    </w:p>
    <w:p w:rsidR="00786B3E" w:rsidRDefault="00786B3E" w:rsidP="00786B3E">
      <w:r>
        <w:t>Por lo que se refiere a la cuestión de la ayuda estatal, téngase en cuenta que los «ingresos posteriores procedentes de la venta de hortalizas cultivadas» no se considerarían ayuda estatal porque dichos ingresos son consecuencia de la operación, no de su aportación (es decir, dinero público).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16" w:name="scroll-bookmark-603"/>
      <w:bookmarkStart w:id="517" w:name="scroll-bookmark-604"/>
      <w:bookmarkEnd w:id="516"/>
      <w:r>
        <w:t xml:space="preserve">QA606 </w:t>
      </w:r>
      <w:r w:rsidR="00DF0906">
        <w:t>EMFAF</w:t>
      </w:r>
      <w:r>
        <w:t xml:space="preserve"> Aclaración de los gastos de control</w:t>
      </w:r>
      <w:bookmarkEnd w:id="517"/>
    </w:p>
    <w:p w:rsidR="00786B3E" w:rsidRDefault="00786B3E" w:rsidP="00786B3E">
      <w:r>
        <w:rPr>
          <w:noProof/>
          <w:lang w:val="es-ES"/>
        </w:rPr>
        <w:drawing>
          <wp:inline distT="0" distB="0" distL="0" distR="0" wp14:anchorId="3D039818" wp14:editId="4DEEA2B1">
            <wp:extent cx="152435" cy="152435"/>
            <wp:effectExtent l="0" t="0" r="0" b="0"/>
            <wp:docPr id="101039" name="Imagen 1010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22 del Reglamento FEMPA</w:t>
      </w:r>
    </w:p>
    <w:p w:rsidR="00786B3E" w:rsidRDefault="00786B3E" w:rsidP="00786B3E">
      <w:r>
        <w:rPr>
          <w:noProof/>
          <w:lang w:val="es-ES"/>
        </w:rPr>
        <w:drawing>
          <wp:inline distT="0" distB="0" distL="0" distR="0" wp14:anchorId="56E42F33" wp14:editId="0AF39BA3">
            <wp:extent cx="152435" cy="152435"/>
            <wp:effectExtent l="0" t="0" r="0" b="0"/>
            <wp:docPr id="101041" name="Imagen 1010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377B57" w:rsidP="00786B3E">
      <w:pPr>
        <w:pStyle w:val="P68B1DB1-Normal1"/>
      </w:pPr>
      <w:r>
        <w:t>Pregunta</w:t>
      </w:r>
    </w:p>
    <w:p w:rsidR="00786B3E" w:rsidRDefault="00786B3E" w:rsidP="00786B3E">
      <w:r>
        <w:t>Necesitamos una aclaración en relación con las acciones bajo control y ejecución: ¿podrían confirmar si, además de la compra de artículos o herramientas utilizados para el control de la pesca, como los buques, el mantenimiento de dichos artículos (es decir, buques) puede optar a la ayuda en un determinado período después de su adquisición con ayuda en el marco del programa?</w:t>
      </w:r>
    </w:p>
    <w:p w:rsidR="00786B3E" w:rsidRDefault="00786B3E" w:rsidP="00786B3E"/>
    <w:p w:rsidR="00786B3E" w:rsidRDefault="00786B3E" w:rsidP="00786B3E">
      <w:pPr>
        <w:pStyle w:val="P68B1DB1-Normal1"/>
      </w:pPr>
      <w:r>
        <w:t>Respuesta.</w:t>
      </w:r>
    </w:p>
    <w:p w:rsidR="00786B3E" w:rsidRDefault="00786B3E" w:rsidP="00786B3E">
      <w:r>
        <w:t>De conformidad con el artículo 12, apartado 1, letra a), del Reglamento FEMPA, «los Estados miembros podrán seleccionar para recibir apoyo operaciones que entren en el ámbito de aplicación de las prioridades y objetivos específicos establecidos en el artículo 8, apartado 2,».</w:t>
      </w:r>
    </w:p>
    <w:p w:rsidR="00786B3E" w:rsidRDefault="00786B3E" w:rsidP="00786B3E">
      <w:r>
        <w:t>Esta disposición significa que el apoyo debe contribuir a los objetivos específicos del FEMPA y no puede ir más allá de su ámbito de aplicación.</w:t>
      </w:r>
    </w:p>
    <w:p w:rsidR="00786B3E" w:rsidRDefault="00786B3E" w:rsidP="00786B3E">
      <w:r>
        <w:t>Así pues, los costes operativos solo son gastos subvencionables si son coherentes con los tipos de acciones en el marco de un objetivo específico y forman parte de una operación que contribuye a un objetivo específico. Los costes operativos no vinculados a la consecución del objetivo de la operación no son gastos subvencionables.</w:t>
      </w:r>
    </w:p>
    <w:p w:rsidR="00786B3E" w:rsidRDefault="00786B3E" w:rsidP="00786B3E">
      <w:r>
        <w:t>Por lo tanto, los costes de mantenimiento de los buques de control pueden optar a la ayuda del FEMPA si son coherentes con los tipos de acciones en el marco del objetivo específico 1.4 «Fomentar un control y una observancia eficientes de la pesca, incluida la lucha contra la pesca INDNR» y forman parte de una operación que contribuye al objetivo específico 1.4.</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lastRenderedPageBreak/>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18" w:name="scroll-bookmark-605"/>
      <w:bookmarkStart w:id="519" w:name="scroll-bookmark-606"/>
      <w:bookmarkEnd w:id="518"/>
      <w:r>
        <w:t xml:space="preserve">QA607 </w:t>
      </w:r>
      <w:r w:rsidR="00DF0906">
        <w:t>EMFAF</w:t>
      </w:r>
      <w:r>
        <w:t xml:space="preserve"> Intensidad de la ayuda a los socios del consorcio en proyectos de I + D</w:t>
      </w:r>
      <w:bookmarkEnd w:id="519"/>
    </w:p>
    <w:p w:rsidR="00786B3E" w:rsidRDefault="00786B3E" w:rsidP="00786B3E">
      <w:r>
        <w:rPr>
          <w:noProof/>
          <w:lang w:val="es-ES"/>
        </w:rPr>
        <w:drawing>
          <wp:inline distT="0" distB="0" distL="0" distR="0" wp14:anchorId="3EA6631A" wp14:editId="1034C0B4">
            <wp:extent cx="152435" cy="152435"/>
            <wp:effectExtent l="0" t="0" r="0" b="0"/>
            <wp:docPr id="101043" name="Imagen 1010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41 del Reglamento FEMPA </w:t>
      </w:r>
    </w:p>
    <w:p w:rsidR="00786B3E" w:rsidRDefault="00786B3E" w:rsidP="00786B3E">
      <w:r>
        <w:rPr>
          <w:noProof/>
          <w:lang w:val="es-ES"/>
        </w:rPr>
        <w:drawing>
          <wp:inline distT="0" distB="0" distL="0" distR="0" wp14:anchorId="52D16E37" wp14:editId="477E0FFE">
            <wp:extent cx="152435" cy="152435"/>
            <wp:effectExtent l="0" t="0" r="0" b="0"/>
            <wp:docPr id="101045" name="Imagen 1010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HU</w:t>
      </w:r>
    </w:p>
    <w:p w:rsidR="00786B3E" w:rsidRDefault="00786B3E" w:rsidP="00786B3E"/>
    <w:p w:rsidR="00786B3E" w:rsidRDefault="00786B3E" w:rsidP="00786B3E">
      <w:r>
        <w:t>En el PO del FEMP tenemos la medida «Innovación», que es una medida de I + D + I. En el marco del PO del FEMPA también planificamos esta medida de I + D + I.</w:t>
      </w:r>
    </w:p>
    <w:p w:rsidR="00786B3E" w:rsidRDefault="00786B3E" w:rsidP="00786B3E">
      <w:r>
        <w:t>Sería muy bueno que las universidades o los institutos de investigación pudieran solicitar la medida I + D + I conjuntamente en consorcio con agricultores. Las universidades y los institutos de investigación son organismos de Derecho público, por lo que pueden tener una intensidad de ayuda del 100 %. Los agricultores solo pueden solicitar una intensidad de ayuda del 60 %.</w:t>
      </w:r>
    </w:p>
    <w:p w:rsidR="00786B3E" w:rsidRDefault="00786B3E" w:rsidP="00786B3E">
      <w:r>
        <w:t>El proyecto de consorcio será llevado a cabo por dos socios del consorcio. Sería ejecutado por un organismo de Derecho público (universidad o instituto de investigación) facultado para aplicar una intensidad de ayuda del 100 %, que sería el líder del consorcio, y por otro socio (agricultor) con derecho a aplicar únicamente una intensidad de ayuda del 60 % (en caso de solicitud exclusiva) en virtud del Reglamento FEMPA.</w:t>
      </w:r>
    </w:p>
    <w:p w:rsidR="00786B3E" w:rsidRDefault="00786B3E" w:rsidP="00786B3E">
      <w:pPr>
        <w:pStyle w:val="P68B1DB1-Normal1"/>
      </w:pPr>
      <w:r>
        <w:br/>
        <w:t>Pregunta 1: ¿Se aplica una intensidad de ayuda del 100 % a los gastos subvencionables de todos los socios del consorcio en el marco de este proyecto?</w:t>
      </w:r>
    </w:p>
    <w:p w:rsidR="00786B3E" w:rsidRDefault="00786B3E" w:rsidP="00786B3E">
      <w:r>
        <w:t>Hace algún tiempo preguntamos a la Comisión sobre un caso similar en el marco del FEMP, y obtuvimos la respuesta que figura a continuación. Sobre la base de la respuesta de la COM, solo podemos obtener una intensidad de ayuda del 50 % para todos los miembros del consorcio (también para los organismos de Derecho público) y, por esta razón, no tenemos proyectos realizados por universidades o institutos de investigación y agricultores juntos en consorcio.</w:t>
      </w:r>
    </w:p>
    <w:p w:rsidR="00786B3E" w:rsidRDefault="00786B3E" w:rsidP="00786B3E">
      <w:pPr>
        <w:pStyle w:val="P68B1DB1-Normal4"/>
      </w:pPr>
      <w:r>
        <w:rPr>
          <w:u w:val="single"/>
        </w:rPr>
        <w:lastRenderedPageBreak/>
        <w:t>Respuesta de COM antes de:</w:t>
      </w:r>
      <w:r>
        <w:t xml:space="preserve"> De conformidad con el artículo 95 del Reglamento del FEMP, el porcentaje de intensidad de la ayuda pública debe aplicarse a los gastos subvencionables totales de una operación. En este sentido, no es posible dividir el presupuesto de una operación ni definir diferentes intensidades de ayuda pública para las distintas partes. De conformidad con el RDC, el beneficiario de una operación puede ser un organismo público o privado o, en el caso del FEMP, una persona física. Si el beneficiario de una operación es un consorcio, el porcentaje de intensidad de la ayuda pública debe definirse sobre la base de la forma en que la autoridad de gestión determina el estatuto jurídico del consorcio y no de sus miembros individuales.</w:t>
      </w:r>
    </w:p>
    <w:p w:rsidR="00786B3E" w:rsidRDefault="00786B3E" w:rsidP="00786B3E">
      <w:r>
        <w:t>No entendemos por qué no podemos obtener una intensidad de ayuda del 100 % para todos los miembros del consorcio, ni por qué no podemos examinar a los miembros por separado, por lo que apoyamos a los organismos de Derecho público con una intensidad de ayuda del 100 % y a los demás socios, que no son organismos de Derecho público, con una intensidad de ayuda del 50 %.</w:t>
      </w:r>
    </w:p>
    <w:p w:rsidR="00786B3E" w:rsidRDefault="00786B3E" w:rsidP="00786B3E"/>
    <w:p w:rsidR="00786B3E" w:rsidRDefault="00786B3E" w:rsidP="00786B3E">
      <w:pPr>
        <w:pStyle w:val="P68B1DB1-Normal1"/>
      </w:pPr>
      <w:r>
        <w:t>Pregunta 2: Este será también un problema en el marco del PO del FEMPA. ¿O depende únicamente de la normativa nacional?</w:t>
      </w:r>
    </w:p>
    <w:p w:rsidR="00786B3E" w:rsidRDefault="00786B3E" w:rsidP="00786B3E"/>
    <w:p w:rsidR="00786B3E" w:rsidRDefault="00786B3E" w:rsidP="00786B3E">
      <w:pPr>
        <w:pStyle w:val="P68B1DB1-Normal1"/>
      </w:pPr>
      <w:r>
        <w:t>Respuesta 1:</w:t>
      </w:r>
    </w:p>
    <w:p w:rsidR="00786B3E" w:rsidRDefault="00786B3E" w:rsidP="00786B3E">
      <w:r>
        <w:t>De conformidad con el artículo 95, apartado 1, del FEMP, la intensidad máxima de la ayuda pública es del 50 % del gasto total subvencionable, a menos que exista una excepción.</w:t>
      </w:r>
    </w:p>
    <w:p w:rsidR="00786B3E" w:rsidRDefault="00786B3E" w:rsidP="00786B3E">
      <w:r>
        <w:t xml:space="preserve">Cabe señalar el caso en el que el beneficiario (en el sentido del artículo 2, apartado 10, del RDC) es únicamente la institución pública de investigación, pero la operación </w:t>
      </w:r>
      <w:r>
        <w:rPr>
          <w:i/>
        </w:rPr>
        <w:t>se ejecuta en colaboración</w:t>
      </w:r>
      <w:r>
        <w:t xml:space="preserve"> o asociación con una pequeña o gran empresa (incluido un acuicultor). En este caso, la intensidad de la ayuda pública podrá ser de hasta el 100 %, de conformidad con el artículo 95, apartado 2, letra a). En esta fase, una serie de países sin litoral ya optan y ejecutan proyectos con arreglo a este formulario sin que se planteen problemas.</w:t>
      </w:r>
    </w:p>
    <w:p w:rsidR="00786B3E" w:rsidRDefault="00786B3E" w:rsidP="00786B3E">
      <w:r>
        <w:t>Sin embargo, en caso de que una empresa (incluido un acuicultor), en el sentido del artículo 2, apartado 10, del RDC, sea el único beneficiario en cooperación con una institución pública de investigación, la intensidad máxima de la ayuda pública sería del 50 % (o del 30 % en el caso de una gran empresa).</w:t>
      </w:r>
    </w:p>
    <w:p w:rsidR="00786B3E" w:rsidRDefault="00786B3E" w:rsidP="00786B3E">
      <w:r>
        <w:t>Es cierto que un consorcio puede adoptar distintas formas jurídicas y ser reconocido de manera diferente por la legislación nacional de los Estados miembros. Esta es la razón por la que la respuesta anterior de la Comisión indica que la intensidad de la ayuda depende de cómo determine la autoridad de gestión el estatuto jurídico del consorcio y no de sus miembros individuales.</w:t>
      </w:r>
    </w:p>
    <w:p w:rsidR="00786B3E" w:rsidRDefault="00786B3E" w:rsidP="00786B3E"/>
    <w:p w:rsidR="00786B3E" w:rsidRDefault="00786B3E" w:rsidP="00786B3E">
      <w:pPr>
        <w:pStyle w:val="P68B1DB1-Normal1"/>
      </w:pPr>
      <w:r>
        <w:t>Respuesta 2:</w:t>
      </w:r>
    </w:p>
    <w:p w:rsidR="00786B3E" w:rsidRDefault="00786B3E" w:rsidP="00786B3E">
      <w:r>
        <w:t>Para el FEMPA podrá aplicarse una interpretación similar a la del FEMP.</w:t>
      </w:r>
    </w:p>
    <w:p w:rsidR="00786B3E" w:rsidRDefault="00786B3E" w:rsidP="00786B3E">
      <w:r>
        <w:lastRenderedPageBreak/>
        <w:t xml:space="preserve">En caso de que la institución pública de investigación sea el beneficiario principal/único pero la operación se ejecute </w:t>
      </w:r>
      <w:r>
        <w:rPr>
          <w:i/>
        </w:rPr>
        <w:t>en colaboración o asociación</w:t>
      </w:r>
      <w:r>
        <w:t xml:space="preserve"> con una pequeña o gran empresa (incluido un acuicultor), la intensidad de la ayuda pública podrá ser de hasta el 100 %, de conformidad con el anexo III del Reglamento FEMPA.</w:t>
      </w:r>
    </w:p>
    <w:p w:rsidR="00786B3E" w:rsidRDefault="00786B3E" w:rsidP="00786B3E">
      <w:r>
        <w:t>en caso de que una empresa (incluido un acuicultor) sea el principal beneficiario en cooperación con una institución pública de investigación, la intensidad máxima de la ayuda pública sería del 75 %, de conformidad con el punto 18 del anexo III del Reglamento FEMPA.</w:t>
      </w:r>
    </w:p>
    <w:p w:rsidR="00786B3E" w:rsidRDefault="00786B3E" w:rsidP="00786B3E">
      <w:r>
        <w:t>Una vez más, si el instituto público de investigación decide crear un consorcio (es decir, como nueva entidad jurídica) con una empresa privada (incluido un agricultor acuícola) que la AG debe decidir cuál es el estatuto jurídico de este consorcio con arreglo a la legislación nacional. Si se trata de una entidad pública, la intensidad de la ayuda pública es del 100 %, de conformidad con el anexo III del FEMPA. Si se trata de una institución privada, se beneficiará de la intensidad de ayuda del 75 %.</w:t>
      </w:r>
    </w:p>
    <w:p w:rsidR="00786B3E" w:rsidRDefault="00786B3E" w:rsidP="00786B3E"/>
    <w:p w:rsidR="00786B3E" w:rsidRDefault="00786B3E" w:rsidP="00786B3E">
      <w:pPr>
        <w:pStyle w:val="P68B1DB1-Normal1"/>
      </w:pPr>
      <w:r>
        <w:t>N.B.</w:t>
      </w:r>
    </w:p>
    <w:p w:rsidR="00786B3E" w:rsidRDefault="00786B3E" w:rsidP="00786B3E">
      <w:pPr>
        <w:pStyle w:val="P68B1DB1-Normal4"/>
      </w:pPr>
      <w:r>
        <w:t>De conformidad con el artículo 57, apartado 1, del [acuerdo político sobre] el Reglamento sobre disposiciones comunes (RDC), la subvencionabilidad de los gastos se determina sobre la base de normas nacionales, excepto cuando en el RDC o en los Reglamentos específicos de los Fondos se establezcan normas específicas.</w:t>
      </w:r>
    </w:p>
    <w:p w:rsidR="00786B3E" w:rsidRDefault="00786B3E" w:rsidP="00786B3E">
      <w:pPr>
        <w:pStyle w:val="P68B1DB1-Normal4"/>
      </w:pPr>
      <w:r>
        <w:t>De conformidad con el artículo [12 bis (1) (a)] del [acuerdo político sobre] el Reglamento FEMPA, las operaciones seleccionadas por los Estados miembros deben entrar en el ámbito de aplicación de las prioridades y objetivos específicos establecidos en el artículo [9 (2)], no deben ser subvencionables con arreglo al artículo [13] y deben ser conformes con el Derecho de la Unión aplicable.</w:t>
      </w:r>
    </w:p>
    <w:p w:rsidR="00786B3E" w:rsidRDefault="00786B3E" w:rsidP="00786B3E">
      <w:pPr>
        <w:pStyle w:val="P68B1DB1-Normal4"/>
      </w:pPr>
      <w:r>
        <w:t>De conformidad con el considerando 6 del [acuerdo político sobre] 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20" w:name="scroll-bookmark-607"/>
      <w:bookmarkStart w:id="521" w:name="scroll-bookmark-608"/>
      <w:bookmarkEnd w:id="520"/>
      <w:r>
        <w:t xml:space="preserve">PA610 </w:t>
      </w:r>
      <w:r w:rsidR="00DF0906">
        <w:t>EMFAF</w:t>
      </w:r>
      <w:r>
        <w:t xml:space="preserve"> Definición de pymes en el contexto de la aplicación del FEMPA</w:t>
      </w:r>
      <w:bookmarkEnd w:id="521"/>
    </w:p>
    <w:p w:rsidR="00786B3E" w:rsidRDefault="00786B3E" w:rsidP="00786B3E">
      <w:r>
        <w:rPr>
          <w:noProof/>
          <w:lang w:val="es-ES"/>
        </w:rPr>
        <w:drawing>
          <wp:inline distT="0" distB="0" distL="0" distR="0" wp14:anchorId="4A385F36" wp14:editId="6FA96F95">
            <wp:extent cx="152435" cy="152435"/>
            <wp:effectExtent l="0" t="0" r="0" b="0"/>
            <wp:docPr id="101047" name="Imagen 1010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28 del Reglamento FEMPA </w:t>
      </w:r>
    </w:p>
    <w:p w:rsidR="00786B3E" w:rsidRDefault="00786B3E" w:rsidP="00786B3E">
      <w:r>
        <w:rPr>
          <w:noProof/>
          <w:lang w:val="es-ES"/>
        </w:rPr>
        <w:drawing>
          <wp:inline distT="0" distB="0" distL="0" distR="0" wp14:anchorId="522AA695" wp14:editId="49457AEB">
            <wp:extent cx="152435" cy="152435"/>
            <wp:effectExtent l="0" t="0" r="0" b="0"/>
            <wp:docPr id="101049" name="Imagen 1010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Eslovenia</w:t>
      </w:r>
    </w:p>
    <w:p w:rsidR="00786B3E" w:rsidRDefault="00786B3E" w:rsidP="00786B3E"/>
    <w:p w:rsidR="00786B3E" w:rsidRDefault="00786B3E" w:rsidP="00786B3E">
      <w:pPr>
        <w:pStyle w:val="P68B1DB1-Normal1"/>
      </w:pPr>
      <w:r>
        <w:lastRenderedPageBreak/>
        <w:br/>
      </w:r>
      <w:r w:rsidR="00377B57">
        <w:t>Pregunta</w:t>
      </w:r>
    </w:p>
    <w:p w:rsidR="00786B3E" w:rsidRDefault="00786B3E" w:rsidP="00786B3E">
      <w:r>
        <w:t>Le envío una pregunta que ha surgido recientemente al volver a debatir nuestro último proyecto de PO con nuestros socios, sobre la manera de determinar el tamaño de la empresa.</w:t>
      </w:r>
    </w:p>
    <w:p w:rsidR="00786B3E" w:rsidRDefault="00786B3E" w:rsidP="00786B3E">
      <w:r>
        <w:t>De conformidad con el artículo 28 del Reglamento (UE) 2021/1139 del Parlamento Europeo y del Consejo, de 7 de julio de 2021, por el que se establece el Fondo Europeo Marítimo, de Pesca y de Acuicultura, y por el que se modifica el Reglamento (UE) 2017/1004, el apoyo para la consecución del objetivo específico del artículo 26, apartado 1, letra b), de dicho Reglamento solo puede concederse a las pymes. El apoyo a las grandes empresas solo puede concederse a través de los instrumentos financieros.</w:t>
      </w:r>
    </w:p>
    <w:p w:rsidR="00786B3E" w:rsidRDefault="00786B3E" w:rsidP="00786B3E">
      <w:r>
        <w:t>El sector de transformación esloveno está formado principalmente por pymes, muchas de las cuales esperan futuras posibilidades de inversión. Una de ellas es una empresa (X).</w:t>
      </w:r>
    </w:p>
    <w:p w:rsidR="00786B3E" w:rsidRDefault="00786B3E" w:rsidP="00786B3E">
      <w:r>
        <w:t xml:space="preserve">Esta empresa (X) se dedica a la actividad </w:t>
      </w:r>
      <w:r w:rsidR="00893DFD">
        <w:t>“</w:t>
      </w:r>
      <w:r>
        <w:rPr>
          <w:i/>
        </w:rPr>
        <w:t>Transformación y conservación de pescado, crustáceos y moluscos» y</w:t>
      </w:r>
      <w:r>
        <w:t xml:space="preserve"> a la actividad </w:t>
      </w:r>
      <w:r w:rsidR="00893DFD">
        <w:t>“</w:t>
      </w:r>
      <w:r>
        <w:rPr>
          <w:i/>
        </w:rPr>
        <w:t>Otras actividades de consultoría empresarial y de gestión</w:t>
      </w:r>
      <w:r>
        <w:t>». La empresa posee un 100 % de empresas de distribución (A, B y C). En conjunto, las empresas generan (datos de 2020) 20 310 102 EUR en ingresos netos por ventas, emplean a 105 trabajadores y tienen un valor de activos de 22 114 773 EUR.</w:t>
      </w:r>
    </w:p>
    <w:p w:rsidR="00786B3E" w:rsidRDefault="00786B3E" w:rsidP="00786B3E">
      <w:r>
        <w:t>De acuerdo con la normativa europea, esta empresa, junto con sus empresas propiedad al 100 %, es una de las medianas empresas, que se consideran empresas que emplean a menos de 250 personas y cuyo volumen de negocios anual no supera los 50 millones de euros o cuyo balance general anual no supera los 43 millones de euros.</w:t>
      </w:r>
    </w:p>
    <w:p w:rsidR="00786B3E" w:rsidRDefault="00786B3E" w:rsidP="00786B3E">
      <w:r>
        <w:t xml:space="preserve">Sin embargo, la empresa (X) es propiedad al 100 % de otra empresa (Z), que tiene actividad </w:t>
      </w:r>
      <w:r>
        <w:rPr>
          <w:i/>
        </w:rPr>
        <w:t>PRODUCCIÓN DE POULTRY MEAT</w:t>
      </w:r>
      <w:r>
        <w:t xml:space="preserve"> y genera anualmente 44 011 808 EUR de ingresos netos por ventas, emplea a 415 trabajadores y tiene activos por valor de 43 128 437 EUR. La empresa Z es propiedad al 58 % de la empresa Y, que se dedica a la actividad </w:t>
      </w:r>
      <w:r>
        <w:rPr>
          <w:i/>
        </w:rPr>
        <w:t xml:space="preserve">PRODUCCIÓN DE PRODUCTOS </w:t>
      </w:r>
      <w:r>
        <w:t>y genera anualmente 73 207 489 EUR de ingresos netos por ventas, emplea a 267 trabajadores y tiene un valor patrimonial de 86 599 415 EUR.</w:t>
      </w:r>
    </w:p>
    <w:p w:rsidR="00786B3E" w:rsidRDefault="00786B3E" w:rsidP="00786B3E">
      <w:r>
        <w:t>Nos interesa determinar el tamaño de la empresa X teniendo en cuenta la Recomendación 2003/361/CE de la Comisión y especialmente teniendo en cuenta que las actividades realizadas por los propietarios de la empresa (es decir, las empresas Z e Y) son completamente diferentes de las actividades de la empresa X.</w:t>
      </w:r>
    </w:p>
    <w:p w:rsidR="00786B3E" w:rsidRDefault="00786B3E" w:rsidP="00786B3E">
      <w:r>
        <w:t>¿Se definiría la empresa (X) como una gran empresa debido a los propietarios (Z e Y) mencionados anteriormente, aunque sus propietarios no realicen las mismas actividades?</w:t>
      </w:r>
    </w:p>
    <w:p w:rsidR="00786B3E" w:rsidRDefault="00786B3E" w:rsidP="00786B3E">
      <w:r>
        <w:t>Me gustaría pedirle su opinión sobre el tamaño de esta empresa, reconociendo que, si se trata de una gran empresa, ya han expresado su falta de interés en instrumentos financieros.</w:t>
      </w:r>
    </w:p>
    <w:p w:rsidR="00786B3E" w:rsidRDefault="00786B3E" w:rsidP="00786B3E"/>
    <w:p w:rsidR="00786B3E" w:rsidRDefault="00786B3E" w:rsidP="00786B3E">
      <w:pPr>
        <w:pStyle w:val="P68B1DB1-Normal1"/>
      </w:pPr>
      <w:r>
        <w:t>Respuesta.</w:t>
      </w:r>
    </w:p>
    <w:p w:rsidR="00786B3E" w:rsidRDefault="00786B3E" w:rsidP="00786B3E">
      <w:r>
        <w:lastRenderedPageBreak/>
        <w:t>El artículo 28 del Reglamento FEMPA dispone lo siguiente:</w:t>
      </w:r>
    </w:p>
    <w:p w:rsidR="00786B3E" w:rsidRDefault="00786B3E" w:rsidP="00786B3E">
      <w:r>
        <w:t>«Para alcanzar el objetivo específico a que se refiere el artículo 26, apartado 1, letra b), del presente Reglamento en lo que respecta a la transformación de productos de la pesca y la acuicultura, el apoyo a empresas distintas de las pymes solo se concederá a través de los instrumentos financieros previstos en el artículo 58 del Reglamento (UE) 2021/1060 o a través de InvestEU, de conformidad con el artículo 10 del Reglamento (UE) 2021/523.».</w:t>
      </w:r>
    </w:p>
    <w:p w:rsidR="00786B3E" w:rsidRDefault="00786B3E" w:rsidP="00786B3E">
      <w:r>
        <w:t>El artículo 2, apartado 1, del anexo de la Recomendación 2003/361/CE de la Comisión sobre la definición de microempresas, pequeñas y medianas empresas (PYME) establece que la categoría de PYME está constituida por las empresas que ocupan a menos de 250 personas y cuyo volumen de negocios anual no excede de 50 millones EUR o cuyo balance general anual no excede de 43 millones EUR.</w:t>
      </w:r>
    </w:p>
    <w:p w:rsidR="00786B3E" w:rsidRDefault="00786B3E" w:rsidP="00786B3E">
      <w:r>
        <w:t>El artículo 3, apartado 3, del mismo anexo establece que las «empresas vinculadas» se tendrán en cuenta para calcular el número de empleados y los importes financieros de que se trate.  De conformidad con el artículo 3, apartado 3, letra a), una empresa vinculada es una empresa que «tiene la mayoría de los derechos de voto de los accionistas o socios de otra empresa».</w:t>
      </w:r>
    </w:p>
    <w:p w:rsidR="00786B3E" w:rsidRDefault="00786B3E" w:rsidP="00786B3E">
      <w:r>
        <w:t xml:space="preserve">Sobre la base de los hechos que usted ha presentado en su pregunta, las empresas X, Z e Y parecen ser empresas vinculadas, </w:t>
      </w:r>
      <w:r w:rsidR="002F3719">
        <w:t xml:space="preserve">ya que, </w:t>
      </w:r>
      <w:r>
        <w:t>forman un grupo a través de la propiedad directa o indirecta de la empresa X por parte de las empresas Z e Y. El hecho de que los operadores no trabajen en el mismo mercado es irrelevante y no influye en la determinación de la empresa como pyme o gran empresa.</w:t>
      </w:r>
    </w:p>
    <w:p w:rsidR="00786B3E" w:rsidRDefault="00786B3E" w:rsidP="00786B3E">
      <w:r>
        <w:t xml:space="preserve">Por lo tanto, significa que el 100 % de los efectivos, el volumen de negocios o el balance de las empresas asociadas de Y </w:t>
      </w:r>
      <w:proofErr w:type="spellStart"/>
      <w:r>
        <w:t>y</w:t>
      </w:r>
      <w:proofErr w:type="spellEnd"/>
      <w:r>
        <w:t xml:space="preserve"> Z deben añadirse a las cifras de la empresa X.</w:t>
      </w:r>
    </w:p>
    <w:p w:rsidR="00786B3E" w:rsidRDefault="00786B3E" w:rsidP="00786B3E">
      <w:r>
        <w:t>En conclusión, consideramos que la empresa X debe considerarse una gran empresa y, como tal, solo puede recibir ayuda a través de instrumentos financieros de conformidad con el artículo 28 del FEMPA.</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proporcionada las deficiencias del mercado o las situaciones de inversión subóptimas, </w:t>
      </w:r>
      <w:r>
        <w:lastRenderedPageBreak/>
        <w:t>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22" w:name="scroll-bookmark-609"/>
      <w:bookmarkStart w:id="523" w:name="scroll-bookmark-610"/>
      <w:bookmarkEnd w:id="522"/>
      <w:r>
        <w:t xml:space="preserve">QA611: </w:t>
      </w:r>
      <w:r w:rsidR="00DF0906">
        <w:t>EMFAF</w:t>
      </w:r>
      <w:r>
        <w:t xml:space="preserve"> Presentación de programas</w:t>
      </w:r>
      <w:bookmarkEnd w:id="523"/>
    </w:p>
    <w:p w:rsidR="00786B3E" w:rsidRDefault="00786B3E" w:rsidP="00786B3E">
      <w:r>
        <w:rPr>
          <w:noProof/>
          <w:lang w:val="es-ES"/>
        </w:rPr>
        <w:drawing>
          <wp:inline distT="0" distB="0" distL="0" distR="0" wp14:anchorId="09896C94" wp14:editId="7817301F">
            <wp:extent cx="152435" cy="152435"/>
            <wp:effectExtent l="0" t="0" r="0" b="0"/>
            <wp:docPr id="101051" name="Imagen 1010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21 del Reglamento FEMPA</w:t>
      </w:r>
    </w:p>
    <w:p w:rsidR="00786B3E" w:rsidRDefault="00786B3E" w:rsidP="00786B3E">
      <w:r>
        <w:rPr>
          <w:noProof/>
          <w:lang w:val="es-ES"/>
        </w:rPr>
        <w:drawing>
          <wp:inline distT="0" distB="0" distL="0" distR="0" wp14:anchorId="2C9E049B" wp14:editId="45238527">
            <wp:extent cx="152435" cy="152435"/>
            <wp:effectExtent l="0" t="0" r="0" b="0"/>
            <wp:docPr id="101053" name="Imagen 1010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Polonia</w:t>
      </w:r>
    </w:p>
    <w:p w:rsidR="00786B3E" w:rsidRDefault="00786B3E" w:rsidP="00786B3E"/>
    <w:p w:rsidR="00786B3E" w:rsidRDefault="00786B3E" w:rsidP="00786B3E">
      <w:r>
        <w:t>Pregunta relativa al artículo 21, apartado 5, del Reglamento (UE) 2021/1139 del Parlamento Europeo y del Consejo, de 7 de julio de 2021, por el que se establece el Fondo Europeo Marítimo, de Pesca y de Acuicultura, y por el que se modifica el Reglamento (UE) 2017/1004</w:t>
      </w:r>
    </w:p>
    <w:p w:rsidR="00786B3E" w:rsidRDefault="00786B3E" w:rsidP="00786B3E">
      <w:r>
        <w:t>Teniendo en cuenta las dudas y las preguntas del pescador polaco sobre la redacción del artículo 21, apartado 5, relativo a la anguila, del Reglamento FEMPA, Polonia solicita una respuesta a las preguntas que figuran a continuación.</w:t>
      </w:r>
    </w:p>
    <w:p w:rsidR="00786B3E" w:rsidRDefault="00786B3E" w:rsidP="00786B3E">
      <w:pPr>
        <w:pStyle w:val="P68B1DB1-Normal1"/>
      </w:pPr>
      <w:r>
        <w:br/>
        <w:t>Pregunta 1:</w:t>
      </w:r>
    </w:p>
    <w:p w:rsidR="00786B3E" w:rsidRDefault="00786B3E" w:rsidP="00786B3E">
      <w:r>
        <w:t>¿Debe considerarse que cualquier día con la anguila capturada, incluso si la anguila se captura como captura accesoria con artes de pesca utilizados para la pesca dirigida a otras especies, es un día de pesca de anguila que no puede tenerse en cuenta como uno de los 120 días mencionados en el artículo 21, punto 5, letras a) a c)?</w:t>
      </w:r>
    </w:p>
    <w:p w:rsidR="00786B3E" w:rsidRDefault="00786B3E" w:rsidP="00786B3E">
      <w:pPr>
        <w:pStyle w:val="P68B1DB1-Normal1"/>
      </w:pPr>
      <w:r>
        <w:t>Pregunta 2: </w:t>
      </w:r>
    </w:p>
    <w:p w:rsidR="00786B3E" w:rsidRDefault="00786B3E" w:rsidP="00786B3E">
      <w:r>
        <w:t>¿Se aplica la disposición sobre la anguila únicamente a la pesca dirigida con artes de pesca de la anguila?</w:t>
      </w:r>
    </w:p>
    <w:p w:rsidR="00786B3E" w:rsidRDefault="00786B3E" w:rsidP="00786B3E">
      <w:pPr>
        <w:pStyle w:val="P68B1DB1-Normal1"/>
      </w:pPr>
      <w:r>
        <w:t>Pregunta 3: </w:t>
      </w:r>
    </w:p>
    <w:p w:rsidR="00786B3E" w:rsidRDefault="00786B3E" w:rsidP="00786B3E">
      <w:r>
        <w:t>Cuando se lleve a cabo una operación de pesca en un día con artes de pesca para la anguila y con artes de pesca para otras especies, ¿se contabilizará el día sin capturas de anguila como uno de los 120 días suponiendo que los artes de pesca de la anguila se recojan por separado cada otro día?</w:t>
      </w:r>
    </w:p>
    <w:p w:rsidR="00786B3E" w:rsidRDefault="00786B3E" w:rsidP="00786B3E"/>
    <w:p w:rsidR="00786B3E" w:rsidRDefault="00786B3E" w:rsidP="00786B3E">
      <w:r>
        <w:t xml:space="preserve">En opinión de Polonia, las capturas en las que la anguila esté presente como especie objetivo o como captura accesoria no pueden contabilizarse como uno de los 120 días necesarios para beneficiarse de la paralización temporal. Cuando la anguila se captura como captura accesoria y se libera de nuevo en el agua, ese día de pesca podrá contabilizarse a efectos de los días requeridos en virtud del artículo 21 sexies. 5 del Reglamento FEMPA. En opinión de Polonia, el objetivo de la disposición sobre la anguila es reducir la presión pesquera sobre la anguila, por lo que, en caso de liberación de la </w:t>
      </w:r>
      <w:r>
        <w:lastRenderedPageBreak/>
        <w:t>anguila capturada como captura accesoria, este objetivo se alcanzará y es posible contabilizar el día de pesca a partir de los 120 días requeridos.</w:t>
      </w:r>
    </w:p>
    <w:p w:rsidR="00786B3E" w:rsidRDefault="00786B3E" w:rsidP="00786B3E">
      <w:pPr>
        <w:pStyle w:val="P68B1DB1-Normal1"/>
      </w:pPr>
      <w:r>
        <w:t>Respuestas:</w:t>
      </w:r>
    </w:p>
    <w:p w:rsidR="00786B3E" w:rsidRDefault="00786B3E" w:rsidP="00786B3E">
      <w:r>
        <w:t>El artículo 21, apartado 5, del Reglamento FEMPA establece que se requiere un número mínimo de días de mar para poder optar a la paralización temporal con arreglo al artículo 21, apartado 1, del FEMPA. Este mínimo no se aplica a las «pesquerías de anguila». Esta excepción tiene por objeto ofrecer flexibilidad a esta pesquería, dada su naturaleza específica y el estado de la especie.</w:t>
      </w:r>
    </w:p>
    <w:p w:rsidR="00786B3E" w:rsidRDefault="00786B3E" w:rsidP="00786B3E">
      <w:r>
        <w:t>Por «pesca de anguila» debe entenderse la pesca que lleva a cabo una «pesca dirigida» dirigida específicamente a la anguila, tal como se define en el artículo 6, apartado 3, del Reglamento (CE) n.º 2019/1241 (Reglamento sobre medidas técnicas). Además, la obligación de desembarque no se aplica a la anguila porque la anguila no está sujeta a límites de capturas (tal como se establece en el artículo 15 (1) del Reglamento (CE) n.º 1380/2013 sobre la política pesquera común), y no hay actos delegados ni disposiciones específicas relativas a la anguila en el Reglamento 2016/1139 (plan plurianual para el Báltico). En el mar Báltico existen restricciones a la pesca de la anguila y no está permitido mantener a bordo la anguila capturada con ningún arte activo. Cuando se capturen accidentalmente, la anguila deberá liberarse inmediatamente (anexo VII, parte C, punto 6, del Reglamento sobre medidas técnicas).</w:t>
      </w:r>
    </w:p>
    <w:p w:rsidR="00786B3E" w:rsidRDefault="00786B3E" w:rsidP="00786B3E">
      <w:r>
        <w:t>En vista de lo expuesto:</w:t>
      </w:r>
    </w:p>
    <w:p w:rsidR="00786B3E" w:rsidRDefault="00786B3E" w:rsidP="00786B3E">
      <w:pPr>
        <w:pStyle w:val="P68B1DB1-Normal1"/>
      </w:pPr>
      <w:r>
        <w:t>Respuesta 1:</w:t>
      </w:r>
    </w:p>
    <w:p w:rsidR="00786B3E" w:rsidRDefault="00786B3E" w:rsidP="00786B3E">
      <w:r>
        <w:t>La excepción para las pesquerías de anguila en virtud del artículo 21, apartado 5, del Reglamento FEMPA en relación con la referencia al número de días de mar no se aplica a la captura obligatoria y la liberación de la anguila capturada accidentalmente (captura accesoria).</w:t>
      </w:r>
    </w:p>
    <w:p w:rsidR="00786B3E" w:rsidRDefault="00786B3E" w:rsidP="00786B3E">
      <w:pPr>
        <w:pStyle w:val="P68B1DB1-Normal1"/>
      </w:pPr>
      <w:r>
        <w:t>Respuesta 2:</w:t>
      </w:r>
    </w:p>
    <w:p w:rsidR="00786B3E" w:rsidRDefault="00786B3E" w:rsidP="00786B3E">
      <w:r>
        <w:t>La excepción prevista en el artículo 21, apartado 5, solo se aplica a la pesca dirigida a la anguila con artes de pesca dirigidos a la anguila.</w:t>
      </w:r>
    </w:p>
    <w:p w:rsidR="00786B3E" w:rsidRDefault="00786B3E" w:rsidP="00786B3E">
      <w:pPr>
        <w:pStyle w:val="P68B1DB1-Normal1"/>
      </w:pPr>
      <w:r>
        <w:t>Respuesta 3:</w:t>
      </w:r>
    </w:p>
    <w:p w:rsidR="00786B3E" w:rsidRDefault="00786B3E" w:rsidP="00786B3E">
      <w:r>
        <w:t>Solo los días de pesca de la pesca dirigida a la anguila están sujetos a la excepción prevista en el artículo 21, apartado 5, independientemente de la cantidad de anguila efectivamente capturada.</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 xml:space="preserve">De conformidad con el artículo 12 del Reglamento (UE) 2021/1139 (Reglamento FEMPA), las operaciones seleccionadas por los Estados miembros deben entrar en el ámbito de aplicación de las prioridades y los objetivos específicos establecidos en el </w:t>
      </w:r>
      <w:r>
        <w:lastRenderedPageBreak/>
        <w:t>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24" w:name="scroll-bookmark-611"/>
      <w:bookmarkStart w:id="525" w:name="scroll-bookmark-612"/>
      <w:bookmarkEnd w:id="524"/>
      <w:r>
        <w:t>QA613: Autoridades del programa/función de contabilidad de los Estados miembros</w:t>
      </w:r>
      <w:bookmarkEnd w:id="525"/>
    </w:p>
    <w:p w:rsidR="00786B3E" w:rsidRDefault="00786B3E" w:rsidP="00786B3E">
      <w:r>
        <w:rPr>
          <w:noProof/>
          <w:lang w:val="es-ES"/>
        </w:rPr>
        <w:drawing>
          <wp:inline distT="0" distB="0" distL="0" distR="0" wp14:anchorId="7EB7F0A5" wp14:editId="7197F515">
            <wp:extent cx="152435" cy="152435"/>
            <wp:effectExtent l="0" t="0" r="0" b="0"/>
            <wp:docPr id="101055" name="Imagen 1010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r>
        <w:rPr>
          <w:b/>
        </w:rPr>
        <w:t xml:space="preserve"> </w:t>
      </w:r>
      <w:r>
        <w:t>Artículo 71 del Reglamento</w:t>
      </w:r>
      <w:r>
        <w:rPr>
          <w:b/>
        </w:rPr>
        <w:t xml:space="preserve"> </w:t>
      </w:r>
      <w:r>
        <w:t>sobre disposiciones comunes de 2021-2027</w:t>
      </w:r>
    </w:p>
    <w:p w:rsidR="00786B3E" w:rsidRDefault="00786B3E" w:rsidP="00786B3E">
      <w:r>
        <w:rPr>
          <w:noProof/>
          <w:lang w:val="es-ES"/>
        </w:rPr>
        <w:drawing>
          <wp:inline distT="0" distB="0" distL="0" distR="0" wp14:anchorId="6DA20C4E" wp14:editId="7CBEF8E7">
            <wp:extent cx="152435" cy="152435"/>
            <wp:effectExtent l="0" t="0" r="0" b="0"/>
            <wp:docPr id="101057" name="Imagen 1010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España</w:t>
      </w:r>
    </w:p>
    <w:p w:rsidR="00786B3E" w:rsidRDefault="00786B3E" w:rsidP="00786B3E"/>
    <w:p w:rsidR="00786B3E" w:rsidRDefault="00786B3E" w:rsidP="00786B3E">
      <w:pPr>
        <w:pStyle w:val="P68B1DB1-Normal1"/>
      </w:pPr>
      <w:r>
        <w:br/>
      </w:r>
      <w:r w:rsidR="00377B57">
        <w:t>Pregunta</w:t>
      </w:r>
    </w:p>
    <w:p w:rsidR="00786B3E" w:rsidRDefault="00786B3E" w:rsidP="00786B3E">
      <w:r>
        <w:t>La pregunta se refiere a la estructura de gestión del nuevo programa.</w:t>
      </w:r>
    </w:p>
    <w:p w:rsidR="00786B3E" w:rsidRDefault="00786B3E" w:rsidP="00786B3E">
      <w:r>
        <w:t> De conformidad con el artículo 71, apartado 1, del RDC, el Estado miembro podrá confiar la función de contabilidad (artículo 76) a un organismo distinto de la autoridad de gestión; en tales casos, este organismo se identificará como autoridad del programa (RDC, artículo 72.1).</w:t>
      </w:r>
    </w:p>
    <w:p w:rsidR="00786B3E" w:rsidRDefault="00786B3E" w:rsidP="00786B3E">
      <w:r>
        <w:t>El artículo 71, apartado 3, del RDC también establece que la autoridad de gestión podrá designar organismos intermedios para llevar a cabo determinadas tareas bajo su responsabilidad. Los acuerdos entre la autoridad de gestión y los OI se registrarán por escrito.</w:t>
      </w:r>
    </w:p>
    <w:p w:rsidR="00786B3E" w:rsidRDefault="00786B3E" w:rsidP="00786B3E">
      <w:r>
        <w:t>De conformidad con lo anterior, la función de contabilidad la encomienda el Estado miembro, y no se trata de una delegación de la autoridad de gestión.</w:t>
      </w:r>
    </w:p>
    <w:p w:rsidR="00786B3E" w:rsidRDefault="00786B3E" w:rsidP="00786B3E">
      <w:r>
        <w:t>De acuerdo con lo anterior</w:t>
      </w:r>
      <w:r>
        <w:rPr>
          <w:u w:val="single"/>
        </w:rPr>
        <w:t>,</w:t>
      </w:r>
      <w:r>
        <w:t xml:space="preserve"> se plantea la cuestión de si el organismo encargado de la función de contabilidad puede designar organismos intermedios, </w:t>
      </w:r>
      <w:r w:rsidR="002F3719">
        <w:t xml:space="preserve">ya que, </w:t>
      </w:r>
      <w:r>
        <w:t>su misión se recibe directamente del Estado miembro y no es delegada por la AG.</w:t>
      </w:r>
    </w:p>
    <w:p w:rsidR="00786B3E" w:rsidRDefault="00786B3E" w:rsidP="00786B3E"/>
    <w:p w:rsidR="00786B3E" w:rsidRDefault="00786B3E" w:rsidP="00786B3E">
      <w:pPr>
        <w:pStyle w:val="P68B1DB1-Normal1"/>
      </w:pPr>
      <w:r>
        <w:t>Respuesta.</w:t>
      </w:r>
    </w:p>
    <w:p w:rsidR="00786B3E" w:rsidRDefault="00786B3E" w:rsidP="00786B3E">
      <w:r>
        <w:t>Artículo 2 (8) «organismo intermedio»: un organismo público o privado que actúa bajo la responsabilidad de una autoridad de gestión o que desempeña funciones o tareas en nombre de dicha autoridad.</w:t>
      </w:r>
    </w:p>
    <w:p w:rsidR="00786B3E" w:rsidRDefault="00786B3E" w:rsidP="00786B3E">
      <w:r>
        <w:lastRenderedPageBreak/>
        <w:t>El RDC no regula las disposiciones internas de la autoridad del programa responsable de la función de contabilidad. Es responsabilidad del Estado miembro organizar su funcionamiento.</w:t>
      </w:r>
    </w:p>
    <w:p w:rsidR="00786B3E" w:rsidRDefault="00786B3E" w:rsidP="00786B3E">
      <w:r>
        <w:t>Solo la autoridad de gestión puede identificar organismos intermedios para llevar a cabo tareas bajo su responsabilidad.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26" w:name="scroll-bookmark-613"/>
      <w:bookmarkStart w:id="527" w:name="scroll-bookmark-614"/>
      <w:bookmarkEnd w:id="526"/>
      <w:r>
        <w:t xml:space="preserve">QA614: </w:t>
      </w:r>
      <w:r w:rsidR="00DF0906">
        <w:t>EMFAF</w:t>
      </w:r>
      <w:r>
        <w:t xml:space="preserve"> El cese permanente con </w:t>
      </w:r>
      <w:proofErr w:type="spellStart"/>
      <w:r>
        <w:t>retroadaptación</w:t>
      </w:r>
      <w:proofErr w:type="spellEnd"/>
      <w:r>
        <w:t xml:space="preserve"> en el marco del plan plurianual para el Báltico y el FEMPA</w:t>
      </w:r>
      <w:bookmarkEnd w:id="527"/>
    </w:p>
    <w:p w:rsidR="00786B3E" w:rsidRDefault="00786B3E" w:rsidP="00786B3E">
      <w:r>
        <w:rPr>
          <w:noProof/>
          <w:lang w:val="es-ES"/>
        </w:rPr>
        <w:drawing>
          <wp:inline distT="0" distB="0" distL="0" distR="0" wp14:anchorId="455FBDC3" wp14:editId="04FFC7D2">
            <wp:extent cx="152435" cy="152435"/>
            <wp:effectExtent l="0" t="0" r="0" b="0"/>
            <wp:docPr id="101059" name="Imagen 1010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20 del Reglamento FEMPA</w:t>
      </w:r>
    </w:p>
    <w:p w:rsidR="00786B3E" w:rsidRDefault="00786B3E" w:rsidP="00786B3E">
      <w:r>
        <w:rPr>
          <w:noProof/>
          <w:lang w:val="es-ES"/>
        </w:rPr>
        <w:drawing>
          <wp:inline distT="0" distB="0" distL="0" distR="0" wp14:anchorId="63A17EEE" wp14:editId="458F60C7">
            <wp:extent cx="152435" cy="152435"/>
            <wp:effectExtent l="0" t="0" r="0" b="0"/>
            <wp:docPr id="101061" name="Imagen 1010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Dinamarca</w:t>
      </w:r>
    </w:p>
    <w:p w:rsidR="00786B3E" w:rsidRDefault="00786B3E" w:rsidP="00786B3E"/>
    <w:p w:rsidR="00786B3E" w:rsidRDefault="00786B3E" w:rsidP="00786B3E">
      <w:pPr>
        <w:pStyle w:val="P68B1DB1-Normal1"/>
      </w:pPr>
      <w:r>
        <w:br/>
        <w:t>Pregunta 1:</w:t>
      </w:r>
    </w:p>
    <w:p w:rsidR="00786B3E" w:rsidRDefault="00786B3E" w:rsidP="00786B3E">
      <w:r>
        <w:t xml:space="preserve">¿Es posible conceder la paralización definitiva con desmantelamiento y </w:t>
      </w:r>
      <w:proofErr w:type="spellStart"/>
      <w:r>
        <w:t>retroadaptación</w:t>
      </w:r>
      <w:proofErr w:type="spellEnd"/>
      <w:r>
        <w:t xml:space="preserve"> en el marco del FEMPA y el plan plurianual para el Báltico?</w:t>
      </w:r>
    </w:p>
    <w:p w:rsidR="00786B3E" w:rsidRDefault="00786B3E" w:rsidP="00786B3E">
      <w:pPr>
        <w:pStyle w:val="P68B1DB1-Normal1"/>
      </w:pPr>
      <w:r>
        <w:t>Pregunta 2:</w:t>
      </w:r>
    </w:p>
    <w:p w:rsidR="00786B3E" w:rsidRDefault="00786B3E" w:rsidP="00786B3E">
      <w:r>
        <w:t xml:space="preserve">¿Puede el buque </w:t>
      </w:r>
      <w:proofErr w:type="spellStart"/>
      <w:r>
        <w:t>retroadaptado</w:t>
      </w:r>
      <w:proofErr w:type="spellEnd"/>
      <w:r>
        <w:t xml:space="preserve"> exportarse a un tercer país después de que haya sido readaptado?</w:t>
      </w:r>
    </w:p>
    <w:p w:rsidR="00786B3E" w:rsidRDefault="00786B3E" w:rsidP="00786B3E"/>
    <w:p w:rsidR="00786B3E" w:rsidRDefault="00786B3E" w:rsidP="00786B3E">
      <w:pPr>
        <w:pStyle w:val="P68B1DB1-Normal1"/>
      </w:pPr>
      <w:r>
        <w:lastRenderedPageBreak/>
        <w:t>Respuesta 1:</w:t>
      </w:r>
    </w:p>
    <w:p w:rsidR="00786B3E" w:rsidRDefault="00786B3E" w:rsidP="00786B3E">
      <w:r>
        <w:t xml:space="preserve">De conformidad con el artículo 20, apartado 2, letra b), del Reglamento FEMPA, la </w:t>
      </w:r>
      <w:proofErr w:type="spellStart"/>
      <w:r>
        <w:t>paralización</w:t>
      </w:r>
      <w:r>
        <w:rPr>
          <w:i/>
        </w:rPr>
        <w:t>definitiva</w:t>
      </w:r>
      <w:proofErr w:type="spellEnd"/>
      <w:r>
        <w:rPr>
          <w:i/>
        </w:rPr>
        <w:t xml:space="preserve"> «se logra mediante el desguace del buque pesquero o mediante su desmantelamiento y adaptación para actividades distintas de la pesca comercial, en consonancia con los objetivos de la PPC y de los planes plurianuales a que se refiere el Reglamento (UE) </w:t>
      </w:r>
      <w:proofErr w:type="gramStart"/>
      <w:r>
        <w:rPr>
          <w:i/>
        </w:rPr>
        <w:t>n.o</w:t>
      </w:r>
      <w:proofErr w:type="gramEnd"/>
      <w:r>
        <w:t>1380/2013».</w:t>
      </w:r>
    </w:p>
    <w:p w:rsidR="00786B3E" w:rsidRDefault="00786B3E" w:rsidP="00786B3E">
      <w:r>
        <w:t xml:space="preserve">De conformidad con el artículo 20, apartado 2, letra a), del Reglamento FEMPA, el apoyo a la paralización definitiva de las actividades pesqueras solo está </w:t>
      </w:r>
      <w:proofErr w:type="spellStart"/>
      <w:r>
        <w:t>disponible</w:t>
      </w:r>
      <w:r>
        <w:rPr>
          <w:i/>
        </w:rPr>
        <w:t>cuando</w:t>
      </w:r>
      <w:proofErr w:type="spellEnd"/>
      <w:r>
        <w:rPr>
          <w:i/>
        </w:rPr>
        <w:t xml:space="preserve"> «la paralización esté prevista como instrumento de un plan de acción contemplado en el artículo 22, apartado 4, del Reglamento</w:t>
      </w:r>
      <w:r>
        <w:t>(UE) n.º 1380/2013». Por lo tanto, todos los segmentos de la flota que cumplen esta condición son elegibles. No existe ninguna limitación del ámbito de aplicación a determinadas cuencas marítimas, como ocurrió en el marco del FEMP con respecto al plan plurianual para el Báltico y al diputado al Parlamento Europeo del Mediterráneo occidental. El artículo 8 bis del Reglamento (UE) 2016/1139 (plan plurianual para el Báltico), modificado en 2020, se refiere únicamente a las condiciones para la ayuda en el marco del FEMP, por lo que no se refiere a las condiciones de subvencionabilidad en el marco del FEMPA.</w:t>
      </w:r>
    </w:p>
    <w:p w:rsidR="00786B3E" w:rsidRDefault="00786B3E" w:rsidP="00786B3E">
      <w:r>
        <w:t xml:space="preserve">Por lo tanto, es posible conceder ayudas para la paralización definitiva con desmantelamiento y </w:t>
      </w:r>
      <w:proofErr w:type="spellStart"/>
      <w:r>
        <w:t>retroadaptación</w:t>
      </w:r>
      <w:proofErr w:type="spellEnd"/>
      <w:r>
        <w:t xml:space="preserve"> en el contexto del plan plurianual para el Báltico, siempre que los segmentos de la flota en cuestión cumplan los requisitos establecidos en el artículo 20, apartado 2, letra a), y que la </w:t>
      </w:r>
      <w:proofErr w:type="spellStart"/>
      <w:proofErr w:type="gramStart"/>
      <w:r>
        <w:t>adaptación</w:t>
      </w:r>
      <w:r>
        <w:rPr>
          <w:i/>
        </w:rPr>
        <w:t>«</w:t>
      </w:r>
      <w:proofErr w:type="gramEnd"/>
      <w:r>
        <w:rPr>
          <w:i/>
        </w:rPr>
        <w:t>se</w:t>
      </w:r>
      <w:proofErr w:type="spellEnd"/>
      <w:r>
        <w:rPr>
          <w:i/>
        </w:rPr>
        <w:t xml:space="preserve"> </w:t>
      </w:r>
      <w:proofErr w:type="spellStart"/>
      <w:r>
        <w:rPr>
          <w:i/>
        </w:rPr>
        <w:t>mantenga</w:t>
      </w:r>
      <w:r>
        <w:t>en</w:t>
      </w:r>
      <w:proofErr w:type="spellEnd"/>
      <w:r>
        <w:t xml:space="preserve"> consonancia» con los objetivos de dicho plan plurianual. El considerando 30 del Reglamento FEMPA ofrece orientaciones a este respecto: «</w:t>
      </w:r>
      <w:r>
        <w:rPr>
          <w:i/>
        </w:rPr>
        <w:t>cuando la adaptación dé lugar a una mayor presión de la pesca recreativa sobre el ecosistema marino, el apoyo solo debe concederse si se ajusta a la PPC y a los objetivos de los planes plurianuales pertinentes</w:t>
      </w:r>
      <w:r>
        <w:t>».</w:t>
      </w:r>
    </w:p>
    <w:p w:rsidR="00786B3E" w:rsidRDefault="00786B3E" w:rsidP="00786B3E">
      <w:pPr>
        <w:pStyle w:val="P68B1DB1-Normal1"/>
      </w:pPr>
      <w:r>
        <w:t>Respuesta 2:</w:t>
      </w:r>
    </w:p>
    <w:p w:rsidR="00786B3E" w:rsidRDefault="00786B3E" w:rsidP="00786B3E">
      <w:r>
        <w:t xml:space="preserve">De conformidad con el artículo 15 del Reglamento del FEMPA, cuando se conceda ayuda en virtud del capítulo II (del que forma parte el artículo 20) con respecto a un buque pesquero de la Unión, dicho buque no podrá ser transferido ni </w:t>
      </w:r>
      <w:proofErr w:type="spellStart"/>
      <w:r>
        <w:t>reabanderado</w:t>
      </w:r>
      <w:proofErr w:type="spellEnd"/>
      <w:r>
        <w:t xml:space="preserve"> fuera de la Unión durante al menos cinco años a partir del pago final de la operación subvencionada.</w:t>
      </w:r>
    </w:p>
    <w:p w:rsidR="00786B3E" w:rsidRDefault="00786B3E" w:rsidP="00786B3E">
      <w:r>
        <w:t xml:space="preserve">En conclusión, es posible exportar el buque </w:t>
      </w:r>
      <w:proofErr w:type="spellStart"/>
      <w:r>
        <w:t>retroadaptado</w:t>
      </w:r>
      <w:proofErr w:type="spellEnd"/>
      <w:r>
        <w:t xml:space="preserve"> 5 años después del pago final de la operación subvencionada.</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 xml:space="preserve">De conformidad con el artículo 12 del Reglamento (UE) 2021/1139 (Reglamento FEMPA), las operaciones seleccionadas por los Estados miembros deben entrar en el ámbito de aplicación de las prioridades y los objetivos específicos establecidos en el </w:t>
      </w:r>
      <w:r>
        <w:lastRenderedPageBreak/>
        <w:t>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28" w:name="scroll-bookmark-615"/>
      <w:bookmarkStart w:id="529" w:name="scroll-bookmark-616"/>
      <w:bookmarkEnd w:id="528"/>
      <w:r>
        <w:t xml:space="preserve">QA615: </w:t>
      </w:r>
      <w:r w:rsidR="00DF0906">
        <w:t>EMFAF</w:t>
      </w:r>
      <w:r>
        <w:t xml:space="preserve"> Anexo III Definiciones del FEMPA</w:t>
      </w:r>
      <w:bookmarkEnd w:id="529"/>
    </w:p>
    <w:p w:rsidR="00786B3E" w:rsidRDefault="00786B3E" w:rsidP="00786B3E">
      <w:r>
        <w:rPr>
          <w:noProof/>
          <w:lang w:val="es-ES"/>
        </w:rPr>
        <w:drawing>
          <wp:inline distT="0" distB="0" distL="0" distR="0" wp14:anchorId="288096D9" wp14:editId="6827D387">
            <wp:extent cx="152435" cy="152435"/>
            <wp:effectExtent l="0" t="0" r="0" b="0"/>
            <wp:docPr id="101063" name="Imagen 1010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III del Reglamento FEMPA</w:t>
      </w:r>
    </w:p>
    <w:p w:rsidR="00786B3E" w:rsidRDefault="00786B3E" w:rsidP="00786B3E">
      <w:r>
        <w:rPr>
          <w:noProof/>
          <w:lang w:val="es-ES"/>
        </w:rPr>
        <w:drawing>
          <wp:inline distT="0" distB="0" distL="0" distR="0" wp14:anchorId="5AEAD3EF" wp14:editId="7DD15542">
            <wp:extent cx="152435" cy="152435"/>
            <wp:effectExtent l="0" t="0" r="0" b="0"/>
            <wp:docPr id="101065" name="Imagen 1010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 xml:space="preserve">Nous </w:t>
      </w:r>
      <w:proofErr w:type="spellStart"/>
      <w:r>
        <w:t>nous</w:t>
      </w:r>
      <w:proofErr w:type="spellEnd"/>
      <w:r>
        <w:t xml:space="preserve"> </w:t>
      </w:r>
      <w:proofErr w:type="spellStart"/>
      <w:r>
        <w:t>nous</w:t>
      </w:r>
      <w:proofErr w:type="spellEnd"/>
      <w:r>
        <w:t xml:space="preserve"> </w:t>
      </w:r>
      <w:proofErr w:type="spellStart"/>
      <w:r>
        <w:t>interrogeons</w:t>
      </w:r>
      <w:proofErr w:type="spellEnd"/>
      <w:r>
        <w:t xml:space="preserve"> sur </w:t>
      </w:r>
      <w:proofErr w:type="spellStart"/>
      <w:r>
        <w:t>l’existence</w:t>
      </w:r>
      <w:proofErr w:type="spellEnd"/>
      <w:r>
        <w:t xml:space="preserve"> de </w:t>
      </w:r>
      <w:proofErr w:type="spellStart"/>
      <w:r>
        <w:t>définitions</w:t>
      </w:r>
      <w:proofErr w:type="spellEnd"/>
      <w:r>
        <w:t xml:space="preserve"> </w:t>
      </w:r>
      <w:proofErr w:type="spellStart"/>
      <w:r>
        <w:t>européennes</w:t>
      </w:r>
      <w:proofErr w:type="spellEnd"/>
      <w:r>
        <w:t xml:space="preserve"> pour les termes «</w:t>
      </w:r>
      <w:proofErr w:type="spellStart"/>
      <w:r>
        <w:t>être</w:t>
      </w:r>
      <w:proofErr w:type="spellEnd"/>
      <w:r>
        <w:t xml:space="preserve"> </w:t>
      </w:r>
      <w:proofErr w:type="spellStart"/>
      <w:r>
        <w:t>d’intérêt</w:t>
      </w:r>
      <w:proofErr w:type="spellEnd"/>
      <w:r>
        <w:t xml:space="preserve"> </w:t>
      </w:r>
      <w:proofErr w:type="spellStart"/>
      <w:r>
        <w:t>collectif</w:t>
      </w:r>
      <w:proofErr w:type="spellEnd"/>
      <w:r>
        <w:t>» et «</w:t>
      </w:r>
      <w:proofErr w:type="spellStart"/>
      <w:r>
        <w:t>présenter</w:t>
      </w:r>
      <w:proofErr w:type="spellEnd"/>
      <w:r>
        <w:t xml:space="preserve"> des </w:t>
      </w:r>
      <w:proofErr w:type="spellStart"/>
      <w:r>
        <w:t>caractéristiques</w:t>
      </w:r>
      <w:proofErr w:type="spellEnd"/>
      <w:r>
        <w:t xml:space="preserve"> </w:t>
      </w:r>
      <w:proofErr w:type="spellStart"/>
      <w:r>
        <w:t>innovantes</w:t>
      </w:r>
      <w:proofErr w:type="spellEnd"/>
      <w:r>
        <w:t xml:space="preserve"> ou garantir un </w:t>
      </w:r>
      <w:proofErr w:type="spellStart"/>
      <w:r>
        <w:t>accès</w:t>
      </w:r>
      <w:proofErr w:type="spellEnd"/>
      <w:r>
        <w:t xml:space="preserve"> </w:t>
      </w:r>
      <w:proofErr w:type="spellStart"/>
      <w:r>
        <w:t>public</w:t>
      </w:r>
      <w:proofErr w:type="spellEnd"/>
      <w:r>
        <w:t xml:space="preserve"> à </w:t>
      </w:r>
      <w:proofErr w:type="spellStart"/>
      <w:r>
        <w:t>leurs</w:t>
      </w:r>
      <w:proofErr w:type="spellEnd"/>
      <w:r>
        <w:t xml:space="preserve"> </w:t>
      </w:r>
      <w:proofErr w:type="spellStart"/>
      <w:r>
        <w:t>résultats</w:t>
      </w:r>
      <w:proofErr w:type="spellEnd"/>
      <w:r>
        <w:t xml:space="preserve">» inscriben dans </w:t>
      </w:r>
      <w:proofErr w:type="spellStart"/>
      <w:r>
        <w:t>l’appe</w:t>
      </w:r>
      <w:proofErr w:type="spellEnd"/>
      <w:r>
        <w:t xml:space="preserve"> III du </w:t>
      </w:r>
      <w:proofErr w:type="spellStart"/>
      <w:r>
        <w:t>règlement</w:t>
      </w:r>
      <w:proofErr w:type="spellEnd"/>
      <w:r>
        <w:t xml:space="preserve"> FEAMPA </w:t>
      </w:r>
      <w:proofErr w:type="spellStart"/>
      <w:r>
        <w:t>relative</w:t>
      </w:r>
      <w:proofErr w:type="spellEnd"/>
      <w:r>
        <w:t xml:space="preserve"> au taux </w:t>
      </w:r>
      <w:proofErr w:type="spellStart"/>
      <w:r>
        <w:t>maximum</w:t>
      </w:r>
      <w:proofErr w:type="spellEnd"/>
      <w:r>
        <w:t xml:space="preserve"> </w:t>
      </w:r>
      <w:proofErr w:type="spellStart"/>
      <w:r>
        <w:t>d’intensité</w:t>
      </w:r>
      <w:proofErr w:type="spellEnd"/>
      <w:r>
        <w:t xml:space="preserve">. En </w:t>
      </w:r>
      <w:proofErr w:type="spellStart"/>
      <w:r>
        <w:t>effet</w:t>
      </w:r>
      <w:proofErr w:type="spellEnd"/>
      <w:r>
        <w:t xml:space="preserve">, nous </w:t>
      </w:r>
      <w:proofErr w:type="spellStart"/>
      <w:r>
        <w:t>avons</w:t>
      </w:r>
      <w:proofErr w:type="spellEnd"/>
      <w:r>
        <w:t xml:space="preserve"> </w:t>
      </w:r>
      <w:proofErr w:type="spellStart"/>
      <w:r>
        <w:t>déjà</w:t>
      </w:r>
      <w:proofErr w:type="spellEnd"/>
      <w:r>
        <w:t xml:space="preserve"> la </w:t>
      </w:r>
      <w:proofErr w:type="spellStart"/>
      <w:r>
        <w:t>définition</w:t>
      </w:r>
      <w:proofErr w:type="spellEnd"/>
      <w:r>
        <w:t xml:space="preserve"> de </w:t>
      </w:r>
      <w:proofErr w:type="spellStart"/>
      <w:r>
        <w:t>bénéficiaire</w:t>
      </w:r>
      <w:proofErr w:type="spellEnd"/>
      <w:r>
        <w:t xml:space="preserve"> </w:t>
      </w:r>
      <w:proofErr w:type="spellStart"/>
      <w:r>
        <w:t>collectif</w:t>
      </w:r>
      <w:proofErr w:type="spellEnd"/>
      <w:r>
        <w:t xml:space="preserve">. Cela </w:t>
      </w:r>
      <w:proofErr w:type="spellStart"/>
      <w:r>
        <w:t>faciliterait</w:t>
      </w:r>
      <w:proofErr w:type="spellEnd"/>
      <w:r>
        <w:t xml:space="preserve"> une </w:t>
      </w:r>
      <w:proofErr w:type="spellStart"/>
      <w:r>
        <w:t>interprétation</w:t>
      </w:r>
      <w:proofErr w:type="spellEnd"/>
      <w:r>
        <w:t xml:space="preserve"> </w:t>
      </w:r>
      <w:proofErr w:type="spellStart"/>
      <w:r>
        <w:t>commune</w:t>
      </w:r>
      <w:proofErr w:type="spellEnd"/>
      <w:r>
        <w:t>.</w:t>
      </w:r>
    </w:p>
    <w:p w:rsidR="00786B3E" w:rsidRDefault="00786B3E" w:rsidP="00786B3E"/>
    <w:p w:rsidR="00786B3E" w:rsidRDefault="00786B3E" w:rsidP="00786B3E">
      <w:pPr>
        <w:pStyle w:val="P68B1DB1-Normal1"/>
      </w:pPr>
      <w:r>
        <w:t>Respuesta.</w:t>
      </w:r>
    </w:p>
    <w:p w:rsidR="00786B3E" w:rsidRDefault="00786B3E" w:rsidP="00786B3E">
      <w:r>
        <w:rPr>
          <w:b/>
        </w:rPr>
        <w:t>El interés colectivo</w:t>
      </w:r>
      <w:r>
        <w:t xml:space="preserve"> se refiere al interés de los miembros de la organización, de un grupo de partes interesadas o del público en general. Por lo tanto, las acciones apoyadas deben abarcar más que la suma de los intereses individuales de los miembros del beneficiario colectivo. Por lo tanto, su ámbito de aplicación es más amplio que el de las empresas privadas. Las autoridades de gestión deben velar por que las acciones colectivas no se utilicen para aprovechar indebidamente las disposiciones más favorables para los beneficiarios colectivos.</w:t>
      </w:r>
    </w:p>
    <w:p w:rsidR="00786B3E" w:rsidRDefault="00786B3E" w:rsidP="00786B3E">
      <w:r>
        <w:rPr>
          <w:b/>
        </w:rPr>
        <w:t>Las características innovadoras</w:t>
      </w:r>
      <w:r>
        <w:t xml:space="preserve"> se refieren a actividades de innovación.</w:t>
      </w:r>
    </w:p>
    <w:p w:rsidR="00786B3E" w:rsidRDefault="00786B3E" w:rsidP="00786B3E">
      <w:r>
        <w:t>Según el manual OSLO 2</w:t>
      </w:r>
      <w:hyperlink w:anchor="scroll-bookmark-617" w:history="1">
        <w:r>
          <w:rPr>
            <w:rStyle w:val="Hipervnculo"/>
          </w:rPr>
          <w:t>[1]</w:t>
        </w:r>
      </w:hyperlink>
      <w:r>
        <w:t>:</w:t>
      </w:r>
    </w:p>
    <w:p w:rsidR="00786B3E" w:rsidRDefault="00786B3E" w:rsidP="00786B3E">
      <w:r>
        <w:t>— Una innovación empresarial es un producto o proceso empresarial nuevo o mejorado (o una combinación de estos) que difiere significativamente de los anteriores productos o procesos empresariales de la empresa y que ha sido introducido en el mercado o puesto en uso por la empresa.</w:t>
      </w:r>
    </w:p>
    <w:p w:rsidR="00786B3E" w:rsidRDefault="00786B3E" w:rsidP="00786B3E">
      <w:r>
        <w:t>— Una innovación de producto es un bien o servicio nuevo o mejorado que difiere significativamente de los bienes o servicios anteriores de la empresa y que se ha introducido en el mercado.</w:t>
      </w:r>
    </w:p>
    <w:p w:rsidR="00786B3E" w:rsidRDefault="00786B3E" w:rsidP="00786B3E">
      <w:r>
        <w:lastRenderedPageBreak/>
        <w:t> — Una innovación en procesos empresariales es un proceso de negocio nuevo o mejorado para una o varias funciones empresariales que difiere significativamente de los procesos empresariales anteriores de la empresa y que ha sido puesto en funcionamiento por la empresa.</w:t>
      </w:r>
    </w:p>
    <w:p w:rsidR="00786B3E" w:rsidRDefault="00786B3E" w:rsidP="00786B3E">
      <w:r>
        <w:t>En el contexto del FEMPA, esto puede incluir:</w:t>
      </w:r>
    </w:p>
    <w:p w:rsidR="00786B3E" w:rsidRDefault="00786B3E" w:rsidP="00786B3E">
      <w:r>
        <w:t>— identificación o aplicación de innovaciones útiles para encontrar soluciones de comercialización,</w:t>
      </w:r>
    </w:p>
    <w:p w:rsidR="00786B3E" w:rsidRDefault="00786B3E" w:rsidP="00786B3E">
      <w:r>
        <w:t>— identificación o aplicación de nuevas ideas que sean útiles para encontrar soluciones a cuestiones relacionadas con los procesos empresariales (por ejemplo, una pesca más sostenible),</w:t>
      </w:r>
    </w:p>
    <w:p w:rsidR="00786B3E" w:rsidRDefault="00786B3E" w:rsidP="00786B3E">
      <w:r>
        <w:t>— identificación o aplicación de nuevas ideas que den lugar a nuevos productos y servicios (por ejemplo, servicios medioambientales y sociales),</w:t>
      </w:r>
    </w:p>
    <w:p w:rsidR="00786B3E" w:rsidRDefault="00786B3E" w:rsidP="00786B3E">
      <w:r>
        <w:t>— apoyo a cambios o mejoras en una serie de tareas o actividades vinculadas para ayudar mejor a las empresas a alcanzar sus objetivos.</w:t>
      </w:r>
    </w:p>
    <w:p w:rsidR="00786B3E" w:rsidRDefault="00786B3E" w:rsidP="00786B3E">
      <w:r>
        <w:t>Quedan excluidos únicamente los estudios, la investigación y el asesoramiento sobre posibles innovaciones en el futuro.</w:t>
      </w:r>
    </w:p>
    <w:p w:rsidR="00786B3E" w:rsidRDefault="00786B3E" w:rsidP="00786B3E"/>
    <w:p w:rsidR="00786B3E" w:rsidRDefault="00FC0FB1" w:rsidP="00786B3E">
      <w:hyperlink w:anchor="scroll-bookmark-618" w:history="1">
        <w:r w:rsidR="00786B3E">
          <w:rPr>
            <w:rStyle w:val="Hipervnculo"/>
          </w:rPr>
          <w:t>[1]</w:t>
        </w:r>
      </w:hyperlink>
      <w:r w:rsidR="00786B3E">
        <w:t xml:space="preserve"> Manual de Oslo 2018: Directrices para la recopilación, la presentación de informes y el uso de datos sobre innovación.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[12 bis (1) (a) del Reglamento FEMPA, las operaciones seleccionadas por los Estados miembros deben entrar en el ámbito de aplicación de las prioridades y los objetivos específicos establecidos en el artículo 9, apartado 2, no deben ser subvencionables con arreglo al artículo 13 y deben ser conformes con el Derecho de la Unión aplicable.</w:t>
      </w:r>
    </w:p>
    <w:p w:rsidR="00786B3E" w:rsidRDefault="00786B3E" w:rsidP="00786B3E">
      <w:pPr>
        <w:pStyle w:val="P68B1DB1-Normal4"/>
      </w:pPr>
      <w:r>
        <w:t>De conformidad con el considerando 6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30" w:name="scroll-bookmark-619"/>
      <w:bookmarkStart w:id="531" w:name="scroll-bookmark-620"/>
      <w:bookmarkEnd w:id="530"/>
      <w:r>
        <w:t xml:space="preserve">QA616: </w:t>
      </w:r>
      <w:r w:rsidR="00DF0906">
        <w:t>EMFAF</w:t>
      </w:r>
      <w:r>
        <w:t xml:space="preserve"> Autorización de ayudas estatales necesaria en el marco del FEMPA</w:t>
      </w:r>
      <w:bookmarkEnd w:id="531"/>
    </w:p>
    <w:p w:rsidR="00786B3E" w:rsidRDefault="00786B3E" w:rsidP="00786B3E">
      <w:r>
        <w:rPr>
          <w:noProof/>
          <w:lang w:val="es-ES"/>
        </w:rPr>
        <w:drawing>
          <wp:inline distT="0" distB="0" distL="0" distR="0" wp14:anchorId="62C0B238" wp14:editId="15820841">
            <wp:extent cx="152435" cy="152435"/>
            <wp:effectExtent l="0" t="0" r="0" b="0"/>
            <wp:docPr id="101067" name="Imagen 1010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10 del Reglamento FEMPA</w:t>
      </w:r>
    </w:p>
    <w:p w:rsidR="00786B3E" w:rsidRDefault="00786B3E" w:rsidP="00786B3E">
      <w:r>
        <w:rPr>
          <w:noProof/>
          <w:lang w:val="es-ES"/>
        </w:rPr>
        <w:lastRenderedPageBreak/>
        <w:drawing>
          <wp:inline distT="0" distB="0" distL="0" distR="0" wp14:anchorId="38836D65" wp14:editId="250895FB">
            <wp:extent cx="152435" cy="152435"/>
            <wp:effectExtent l="0" t="0" r="0" b="0"/>
            <wp:docPr id="101069" name="Imagen 1010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 EE</w:t>
      </w:r>
    </w:p>
    <w:p w:rsidR="00786B3E" w:rsidRDefault="00786B3E" w:rsidP="00786B3E"/>
    <w:p w:rsidR="00786B3E" w:rsidRDefault="00377B57" w:rsidP="00786B3E">
      <w:r>
        <w:t>Pregunta</w:t>
      </w:r>
    </w:p>
    <w:p w:rsidR="00786B3E" w:rsidRDefault="00786B3E" w:rsidP="00786B3E">
      <w:r>
        <w:t>¿Para qué ayuda concedida en virtud del Reglamento FEMPA será necesario obtener la autorización de las ayudas estatales?</w:t>
      </w:r>
    </w:p>
    <w:p w:rsidR="00786B3E" w:rsidRDefault="00786B3E" w:rsidP="00786B3E">
      <w:pPr>
        <w:pStyle w:val="P68B1DB1-Normal1"/>
      </w:pPr>
      <w:r>
        <w:t>Pregunta ES:</w:t>
      </w:r>
    </w:p>
    <w:p w:rsidR="00786B3E" w:rsidRDefault="00786B3E" w:rsidP="00786B3E">
      <w:r>
        <w:t xml:space="preserve">El artículo 42 TFUE establece: </w:t>
      </w:r>
      <w:r>
        <w:rPr>
          <w:i/>
        </w:rPr>
        <w:t>Las disposiciones del capítulo relativo a las normas sobre la competencia serán aplicables a la producción y al comercio de los productos agrícolas solo en la medida determinada por el Parlamento Europeo y el Consejo, en el marco de las disposiciones y de acuerdo con el procedimiento previsto en el artículo 43, apartado 2, teniendo en cuenta los objetivos enunciados en el artículo 39.</w:t>
      </w:r>
    </w:p>
    <w:p w:rsidR="00786B3E" w:rsidRDefault="00786B3E" w:rsidP="00786B3E">
      <w:r>
        <w:t xml:space="preserve">El artículo 43, apartado 2, del TFUE establece que: </w:t>
      </w:r>
      <w:r>
        <w:rPr>
          <w:i/>
        </w:rPr>
        <w:t>El Parlamento Europeo y el Consejo establecerán, con arreglo al procedimiento legislativo ordinario y previa consulta al Comité Económico y Social, la organización común de los mercados agrícolas prevista en el artículo 40, apartado 1, así como las demás disposiciones que resulten necesarias para la consecución de los objetivos de la política común de agricultura y pesca.</w:t>
      </w:r>
    </w:p>
    <w:p w:rsidR="00786B3E" w:rsidRDefault="00786B3E" w:rsidP="00786B3E">
      <w:r>
        <w:t>Por lo tanto, para aplicar dichos artículos y, por tanto, aplicar la excepción a la aplicación de las normas de competencia a los productos enumerados en el anexo I del TFUE, el Parlamento y el Consejo están obligados a determinar cómo hacerlo.</w:t>
      </w:r>
    </w:p>
    <w:p w:rsidR="00786B3E" w:rsidRDefault="00786B3E" w:rsidP="00786B3E">
      <w:r>
        <w:t xml:space="preserve">A tal fin, el artículo 10, apartado 2, del FEMPA establece lo siguiente: </w:t>
      </w:r>
      <w:r>
        <w:rPr>
          <w:i/>
        </w:rPr>
        <w:t xml:space="preserve">Los artículos 107, 108 y 109 del TFUE no se aplicarán a los pagos efectuados por los Estados miembros en </w:t>
      </w:r>
      <w:r>
        <w:rPr>
          <w:b/>
          <w:i/>
          <w:u w:val="single"/>
        </w:rPr>
        <w:t>virtud del presente</w:t>
      </w:r>
      <w:r>
        <w:rPr>
          <w:b/>
          <w:i/>
        </w:rPr>
        <w:t xml:space="preserve"> </w:t>
      </w:r>
      <w:r>
        <w:rPr>
          <w:i/>
        </w:rPr>
        <w:t>Reglamento y que entren en el ámbito de aplicación del artículo 42 del</w:t>
      </w:r>
      <w:r>
        <w:t xml:space="preserve"> TFUE.</w:t>
      </w:r>
    </w:p>
    <w:p w:rsidR="00786B3E" w:rsidRDefault="00786B3E" w:rsidP="00786B3E">
      <w:r>
        <w:t>En el período 2014-2020, lo mismo se incluyó en el Reglamento, sin embargo, cuando se establecieron las medidas específicas y se adoptó el Reglamento en codecisión, entendemos que el Parlamento y el Consejo establecieron las ayudas para las que se aplica la excepción para los productos del anexo I. En nuestra opinión, esto aplica el TFUE de la UE.</w:t>
      </w:r>
    </w:p>
    <w:p w:rsidR="00786B3E" w:rsidRDefault="00786B3E" w:rsidP="00786B3E">
      <w:r>
        <w:t>Sin embargo, para el período 2021-2027, este no es el caso, y el Reglamento (CE) no 1139/2021 no incluye las medidas, con excepción de los casos específicos de motores, paradas temporales o desguace. A este respecto, la mayoría de las medidas serán establecidas por los Estados miembros en nuestros programas operativos y estos PO son aprobados por Decisión de la Comisión y no por el Consejo y el Parlamento. Por lo tanto, no consideramos clara la aplicación efectiva del TFUE de la UE, salvo en el caso de las paradas, desguace, etc., que se recogen expresamente en el Reglamento 1139/2021.</w:t>
      </w:r>
    </w:p>
    <w:p w:rsidR="00786B3E" w:rsidRDefault="00786B3E" w:rsidP="00786B3E">
      <w:r>
        <w:t>Por lo tanto, la primera duda es qué ocurre con aquellos tipos de actividades incluidas en el Programa Operativo, que no se mencionan expresamente en el texto del Reglamento 1139/2021, y que se refieren a la producción, comercialización y transformación de los productos de la pesca y la acuicultura enumerados en el anexo I. Por ejemplo, las ayudas a las inversiones productivas en acuicultura o a las inversiones a bordo para pasar a artes más selectivos</w:t>
      </w:r>
      <w:r>
        <w:rPr>
          <w:b/>
        </w:rPr>
        <w:t xml:space="preserve">. </w:t>
      </w:r>
      <w:proofErr w:type="spellStart"/>
      <w:r>
        <w:rPr>
          <w:b/>
        </w:rPr>
        <w:t>Cuando</w:t>
      </w:r>
      <w:r>
        <w:rPr>
          <w:u w:val="single"/>
        </w:rPr>
        <w:t>se</w:t>
      </w:r>
      <w:proofErr w:type="spellEnd"/>
      <w:r>
        <w:rPr>
          <w:u w:val="single"/>
        </w:rPr>
        <w:t xml:space="preserve"> dirigen a empresas del sector, </w:t>
      </w:r>
      <w:r>
        <w:rPr>
          <w:b/>
        </w:rPr>
        <w:t xml:space="preserve">¿deben organizarse estas acciones mediante un reglamento sobre ayudas estatales o </w:t>
      </w:r>
      <w:r>
        <w:rPr>
          <w:b/>
        </w:rPr>
        <w:lastRenderedPageBreak/>
        <w:t>basta con describirlas en el PO y declarar que están organizadas en el marco del FEMPA?</w:t>
      </w:r>
    </w:p>
    <w:p w:rsidR="00786B3E" w:rsidRDefault="00786B3E" w:rsidP="00786B3E">
      <w:r>
        <w:t xml:space="preserve">La segunda cuestión que se nos plantea se refiere a la evaluación de si deben ser objeto de ayuda estatal sobre la base del producto, la actividad o el beneficiario. A este respecto, el artículo 42 TFUE establece: </w:t>
      </w:r>
      <w:r>
        <w:rPr>
          <w:i/>
        </w:rPr>
        <w:t xml:space="preserve">Las disposiciones del capítulo relativo a las normas sobre la competencia serán aplicables a la </w:t>
      </w:r>
      <w:r>
        <w:rPr>
          <w:b/>
          <w:i/>
          <w:u w:val="single"/>
        </w:rPr>
        <w:t>producción y al comercio de los productos agrícolas solo en</w:t>
      </w:r>
      <w:r>
        <w:rPr>
          <w:b/>
          <w:i/>
        </w:rPr>
        <w:t xml:space="preserve"> </w:t>
      </w:r>
      <w:r>
        <w:rPr>
          <w:i/>
        </w:rPr>
        <w:t>la medida determinada por el Parlamento Europeo y el Consejo, en el marco de las disposiciones y de acuerdo con el procedimiento previsto en el artículo 43, apartado 2, teniendo en cuenta los objetivos enunciados en el</w:t>
      </w:r>
      <w:r>
        <w:t xml:space="preserve"> artículo 39.</w:t>
      </w:r>
    </w:p>
    <w:p w:rsidR="00786B3E" w:rsidRDefault="00786B3E" w:rsidP="00786B3E">
      <w:r>
        <w:t xml:space="preserve">Por lo tanto, se indica que puede haber una excepción a la aplicación de las normas de competencia, pero solo en lo que se refiere a la </w:t>
      </w:r>
      <w:r>
        <w:rPr>
          <w:b/>
        </w:rPr>
        <w:t>producción y al comercio</w:t>
      </w:r>
      <w:r>
        <w:t>. A este respecto, tenemos la duda de lo que ocurre con todo lo relacionado con la formación, la innovación, la protección y conservación del medio marino, etc., que, pese a ser realizadas por el sector de la pesca y la acuicultura, no se refieren específicamente a la producción o al comercio. En tales casos, ¿deberíamos regirnos siempre por las normas sobre ayudas estatales?  Esto es importante porque, como saben, la gran mayoría de las acciones en el ámbito de la pesca y muchas de las actividades de acuicultura y transformación no son productivas: Por ejemplo, formación, innovación, participación en campañas de investigación, recogida de residuos, eficiencia energética, uso del agua, etc.</w:t>
      </w:r>
    </w:p>
    <w:p w:rsidR="00786B3E" w:rsidRDefault="00786B3E" w:rsidP="00786B3E">
      <w:r>
        <w:t>Además, y si tenemos que regirnos por la normativa sobre ayudas estatales, nos encontramos en una situación de inseguridad que queda más clara por un ejemplo. En nuestra propuesta de Programa Operativo, hemos incluido más actividades formativas que las recogidas en la propuesta de Reglamento de Exenciones, por lo que no sabemos en qué situación quedarían estas acciones propuestas en nuestro PO si finalmente no estuvieran incluidas en el Reglamento de exenciones a aprobar.</w:t>
      </w:r>
    </w:p>
    <w:p w:rsidR="00786B3E" w:rsidRDefault="00786B3E" w:rsidP="00786B3E"/>
    <w:p w:rsidR="00786B3E" w:rsidRDefault="00786B3E" w:rsidP="00786B3E">
      <w:pPr>
        <w:pStyle w:val="P68B1DB1-Normal1"/>
      </w:pPr>
      <w:r>
        <w:t>Pregunta EE:</w:t>
      </w:r>
    </w:p>
    <w:p w:rsidR="00786B3E" w:rsidRDefault="00786B3E" w:rsidP="00786B3E">
      <w:r>
        <w:t>EE tiene previsto comprar un buque de investigación con financiación del FEMPA (por un organismo público). En caso de que no haya actividad económica, no parece necesaria la aprobación de la ayuda estatal. Sin embargo, si realiza la aprobación de la actividad económica con arreglo al artículo 26 del RGEC, podría ser una posibilidad.</w:t>
      </w:r>
    </w:p>
    <w:p w:rsidR="00786B3E" w:rsidRDefault="00786B3E" w:rsidP="00786B3E"/>
    <w:p w:rsidR="00786B3E" w:rsidRDefault="00786B3E" w:rsidP="00786B3E">
      <w:pPr>
        <w:pStyle w:val="P68B1DB1-Normal1"/>
      </w:pPr>
      <w:r>
        <w:t>Respuesta a la pregunta ES: </w:t>
      </w:r>
    </w:p>
    <w:p w:rsidR="00786B3E" w:rsidRDefault="00786B3E" w:rsidP="00786B3E">
      <w:r>
        <w:t xml:space="preserve">De conformidad con el artículo 10, apartado 1, del FEMPA, las normas sobre ayudas estatales se aplican en general a los sectores de la pesca y la acuicultura. No obstante, el artículo 10, apartado 2, del FEMPA </w:t>
      </w:r>
      <w:r>
        <w:rPr>
          <w:i/>
        </w:rPr>
        <w:t xml:space="preserve">establece que los artículos 107, 108 y 109 del TFUE no se aplicarán a los pagos efectuados por los Estados miembros en virtud del </w:t>
      </w:r>
      <w:proofErr w:type="spellStart"/>
      <w:r>
        <w:rPr>
          <w:b/>
          <w:i/>
          <w:u w:val="single"/>
        </w:rPr>
        <w:t>presente</w:t>
      </w:r>
      <w:r>
        <w:rPr>
          <w:i/>
        </w:rPr>
        <w:t>Reglamento</w:t>
      </w:r>
      <w:proofErr w:type="spellEnd"/>
      <w:r>
        <w:rPr>
          <w:b/>
          <w:i/>
        </w:rPr>
        <w:t xml:space="preserve"> </w:t>
      </w:r>
      <w:r>
        <w:rPr>
          <w:i/>
        </w:rPr>
        <w:t>y que entren en el ámbito de aplicación del artículo 42</w:t>
      </w:r>
      <w:r>
        <w:t xml:space="preserve"> del TFUE.</w:t>
      </w:r>
    </w:p>
    <w:p w:rsidR="00786B3E" w:rsidRDefault="00786B3E" w:rsidP="00786B3E">
      <w:r>
        <w:t xml:space="preserve">Mediante su decisión de adoptar el Reglamento FEMPA, el Parlamento Europeo y el Consejo decidieron que, cuando un Estado miembro efectúe pagos para operaciones que ejecuten el programa nacional del FEMPA del Estado miembro, y dichas operaciones contribuyan a una de las prioridades del Reglamento FEMPA y a uno de los objetivos </w:t>
      </w:r>
      <w:r>
        <w:lastRenderedPageBreak/>
        <w:t>temáticos del RDC y no constituyan una operación no subvencionable de conformidad con el artículo 13 del FEMPA, se cumple la primera condición del artículo 10, apartado 2.</w:t>
      </w:r>
    </w:p>
    <w:p w:rsidR="00786B3E" w:rsidRDefault="00786B3E" w:rsidP="00786B3E">
      <w:r>
        <w:t>La segunda condición del artículo 10, apartado 2, exige que el pago esté comprendido en el ámbito de aplicación del artículo 42 TFUE.</w:t>
      </w:r>
    </w:p>
    <w:p w:rsidR="00786B3E" w:rsidRDefault="00786B3E" w:rsidP="00786B3E">
      <w:r>
        <w:t xml:space="preserve">El artículo 42 se </w:t>
      </w:r>
      <w:proofErr w:type="spellStart"/>
      <w:proofErr w:type="gramStart"/>
      <w:r>
        <w:t>aplica</w:t>
      </w:r>
      <w:r w:rsidR="00893DFD">
        <w:rPr>
          <w:i/>
        </w:rPr>
        <w:t>”</w:t>
      </w:r>
      <w:r>
        <w:rPr>
          <w:b/>
          <w:i/>
          <w:u w:val="single"/>
        </w:rPr>
        <w:t>a</w:t>
      </w:r>
      <w:proofErr w:type="spellEnd"/>
      <w:proofErr w:type="gramEnd"/>
      <w:r>
        <w:rPr>
          <w:b/>
          <w:i/>
          <w:u w:val="single"/>
        </w:rPr>
        <w:t xml:space="preserve"> la producción y al comercio de productos agrícolas únicamente</w:t>
      </w:r>
      <w:r>
        <w:rPr>
          <w:b/>
          <w:i/>
        </w:rPr>
        <w:t xml:space="preserve"> </w:t>
      </w:r>
      <w:r>
        <w:rPr>
          <w:i/>
        </w:rPr>
        <w:t xml:space="preserve">en la medida determinada por el Parlamento Europeo y el Consejo en el marco del artículo 43, apartado 2, y de conformidad con el procedimiento establecido en el mismo, teniendo en cuenta los objetivos enunciados en el artículo 39». </w:t>
      </w:r>
      <w:r>
        <w:t>De conformidad con el artículo 38, apartado 1, del TFUE, el uso del término «agrícola» debe entenderse referido también a la pesca, teniendo en cuenta las características específicas de este sector.</w:t>
      </w:r>
    </w:p>
    <w:p w:rsidR="00786B3E" w:rsidRDefault="00786B3E" w:rsidP="00786B3E">
      <w:r>
        <w:t>De conformidad con el artículo 1, apartado 1, del Reglamento (UE) n.º 1380/2013, la política pesquera común (PPC) abarca a) la conservación de los recursos biológicos marinos y la gestión de las pesquerías y las flotas que explotan dichos recursos; y b) en relación con las medidas relativas a los mercados y las medidas financieras de apoyo a la aplicación de la PPC: los recursos biológicos de agua dulce y la acuicultura, así como la transformación y comercialización de los productos de la pesca y de la acuicultura.</w:t>
      </w:r>
    </w:p>
    <w:p w:rsidR="00786B3E" w:rsidRDefault="00786B3E" w:rsidP="00786B3E">
      <w:r>
        <w:t>Por consiguiente, el artículo 42 del TFUE se refiere a la producción, transformación y comercialización de los productos de la pesca y la acuicultura. Esto significa que todos los pagos para operaciones que contribuyan a la producción y el comercio de productos de la pesca en el marco de los programas nacionales del FEMPA están exentos del requisito de autorización de las ayudas estatales. Por lo tanto, la ayuda abonada a los pescadores, los productores acuícolas y los transformadores de productos de la pesca y la acuicultura que apoya al beneficiario en su calidad de productor de la pesca, acuícola y procesador de productos de la pesca y la acuicultura se consideran pagos para la producción y el comercio de productos de la pesca. El artículo 39 del TFUE no especifica qué actividades deben emprenderse para apoyar los objetivos de la política agrícola y pesquera común.</w:t>
      </w:r>
    </w:p>
    <w:p w:rsidR="00786B3E" w:rsidRDefault="00786B3E" w:rsidP="00786B3E">
      <w:r>
        <w:t> Lo importante es en qué calidad recibe la ayuda el beneficiario y que dicha ayuda entra dentro de los objetivos de la política agrícola común (pesca).</w:t>
      </w:r>
    </w:p>
    <w:p w:rsidR="00786B3E" w:rsidRDefault="00786B3E" w:rsidP="00786B3E">
      <w:r>
        <w:t>Esto significa que todos los pagos para operaciones a beneficiarios en su calidad de productores o procesadores de productos de la pesca y de la acuicultura entran en el ámbito de aplicación del artículo 10, apartado 2, del Reglamento FEMPA.</w:t>
      </w:r>
    </w:p>
    <w:p w:rsidR="00786B3E" w:rsidRDefault="00786B3E" w:rsidP="00786B3E">
      <w:r>
        <w:t>Por ejemplo, si un pescador recibe apoyo para el programa FEMPA de un Estado miembro en forma de formación en relación con su producción o comercio de productos de la pesca, dicha ayuda entra en el ámbito de aplicación de la excepción del artículo 10, apartado 2. Es importante que la formación se refiera a actividades que contribuyan a una de las prioridades del FEMPA y a uno de los objetivos temáticos del RDC.</w:t>
      </w:r>
    </w:p>
    <w:p w:rsidR="00786B3E" w:rsidRDefault="00786B3E" w:rsidP="00786B3E">
      <w:r>
        <w:t>Otro ejemplo, si un pescador recibe apoyo del programa FEMPA de un Estado miembro en forma de formación que no está relacionada con su capacidad de pescador, este apoyo necesitaría la autorización de las ayudas estatales en virtud de uno de los instrumentos de ayuda estatal.</w:t>
      </w:r>
    </w:p>
    <w:p w:rsidR="00786B3E" w:rsidRDefault="00786B3E" w:rsidP="00786B3E"/>
    <w:p w:rsidR="00786B3E" w:rsidRDefault="00786B3E" w:rsidP="00786B3E">
      <w:pPr>
        <w:pStyle w:val="P68B1DB1-Normal1"/>
      </w:pPr>
      <w:r>
        <w:lastRenderedPageBreak/>
        <w:t>Respuesta a la pregunta de EE:</w:t>
      </w:r>
    </w:p>
    <w:p w:rsidR="00786B3E" w:rsidRDefault="00786B3E" w:rsidP="00786B3E">
      <w:r>
        <w:t>La decisión de calificar una actividad de actividad económica no depende de si la actividad la lleva a cabo un agente público o privado, sino de la propia actividad. La adquisición de un buque de investigación se considera una actividad económica de conformidad con el TFUE.</w:t>
      </w:r>
    </w:p>
    <w:p w:rsidR="00786B3E" w:rsidRDefault="00786B3E" w:rsidP="00786B3E">
      <w:r>
        <w:t>En cuanto a la necesidad de autorización de la ayuda estatal para apoyar la adquisición de un buque de investigación en el marco del FEMPA, debe tenerse en cuenta lo siguiente.</w:t>
      </w:r>
    </w:p>
    <w:p w:rsidR="00786B3E" w:rsidRDefault="00786B3E" w:rsidP="00786B3E">
      <w:r>
        <w:t xml:space="preserve">El artículo 10, apartado 2, del FEMPA </w:t>
      </w:r>
      <w:r>
        <w:rPr>
          <w:i/>
        </w:rPr>
        <w:t xml:space="preserve">establece que los artículos 107, 108 y 109 del TFUE no se aplicarán a los pagos efectuados por los Estados miembros en virtud del </w:t>
      </w:r>
      <w:proofErr w:type="spellStart"/>
      <w:r>
        <w:rPr>
          <w:b/>
          <w:i/>
          <w:u w:val="single"/>
        </w:rPr>
        <w:t>presente</w:t>
      </w:r>
      <w:r>
        <w:rPr>
          <w:i/>
        </w:rPr>
        <w:t>Reglamento</w:t>
      </w:r>
      <w:proofErr w:type="spellEnd"/>
      <w:r>
        <w:rPr>
          <w:b/>
          <w:i/>
        </w:rPr>
        <w:t xml:space="preserve"> </w:t>
      </w:r>
      <w:r>
        <w:rPr>
          <w:i/>
        </w:rPr>
        <w:t xml:space="preserve">y que entren en el ámbito de aplicación del artículo 42 del TFUE. </w:t>
      </w:r>
      <w:r>
        <w:t>Si recibe apoyo en el marco del FEMPA, puede considerarse que la compra de un buque de investigación entra en el ámbito de aplicación de la excepción del artículo 10, apartado 2, del FEMPA, si es posible demostrar que el buque se utiliza para aumentar la productividad pesquera promoviendo el progreso técnico (artículo 39 del TFUE) y, por lo tanto, se considera que el beneficiario final es el pescador.</w:t>
      </w:r>
    </w:p>
    <w:p w:rsidR="00786B3E" w:rsidRDefault="00786B3E" w:rsidP="00786B3E">
      <w:r>
        <w:t>Sin embargo, esto obligaría a los Estados miembros a demostrar que el buque de investigación solo beneficiará a los pescadores. Si esto no puede demostrarse, se aplican las normas y procedimientos en materia de ayudas estatales.</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32" w:name="scroll-bookmark-621"/>
      <w:bookmarkStart w:id="533" w:name="scroll-bookmark-622"/>
      <w:bookmarkEnd w:id="532"/>
      <w:r>
        <w:lastRenderedPageBreak/>
        <w:t xml:space="preserve">QA617: </w:t>
      </w:r>
      <w:r w:rsidR="00DF0906">
        <w:t>EMFAF</w:t>
      </w:r>
      <w:r>
        <w:t xml:space="preserve"> Beneficiario Colectivo, anexo III del Reglamento FEMPA</w:t>
      </w:r>
      <w:bookmarkEnd w:id="533"/>
    </w:p>
    <w:p w:rsidR="00786B3E" w:rsidRDefault="00786B3E" w:rsidP="00786B3E">
      <w:r>
        <w:rPr>
          <w:noProof/>
          <w:lang w:val="es-ES"/>
        </w:rPr>
        <w:drawing>
          <wp:inline distT="0" distB="0" distL="0" distR="0" wp14:anchorId="556E934D" wp14:editId="0E15D801">
            <wp:extent cx="152435" cy="152435"/>
            <wp:effectExtent l="0" t="0" r="0" b="0"/>
            <wp:docPr id="101071" name="Imagen 1010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III del Reglamento FEMPA</w:t>
      </w:r>
    </w:p>
    <w:p w:rsidR="00786B3E" w:rsidRDefault="00786B3E" w:rsidP="00786B3E">
      <w:r>
        <w:rPr>
          <w:noProof/>
          <w:lang w:val="es-ES"/>
        </w:rPr>
        <w:drawing>
          <wp:inline distT="0" distB="0" distL="0" distR="0" wp14:anchorId="770C4878" wp14:editId="2D4526F2">
            <wp:extent cx="152435" cy="152435"/>
            <wp:effectExtent l="0" t="0" r="0" b="0"/>
            <wp:docPr id="101073" name="Imagen 1010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Hungría</w:t>
      </w:r>
    </w:p>
    <w:p w:rsidR="00786B3E" w:rsidRDefault="00786B3E" w:rsidP="00786B3E"/>
    <w:p w:rsidR="00786B3E" w:rsidRDefault="00786B3E" w:rsidP="00786B3E">
      <w:pPr>
        <w:pStyle w:val="P68B1DB1-Normal1"/>
      </w:pPr>
      <w:r>
        <w:t>Pregunta (incluidos los hechos y la información pertinentes):</w:t>
      </w:r>
    </w:p>
    <w:p w:rsidR="00786B3E" w:rsidRDefault="00786B3E" w:rsidP="00786B3E">
      <w:r>
        <w:t xml:space="preserve">Existe una empresa que será creada por la Organización Interprofesional Húngara de Acuicultura y Pesca y la Federación Nacional de </w:t>
      </w:r>
      <w:proofErr w:type="spellStart"/>
      <w:r>
        <w:t>Anglers</w:t>
      </w:r>
      <w:proofErr w:type="spellEnd"/>
      <w:r>
        <w:t xml:space="preserve"> </w:t>
      </w:r>
      <w:proofErr w:type="gramStart"/>
      <w:r>
        <w:t>Húngaros</w:t>
      </w:r>
      <w:proofErr w:type="gramEnd"/>
      <w:r>
        <w:t>. La empresa no es un organismo público, por lo que no puede solicitar el porcentaje de intensidad del 100 % con arreglo a la fila 8 del anexo III. del Reglamento FEMPA.</w:t>
      </w:r>
    </w:p>
    <w:p w:rsidR="00786B3E" w:rsidRDefault="00786B3E" w:rsidP="00786B3E"/>
    <w:p w:rsidR="00786B3E" w:rsidRDefault="00786B3E" w:rsidP="00786B3E">
      <w:r>
        <w:t>Pensamos que esta empresa podría continuar nuestra campaña de comercialización (</w:t>
      </w:r>
      <w:proofErr w:type="spellStart"/>
      <w:proofErr w:type="gramStart"/>
      <w:r>
        <w:t>Kapj</w:t>
      </w:r>
      <w:proofErr w:type="spellEnd"/>
      <w:r>
        <w:t xml:space="preserve"> </w:t>
      </w:r>
      <w:proofErr w:type="spellStart"/>
      <w:r>
        <w:t>rá</w:t>
      </w:r>
      <w:proofErr w:type="spellEnd"/>
      <w:r>
        <w:t>!</w:t>
      </w:r>
      <w:proofErr w:type="gramEnd"/>
      <w:r>
        <w:t>) en 2021-27.</w:t>
      </w:r>
    </w:p>
    <w:p w:rsidR="00786B3E" w:rsidRDefault="00786B3E" w:rsidP="00786B3E">
      <w:r>
        <w:t>Nos gustaría preguntarnos, ¿podría esta empresa cumplir los criterios de la fila 14 del anexo II I del Reglamento FEMPA?</w:t>
      </w:r>
    </w:p>
    <w:p w:rsidR="00786B3E" w:rsidRDefault="00786B3E" w:rsidP="00786B3E">
      <w:r>
        <w:t>I) sean de interés colectivo;</w:t>
      </w:r>
    </w:p>
    <w:p w:rsidR="00786B3E" w:rsidRDefault="00786B3E" w:rsidP="00786B3E">
      <w:r>
        <w:t>II) que tengan un beneficiario colectivo;</w:t>
      </w:r>
    </w:p>
    <w:p w:rsidR="00786B3E" w:rsidRDefault="00786B3E" w:rsidP="00786B3E">
      <w:r>
        <w:t>III) tengan características innovadoras o garanticen el acceso del público a sus resultados.</w:t>
      </w:r>
    </w:p>
    <w:p w:rsidR="00786B3E" w:rsidRDefault="00786B3E" w:rsidP="00786B3E"/>
    <w:p w:rsidR="00786B3E" w:rsidRDefault="00786B3E" w:rsidP="00786B3E">
      <w:r>
        <w:t>En nuestra opinión, esta empresa tiene un interés colectivo, se trata de un beneficiario colectivo y, en el inciso iii), podría utilizar nuevas aplicaciones o nuevas herramientas de comercialización (que no se utilizaron antes durante nuestra campaña) como características innovadoras, y se publicarían todos sus resultados.</w:t>
      </w:r>
    </w:p>
    <w:p w:rsidR="00786B3E" w:rsidRDefault="00786B3E" w:rsidP="00786B3E"/>
    <w:p w:rsidR="00786B3E" w:rsidRDefault="00786B3E" w:rsidP="00786B3E">
      <w:pPr>
        <w:pStyle w:val="P68B1DB1-Normal1"/>
      </w:pPr>
      <w:r>
        <w:t>Respuesta.</w:t>
      </w:r>
    </w:p>
    <w:p w:rsidR="00786B3E" w:rsidRDefault="00786B3E" w:rsidP="00786B3E">
      <w:r>
        <w:t>De conformidad con el anexo III del Reglamento FEMPA, deben cumplirse 3 condiciones para que un beneficiario obtenga un porcentaje máximo de intensidad de ayuda del 100 %:</w:t>
      </w:r>
    </w:p>
    <w:p w:rsidR="00786B3E" w:rsidRDefault="00786B3E" w:rsidP="00786B3E">
      <w:r>
        <w:t>I) sean de interés colectivo;</w:t>
      </w:r>
    </w:p>
    <w:p w:rsidR="00786B3E" w:rsidRDefault="00786B3E" w:rsidP="00786B3E">
      <w:r>
        <w:t>II) que tengan un beneficiario colectivo;</w:t>
      </w:r>
    </w:p>
    <w:p w:rsidR="00786B3E" w:rsidRDefault="00786B3E" w:rsidP="00786B3E">
      <w:r>
        <w:t>III) tengan características innovadoras o garanticen el acceso del público a sus resultados.</w:t>
      </w:r>
    </w:p>
    <w:p w:rsidR="00786B3E" w:rsidRDefault="00786B3E" w:rsidP="00786B3E"/>
    <w:p w:rsidR="00786B3E" w:rsidRDefault="00786B3E" w:rsidP="00786B3E">
      <w:pPr>
        <w:numPr>
          <w:ilvl w:val="0"/>
          <w:numId w:val="239"/>
        </w:numPr>
      </w:pPr>
      <w:r>
        <w:t>Por «</w:t>
      </w:r>
      <w:r>
        <w:rPr>
          <w:i/>
        </w:rPr>
        <w:t>beneficiario colectivo</w:t>
      </w:r>
      <w:r>
        <w:t xml:space="preserve">» debe entenderse una organización reconocida por la autoridad responsable como representante de los intereses de sus miembros, </w:t>
      </w:r>
      <w:r>
        <w:lastRenderedPageBreak/>
        <w:t>de un grupo de partes interesadas o del público en general. El beneficiario debe ser la propia organización colectiva y no sus miembros.</w:t>
      </w:r>
    </w:p>
    <w:p w:rsidR="00786B3E" w:rsidRDefault="00786B3E" w:rsidP="00786B3E">
      <w:pPr>
        <w:numPr>
          <w:ilvl w:val="0"/>
          <w:numId w:val="239"/>
        </w:numPr>
      </w:pPr>
      <w:r>
        <w:t>Para poder acogerse al trato preferente definido en el presente anexo, las acciones emprendidas por esta organización también deben redundar en el «</w:t>
      </w:r>
      <w:r>
        <w:rPr>
          <w:i/>
        </w:rPr>
        <w:t>interés colectivo»</w:t>
      </w:r>
      <w:r>
        <w:t xml:space="preserve"> de sus miembros, de un grupo de partes interesadas o del público en general. Por lo tanto, estas acciones deben abarcar más que la suma de los intereses individuales de los miembros de este beneficiario colectivo. Por lo tanto, su ámbito de aplicación es más amplio que el de las empresas privadas.</w:t>
      </w:r>
    </w:p>
    <w:p w:rsidR="00786B3E" w:rsidRDefault="00786B3E" w:rsidP="00786B3E">
      <w:pPr>
        <w:numPr>
          <w:ilvl w:val="0"/>
          <w:numId w:val="239"/>
        </w:numPr>
      </w:pPr>
      <w:r>
        <w:t>El significado de «</w:t>
      </w:r>
      <w:r>
        <w:rPr>
          <w:i/>
        </w:rPr>
        <w:t>acceso público»</w:t>
      </w:r>
      <w:r>
        <w:t xml:space="preserve"> a los resultados de un proyecto financiado con cargo al FEMP se refiere al hecho de que el público en general no debe restringirse tanto a su acceso físico a los resultados de la operación como a su acceso a la información sobre los resultados de la operación.</w:t>
      </w:r>
    </w:p>
    <w:p w:rsidR="00786B3E" w:rsidRDefault="00786B3E" w:rsidP="00786B3E">
      <w:pPr>
        <w:numPr>
          <w:ilvl w:val="0"/>
          <w:numId w:val="239"/>
        </w:numPr>
      </w:pPr>
      <w:r>
        <w:t>Las «</w:t>
      </w:r>
      <w:r>
        <w:rPr>
          <w:i/>
        </w:rPr>
        <w:t>características innovadoras</w:t>
      </w:r>
      <w:r>
        <w:t>» se refieren a las actividades de innovación.</w:t>
      </w:r>
    </w:p>
    <w:p w:rsidR="00786B3E" w:rsidRDefault="00786B3E" w:rsidP="00786B3E">
      <w:r>
        <w:t>Según el manual de la OSLO</w:t>
      </w:r>
      <w:hyperlink w:anchor="scroll-bookmark-623" w:history="1">
        <w:r>
          <w:rPr>
            <w:rStyle w:val="Hipervnculo"/>
          </w:rPr>
          <w:t>[1]</w:t>
        </w:r>
      </w:hyperlink>
      <w:r>
        <w:t>:</w:t>
      </w:r>
    </w:p>
    <w:p w:rsidR="00786B3E" w:rsidRDefault="00786B3E" w:rsidP="00786B3E">
      <w:pPr>
        <w:numPr>
          <w:ilvl w:val="0"/>
          <w:numId w:val="240"/>
        </w:numPr>
      </w:pPr>
      <w:r>
        <w:t>Una innovación empresarial es un producto o proceso empresarial nuevo o mejorado (o una combinación de estos) que difiere significativamente de los anteriores productos o procesos empresariales de la empresa y que ha sido introducido en el mercado o puesto en uso por la empresa.</w:t>
      </w:r>
    </w:p>
    <w:p w:rsidR="00786B3E" w:rsidRDefault="00786B3E" w:rsidP="00786B3E">
      <w:pPr>
        <w:numPr>
          <w:ilvl w:val="0"/>
          <w:numId w:val="240"/>
        </w:numPr>
      </w:pPr>
      <w:r>
        <w:t>Una innovación de producto es un bien o servicio nuevo o mejorado que difiere significativamente de los bienes o servicios anteriores de la empresa y que se ha introducido en el mercado.</w:t>
      </w:r>
    </w:p>
    <w:p w:rsidR="00786B3E" w:rsidRDefault="00786B3E" w:rsidP="00786B3E">
      <w:pPr>
        <w:numPr>
          <w:ilvl w:val="0"/>
          <w:numId w:val="240"/>
        </w:numPr>
      </w:pPr>
      <w:r>
        <w:t>Una innovación de procesos empresariales es un proceso de negocio nuevo o mejorado para una o varias funciones empresariales que difiere significativamente de los procesos empresariales anteriores de la empresa y que ha sido puesto en funcionamiento por la empresa.</w:t>
      </w:r>
    </w:p>
    <w:p w:rsidR="00786B3E" w:rsidRDefault="00786B3E" w:rsidP="00786B3E">
      <w:r>
        <w:t>En el contexto del FEMPA, esto puede incluir:</w:t>
      </w:r>
    </w:p>
    <w:p w:rsidR="00786B3E" w:rsidRDefault="00786B3E" w:rsidP="00786B3E">
      <w:pPr>
        <w:numPr>
          <w:ilvl w:val="0"/>
          <w:numId w:val="241"/>
        </w:numPr>
      </w:pPr>
      <w:r>
        <w:t>identificación o aplicación de innovaciones útiles para encontrar soluciones de comercialización,</w:t>
      </w:r>
    </w:p>
    <w:p w:rsidR="00786B3E" w:rsidRDefault="00786B3E" w:rsidP="00786B3E">
      <w:pPr>
        <w:numPr>
          <w:ilvl w:val="0"/>
          <w:numId w:val="241"/>
        </w:numPr>
      </w:pPr>
      <w:r>
        <w:t>identificación o aplicación de nuevas ideas que sean útiles para encontrar soluciones a cuestiones relacionadas con los procesos empresariales (por ejemplo, una pesca más sostenible),</w:t>
      </w:r>
    </w:p>
    <w:p w:rsidR="00786B3E" w:rsidRDefault="00786B3E" w:rsidP="00786B3E">
      <w:pPr>
        <w:numPr>
          <w:ilvl w:val="0"/>
          <w:numId w:val="241"/>
        </w:numPr>
      </w:pPr>
      <w:r>
        <w:t>identificación o aplicación de nuevas ideas que den lugar a nuevos productos y servicios (por ejemplo, servicios medioambientales y sociales),</w:t>
      </w:r>
    </w:p>
    <w:p w:rsidR="00786B3E" w:rsidRDefault="00786B3E" w:rsidP="00786B3E">
      <w:pPr>
        <w:numPr>
          <w:ilvl w:val="0"/>
          <w:numId w:val="241"/>
        </w:numPr>
      </w:pPr>
      <w:r>
        <w:t>apoyo a cambios o mejoras en una serie de tareas o actividades vinculadas para ayudar mejor a las empresas a alcanzar sus objetivos.</w:t>
      </w:r>
    </w:p>
    <w:p w:rsidR="00786B3E" w:rsidRDefault="00786B3E" w:rsidP="00786B3E">
      <w:r>
        <w:t>Quedan excluidos únicamente los estudios, la investigación y el asesoramiento sobre posibles innovaciones en el futuro.</w:t>
      </w:r>
    </w:p>
    <w:p w:rsidR="00786B3E" w:rsidRDefault="00786B3E" w:rsidP="00786B3E"/>
    <w:p w:rsidR="00786B3E" w:rsidRDefault="00786B3E" w:rsidP="00786B3E">
      <w:r>
        <w:rPr>
          <w:i/>
        </w:rPr>
        <w:t>Teniendo en cuenta los aspectos anteriores, es</w:t>
      </w:r>
      <w:r>
        <w:t xml:space="preserve"> </w:t>
      </w:r>
      <w:r>
        <w:rPr>
          <w:i/>
        </w:rPr>
        <w:t>responsabilidad de la autoridad de gestión evaluar la condición de la empresa, como beneficiario colectivo que actúa en el «interés colectivo» de sus miembros</w:t>
      </w:r>
      <w:r>
        <w:t xml:space="preserve">. </w:t>
      </w:r>
      <w:r>
        <w:rPr>
          <w:i/>
        </w:rPr>
        <w:t xml:space="preserve">También debe prestarse especial atención al </w:t>
      </w:r>
      <w:r>
        <w:rPr>
          <w:i/>
        </w:rPr>
        <w:lastRenderedPageBreak/>
        <w:t>Derecho nacional y mercantil y a si existe un ámbito de aplicación (con ánimo de lucro) de esta empresa.</w:t>
      </w:r>
    </w:p>
    <w:p w:rsidR="00786B3E" w:rsidRDefault="00786B3E" w:rsidP="00786B3E">
      <w:pPr>
        <w:pStyle w:val="P68B1DB1-Normal4"/>
      </w:pPr>
      <w:r>
        <w:t>La autoridad de gestión también debe garantizar que las acciones colectivas no se utilicen para aprovechar indebidamente el porcentaje de intensidad más favorable que figura en el anexo III del Reglamento del FEMP.</w:t>
      </w:r>
    </w:p>
    <w:p w:rsidR="00786B3E" w:rsidRDefault="00786B3E" w:rsidP="00786B3E">
      <w:proofErr w:type="gramStart"/>
      <w:r>
        <w:t>En</w:t>
      </w:r>
      <w:r>
        <w:rPr>
          <w:i/>
        </w:rPr>
        <w:t xml:space="preserve"> </w:t>
      </w:r>
      <w:r>
        <w:t xml:space="preserve"> </w:t>
      </w:r>
      <w:r>
        <w:rPr>
          <w:i/>
        </w:rPr>
        <w:t>relación</w:t>
      </w:r>
      <w:proofErr w:type="gramEnd"/>
      <w:r>
        <w:rPr>
          <w:i/>
        </w:rPr>
        <w:t xml:space="preserve"> con una convocatoria de propuestas para una campaña de comercialización 2021-2027, el Estado miembro deberá garantizar la igualdad de acceso a todas las entidades que puedan optar a la realización de una campaña nacional de marketing.</w:t>
      </w:r>
    </w:p>
    <w:p w:rsidR="00786B3E" w:rsidRDefault="00786B3E" w:rsidP="00786B3E"/>
    <w:p w:rsidR="00786B3E" w:rsidRDefault="00FC0FB1" w:rsidP="00786B3E">
      <w:hyperlink w:anchor="scroll-bookmark-624" w:history="1">
        <w:r w:rsidR="00786B3E">
          <w:rPr>
            <w:rStyle w:val="Hipervnculo"/>
          </w:rPr>
          <w:t xml:space="preserve">[1] </w:t>
        </w:r>
      </w:hyperlink>
      <w:r w:rsidR="00786B3E">
        <w:t xml:space="preserve"> Manual de Oslo 2018: Directrices para la recopilación, la presentación de informes y el uso de datos sobre innovación.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34" w:name="scroll-bookmark-625"/>
      <w:bookmarkStart w:id="535" w:name="scroll-bookmark-626"/>
      <w:bookmarkEnd w:id="534"/>
      <w:r>
        <w:t xml:space="preserve">QA618: </w:t>
      </w:r>
      <w:r w:rsidR="00DF0906">
        <w:t>EMFAF</w:t>
      </w:r>
      <w:r>
        <w:t xml:space="preserve"> Utilización del FEMPA para cofinanciar campañas de sensibilización sobre la basura marina</w:t>
      </w:r>
      <w:bookmarkEnd w:id="535"/>
    </w:p>
    <w:p w:rsidR="00786B3E" w:rsidRDefault="00786B3E" w:rsidP="00786B3E">
      <w:r>
        <w:rPr>
          <w:noProof/>
          <w:lang w:val="es-ES"/>
        </w:rPr>
        <w:drawing>
          <wp:inline distT="0" distB="0" distL="0" distR="0" wp14:anchorId="50F3D56C" wp14:editId="354F8353">
            <wp:extent cx="152435" cy="152435"/>
            <wp:effectExtent l="0" t="0" r="0" b="0"/>
            <wp:docPr id="101075" name="Imagen 1010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25 del Reglamento FEMPA</w:t>
      </w:r>
    </w:p>
    <w:p w:rsidR="00786B3E" w:rsidRDefault="00786B3E" w:rsidP="00786B3E">
      <w:r>
        <w:rPr>
          <w:noProof/>
          <w:lang w:val="es-ES"/>
        </w:rPr>
        <w:drawing>
          <wp:inline distT="0" distB="0" distL="0" distR="0" wp14:anchorId="466DE0FE" wp14:editId="005D41F3">
            <wp:extent cx="152435" cy="152435"/>
            <wp:effectExtent l="0" t="0" r="0" b="0"/>
            <wp:docPr id="101077" name="Imagen 1010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786B3E" w:rsidRDefault="00786B3E" w:rsidP="00786B3E"/>
    <w:p w:rsidR="00786B3E" w:rsidRDefault="00786B3E" w:rsidP="00786B3E">
      <w:pPr>
        <w:pStyle w:val="P68B1DB1-Normal1"/>
      </w:pPr>
      <w:r>
        <w:br/>
      </w:r>
      <w:r w:rsidR="00377B57">
        <w:t>Pregunta</w:t>
      </w:r>
    </w:p>
    <w:p w:rsidR="00786B3E" w:rsidRDefault="00786B3E" w:rsidP="00786B3E">
      <w:r>
        <w:lastRenderedPageBreak/>
        <w:t>BE está preparando su proyecto de programa FEMPA. Una observación recibida por la DG MARE sobre la primera versión del programa fue que el programa no hacía referencia a medidas de sensibilización sobre el impacto de los desechos en el medio marino, en consonancia con los requisitos de la Directiva 2019/904. Con el fin de comprender mejor cuáles son las oportunidades que ofrece el FEMPA, la AG de BE desea obtener confirmación de que las medidas de sensibilización sobre el impacto de la basura marina en consonancia con la Directiva 2019/904 serían subvencionables en el marco del OE 1.6 (artículo 25 del FEMP).</w:t>
      </w:r>
    </w:p>
    <w:p w:rsidR="00786B3E" w:rsidRDefault="00786B3E" w:rsidP="00786B3E"/>
    <w:p w:rsidR="00786B3E" w:rsidRDefault="00786B3E" w:rsidP="00786B3E">
      <w:pPr>
        <w:pStyle w:val="P68B1DB1-Normal1"/>
      </w:pPr>
      <w:r>
        <w:t>Respuesta.</w:t>
      </w:r>
    </w:p>
    <w:p w:rsidR="00786B3E" w:rsidRDefault="00786B3E" w:rsidP="00786B3E">
      <w:r>
        <w:t>De conformidad con el artículo 25, apartado 1, del Reglamento FEMPA, el FEMPA podrá apoyar acciones que contribuyan a la protección y restauración de la biodiversidad y los ecosistemas acuáticos, también en aguas interiores. El apoyo contribuirá al objetivo específico de contribuir a la protección y restauración de la biodiversidad y los ecosistemas acuáticos a que se refiere el artículo 14, apartado 1, letra f), del Reglamento FEMPA.</w:t>
      </w:r>
    </w:p>
    <w:p w:rsidR="00786B3E" w:rsidRDefault="00786B3E" w:rsidP="00786B3E">
      <w:r>
        <w:t>En consecuencia, las campañas de sensibilización sobre la reducción de la basura marina son subvencionables en virtud del objetivo específico 1.6 en la medida en que contribuyan a la protección o restauración de la biodiversidad y los ecosistemas acuáticos, también en las aguas interiores. Esto incluye campañas relacionadas con el impacto de la basura marina de conformidad con la Directiva 2019/904.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36" w:name="scroll-bookmark-627"/>
      <w:bookmarkStart w:id="537" w:name="scroll-bookmark-628"/>
      <w:bookmarkEnd w:id="536"/>
      <w:r>
        <w:lastRenderedPageBreak/>
        <w:t>PA619: Aprobación temporal en el marco del FEMPA</w:t>
      </w:r>
      <w:bookmarkEnd w:id="537"/>
    </w:p>
    <w:p w:rsidR="00786B3E" w:rsidRDefault="00786B3E" w:rsidP="00786B3E">
      <w:r>
        <w:rPr>
          <w:noProof/>
          <w:lang w:val="es-ES"/>
        </w:rPr>
        <w:drawing>
          <wp:inline distT="0" distB="0" distL="0" distR="0" wp14:anchorId="14B7BA4E" wp14:editId="6773108F">
            <wp:extent cx="152435" cy="152435"/>
            <wp:effectExtent l="0" t="0" r="0" b="0"/>
            <wp:docPr id="101079" name="Imagen 1010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21 del Reglamento FEMPA</w:t>
      </w:r>
    </w:p>
    <w:p w:rsidR="00786B3E" w:rsidRDefault="00786B3E" w:rsidP="00786B3E">
      <w:r>
        <w:rPr>
          <w:noProof/>
          <w:lang w:val="es-ES"/>
        </w:rPr>
        <w:drawing>
          <wp:inline distT="0" distB="0" distL="0" distR="0" wp14:anchorId="444F3E6F" wp14:editId="2F1AF760">
            <wp:extent cx="152435" cy="152435"/>
            <wp:effectExtent l="0" t="0" r="0" b="0"/>
            <wp:docPr id="101081" name="Imagen 1010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La Comisión ha subrayado en repetidas ocasiones que es posible recurrir al FEMPA por parte de los Estados miembros incluso antes de su aprobación oficial por parte de la Comisión, pero que, en tal caso, el Estado miembro en cuestión corre el riesgo de que la medida en cuestión sea aprobada en el marco del programa operativo.</w:t>
      </w:r>
    </w:p>
    <w:p w:rsidR="00786B3E" w:rsidRDefault="00786B3E" w:rsidP="00786B3E">
      <w:r>
        <w:t>Alemania desea hacer uso de esta posibilidad de paralización temporal en el mar Báltico. Las primas solo se abonarán tras la aprobación del programa operativo.</w:t>
      </w:r>
    </w:p>
    <w:p w:rsidR="00786B3E" w:rsidRDefault="00786B3E" w:rsidP="00786B3E">
      <w:r>
        <w:t>En caso de paralización temporal en el marco del FEMP, la ayuda se concedió no solo en el marco del programa operativo, sino también teniendo en cuenta las Directrices nacionales para el fomento de las medidas de adaptación de las actividades pesqueras y el desarrollo de la flota pesquera del Ministerio Federal de Alimentación y Agricultura (MAF-BMEL) (véase el anexo). En la página 93 del PO del FEMP alemán en su versión actual, se hace referencia a las presentes Directrices: «En las disposiciones nacionales de aplicación de la paralización temporal de las actividades pesqueras se regularán más detalles, en particular el período de paralización de las actividades pesqueras, el número de días por los que se concede la compensación y, en su caso, otras modalidades que puedan diferenciar entre regiones, sectores de granja, tamaños de buques, tipos de buques y artes de pesca.».</w:t>
      </w:r>
    </w:p>
    <w:p w:rsidR="00786B3E" w:rsidRDefault="00786B3E" w:rsidP="00786B3E">
      <w:r>
        <w:t>En el caso del FEMPA, todavía no se dispone de una directriz nacional complementaria de apoyo. ¿Es esto un obstáculo para la ejecución de la ayuda prevista para la paralización temporal en el marco del FEMPA?</w:t>
      </w:r>
    </w:p>
    <w:p w:rsidR="00786B3E" w:rsidRDefault="00786B3E" w:rsidP="00786B3E"/>
    <w:p w:rsidR="00786B3E" w:rsidRDefault="00786B3E" w:rsidP="00786B3E">
      <w:pPr>
        <w:pStyle w:val="P68B1DB1-Normal1"/>
      </w:pPr>
      <w:r>
        <w:t>Respuesta.</w:t>
      </w:r>
    </w:p>
    <w:p w:rsidR="00786B3E" w:rsidRDefault="00786B3E" w:rsidP="00786B3E">
      <w:r>
        <w:t>De conformidad con el artículo 39 del Reglamento FEMPA, la compensación por los costes adicionales o las pérdidas de ingresos y otras compensaciones previstas en el presente Reglamento se concederán con arreglo a cualquiera de las formas a que se refiere el artículo 53, apartado 1, letras b) a e), del Reglamento sobre disposiciones comunes. Esto significa que la compensación por la paralización temporal de las actividades pesqueras debe adoptar la forma de una «opción de costes simplificados».</w:t>
      </w:r>
    </w:p>
    <w:p w:rsidR="00786B3E" w:rsidRDefault="00786B3E" w:rsidP="00786B3E">
      <w:r>
        <w:t xml:space="preserve">El Estado miembro debe establecer la metodología de cálculo de conformidad con el artículo 53, apartado 3, del Reglamento sobre disposiciones comunes. El Reglamento sobre disposiciones comunes no exige la aprobación </w:t>
      </w:r>
      <w:r>
        <w:rPr>
          <w:i/>
        </w:rPr>
        <w:t>previa</w:t>
      </w:r>
      <w:r>
        <w:t xml:space="preserve"> de esta metodología por parte de la Comisión, por lo que no debe describirse en el programa FEMPA.</w:t>
      </w:r>
    </w:p>
    <w:p w:rsidR="00786B3E" w:rsidRDefault="00786B3E" w:rsidP="00786B3E">
      <w:r>
        <w:t xml:space="preserve">Cualquier otra herramienta administrativa, como directriz o decreto nacional/ministerial, para regular la admisibilidad de la ayuda, seleccionar las solicitudes </w:t>
      </w:r>
      <w:r>
        <w:lastRenderedPageBreak/>
        <w:t>y pagar la compensación a los beneficiarios es responsabilidad de la autoridad de gestión.</w:t>
      </w:r>
    </w:p>
    <w:p w:rsidR="00786B3E" w:rsidRDefault="00786B3E" w:rsidP="00786B3E">
      <w:r>
        <w:t>Por lo que se refiere a la ejecución antes de la adopción del programa, el artículo 63, apartado 2, del Reglamento sobre disposiciones comunes establece que los gastos de las operaciones seleccionadas serán subvencionables a partir del 1 de enero de 2021. En concreto, esto significa que:</w:t>
      </w:r>
    </w:p>
    <w:p w:rsidR="00786B3E" w:rsidRDefault="00786B3E" w:rsidP="00786B3E">
      <w:pPr>
        <w:numPr>
          <w:ilvl w:val="0"/>
          <w:numId w:val="242"/>
        </w:numPr>
      </w:pPr>
      <w:r>
        <w:t>Las decisiones de subvención firmadas antes de la aprobación de los programas no son jurídicamente vinculantes en lo que respecta al Reglamento sobre disposiciones comunes y al FEMPA. No obstante, los Estados miembros pueden realizar todos los trabajos preparatorios necesarios con los beneficiarios antes de que la Comisión apruebe el programa. Esto incluye el trabajo preparatorio en el seno de un comité de seguimiento «alternativo» para adoptar criterios de selección. Por lo tanto, los Estados miembros pueden poner en marcha convocatorias antes de la aprobación del programa, pero cualquier selección de operaciones y la firma de las decisiones de subvención son responsabilidad exclusiva del Estado miembro, sin perjuicio de su validez jurídica en lo que respecta al Derecho de la UE.</w:t>
      </w:r>
    </w:p>
    <w:p w:rsidR="00786B3E" w:rsidRDefault="00786B3E" w:rsidP="00786B3E">
      <w:pPr>
        <w:numPr>
          <w:ilvl w:val="0"/>
          <w:numId w:val="242"/>
        </w:numPr>
      </w:pPr>
      <w:r>
        <w:t>En las convocatorias de proyectos se debe informar a los solicitantes de que la confirmación final de la ayuda está sujeta a la aprobación formal de los criterios de selección por parte del comité de seguimiento y de la selección de operaciones por parte de la autoridad de gestión, una vez adoptado el programa. Esto significa que cualquier acuerdo contractual realizado antes de la adopción del programa y la selección de proyectos sobre la base de criterios de selección aprobados corre el riesgo de los Estados miembros y debe volver a contratarse posteriormente.</w:t>
      </w:r>
    </w:p>
    <w:p w:rsidR="00786B3E" w:rsidRDefault="00786B3E" w:rsidP="00786B3E">
      <w:r>
        <w:t>De conformidad con el artículo 63, apartado 6, del Reglamento sobre disposiciones comunes, las operaciones no pueden seleccionarse si se han completado físicamente o se han ejecutado íntegramente antes de la presentación de la solicitud de financiación a la autoridad de gestión. Con arreglo a esta norma, lo importante es la fecha de presentación de la solicitud, no la fecha de selección de la operación.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w:t>
      </w:r>
      <w:r>
        <w:lastRenderedPageBreak/>
        <w:t>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38" w:name="scroll-bookmark-629"/>
      <w:bookmarkStart w:id="539" w:name="scroll-bookmark-630"/>
      <w:bookmarkEnd w:id="538"/>
      <w:r>
        <w:t xml:space="preserve">QA620: </w:t>
      </w:r>
      <w:r w:rsidR="00DF0906">
        <w:t>EMFAF</w:t>
      </w:r>
      <w:r>
        <w:t xml:space="preserve"> Intensidad de la ayuda para operaciones relacionadas con la pesca costera artesanal</w:t>
      </w:r>
      <w:bookmarkEnd w:id="539"/>
    </w:p>
    <w:p w:rsidR="00786B3E" w:rsidRDefault="00786B3E" w:rsidP="00786B3E">
      <w:r>
        <w:rPr>
          <w:noProof/>
          <w:lang w:val="es-ES"/>
        </w:rPr>
        <w:drawing>
          <wp:inline distT="0" distB="0" distL="0" distR="0" wp14:anchorId="3890E98E" wp14:editId="2A5CB199">
            <wp:extent cx="152435" cy="152435"/>
            <wp:effectExtent l="0" t="0" r="0" b="0"/>
            <wp:docPr id="101083" name="Imagen 1010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III del Reglamento FEMPA</w:t>
      </w:r>
    </w:p>
    <w:p w:rsidR="00786B3E" w:rsidRDefault="00786B3E" w:rsidP="00786B3E">
      <w:r>
        <w:rPr>
          <w:noProof/>
          <w:lang w:val="es-ES"/>
        </w:rPr>
        <w:drawing>
          <wp:inline distT="0" distB="0" distL="0" distR="0" wp14:anchorId="4115F939" wp14:editId="0306D3DB">
            <wp:extent cx="152435" cy="152435"/>
            <wp:effectExtent l="0" t="0" r="0" b="0"/>
            <wp:docPr id="101085" name="Imagen 1010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Letonia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LV AG desearía saber si la intensidad de ayuda del 100 % en régimen de gestión compartida para operaciones relacionadas con la pesca costera artesanal a que se refiere el anexo III del Reglamento FEMPA es aplicable como en el período de programación del FEMP.</w:t>
      </w:r>
    </w:p>
    <w:p w:rsidR="00786B3E" w:rsidRDefault="00786B3E" w:rsidP="00786B3E">
      <w:r>
        <w:t xml:space="preserve">En 2016, para el grupo de expertos sobre el FEMP en respuesta a las preguntas frecuentes, la Comisión ha facilitado la siguiente información sobre la intensidad de las ayudas públicas para operaciones relacionadas con la pesca costera artesanal: </w:t>
      </w:r>
      <w:r w:rsidR="00893DFD">
        <w:rPr>
          <w:i/>
        </w:rPr>
        <w:t>“</w:t>
      </w:r>
      <w:r>
        <w:rPr>
          <w:i/>
        </w:rPr>
        <w:t>Para poder beneficiarse de un aumento de puntos porcentuales, la operación debe beneficiar directamente al propietario de un buque de pesca artesanal.»</w:t>
      </w:r>
    </w:p>
    <w:p w:rsidR="00786B3E" w:rsidRDefault="00786B3E" w:rsidP="00786B3E">
      <w:r>
        <w:t>¿Entendemos correctamente que es esencial que el solicitante de la ayuda sea el propietario del buque de pesca artesanal, añadiendo valor a las capturas, es decir, las actividades hasta la primera venta de productos de la pesca y la oferta de sus productos a los consumidores pueden optar a una intensidad de ayuda del 100 %? </w:t>
      </w:r>
    </w:p>
    <w:p w:rsidR="00786B3E" w:rsidRDefault="00786B3E" w:rsidP="00786B3E"/>
    <w:p w:rsidR="00786B3E" w:rsidRDefault="00786B3E" w:rsidP="00786B3E">
      <w:pPr>
        <w:pStyle w:val="P68B1DB1-Normal1"/>
      </w:pPr>
      <w:r>
        <w:t>Respuesta.</w:t>
      </w:r>
    </w:p>
    <w:p w:rsidR="00786B3E" w:rsidRDefault="00786B3E" w:rsidP="00786B3E">
      <w:r>
        <w:t>De conformidad con el anexo III del Reglamento FEMPA, las operaciones relacionadas con la pesca costera artesanal pueden beneficiarse de un porcentaje máximo de intensidad de ayuda del 100 %, lo que significa que los pescadores de pesca costera artesanal son los beneficiarios directos de las operaciones.</w:t>
      </w:r>
    </w:p>
    <w:p w:rsidR="00786B3E" w:rsidRDefault="00786B3E" w:rsidP="00786B3E">
      <w:r>
        <w:t>Para identificar al beneficiario como miembro de la comunidad de pesca costera artesanal y, por tanto, proporcionar una intensidad máxima de ayuda del 100 %, la autoridad de gestión se asegurará de que la operación beneficia directamente al propietario de un buque de pesca artesanal.</w:t>
      </w:r>
    </w:p>
    <w:p w:rsidR="00786B3E" w:rsidRDefault="00786B3E" w:rsidP="00786B3E"/>
    <w:p w:rsidR="00786B3E" w:rsidRDefault="00786B3E" w:rsidP="00786B3E">
      <w:pPr>
        <w:pStyle w:val="P68B1DB1-Normal1"/>
      </w:pPr>
      <w:r>
        <w:t>NOTA:</w:t>
      </w:r>
    </w:p>
    <w:p w:rsidR="00786B3E" w:rsidRDefault="00786B3E" w:rsidP="00786B3E">
      <w:pPr>
        <w:pStyle w:val="P68B1DB1-Normal4"/>
      </w:pPr>
      <w:r>
        <w:lastRenderedPageBreak/>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40" w:name="scroll-bookmark-631"/>
      <w:bookmarkStart w:id="541" w:name="scroll-bookmark-632"/>
      <w:bookmarkEnd w:id="540"/>
      <w:r>
        <w:t xml:space="preserve">QA621: </w:t>
      </w:r>
      <w:r w:rsidR="00DF0906">
        <w:t>EMFAF</w:t>
      </w:r>
      <w:r>
        <w:t xml:space="preserve"> Aprobación de las asignaciones financieras entre 1.1.1 y 1.1.2</w:t>
      </w:r>
      <w:bookmarkEnd w:id="541"/>
    </w:p>
    <w:p w:rsidR="00786B3E" w:rsidRDefault="00786B3E" w:rsidP="00786B3E">
      <w:r>
        <w:rPr>
          <w:noProof/>
          <w:lang w:val="es-ES"/>
        </w:rPr>
        <w:drawing>
          <wp:inline distT="0" distB="0" distL="0" distR="0" wp14:anchorId="37FA2B5C" wp14:editId="135E481C">
            <wp:extent cx="152435" cy="152435"/>
            <wp:effectExtent l="0" t="0" r="0" b="0"/>
            <wp:docPr id="101087" name="Imagen 1010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 del Reglamento FEMPA </w:t>
      </w:r>
    </w:p>
    <w:p w:rsidR="00786B3E" w:rsidRDefault="00786B3E" w:rsidP="00786B3E">
      <w:r>
        <w:rPr>
          <w:noProof/>
          <w:lang w:val="es-ES"/>
        </w:rPr>
        <w:drawing>
          <wp:inline distT="0" distB="0" distL="0" distR="0" wp14:anchorId="230122EE" wp14:editId="7DA5C63F">
            <wp:extent cx="152435" cy="152435"/>
            <wp:effectExtent l="0" t="0" r="0" b="0"/>
            <wp:docPr id="101089" name="Imagen 1010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BE está preparando su proyecto de programa FEMPA. Con el fin de tener más claridad sobre la flexibilidad que existe cuando las asignaciones financieras se distribuyen en el programa adoptado, la AG de BE desea saber si ha comprendido correctamente el texto del artículo 24 del RDC en lo que respecta a los (sub) OE 1.1.1 y 1.1.2;</w:t>
      </w:r>
    </w:p>
    <w:p w:rsidR="00786B3E" w:rsidRDefault="00786B3E" w:rsidP="00786B3E">
      <w:r>
        <w:t xml:space="preserve">«De conformidad con el artículo 24 del RDC, la transferencia de hasta el 8 % de la asignación inicial a un PC a otro se considera «no significativa». </w:t>
      </w:r>
      <w:proofErr w:type="gramStart"/>
      <w:r>
        <w:t>¿Podemos suponer que el presupuesto de los puntos 1.</w:t>
      </w:r>
      <w:proofErr w:type="gramEnd"/>
      <w:r>
        <w:t>1.1 y 1.1.2 se considera un OE (1.1) según el plan de financiación (anexo III, FEMPA)?»</w:t>
      </w:r>
    </w:p>
    <w:p w:rsidR="00786B3E" w:rsidRDefault="00786B3E" w:rsidP="00786B3E"/>
    <w:p w:rsidR="00786B3E" w:rsidRDefault="00786B3E" w:rsidP="00786B3E">
      <w:pPr>
        <w:pStyle w:val="P68B1DB1-Normal1"/>
      </w:pPr>
      <w:r>
        <w:t>Respuesta.</w:t>
      </w:r>
    </w:p>
    <w:p w:rsidR="00786B3E" w:rsidRDefault="00786B3E" w:rsidP="00786B3E">
      <w:r>
        <w:t>El artículo 24, apartado 5, párrafo segundo, del Reglamento sobre disposiciones comunes (RDC) establece:</w:t>
      </w:r>
    </w:p>
    <w:p w:rsidR="00786B3E" w:rsidRDefault="00786B3E" w:rsidP="00786B3E">
      <w:r>
        <w:t xml:space="preserve">«En el caso de los programas apoyados por el FEMPA, el Estado miembro podrá transferir durante el período de programación un importe de hasta el 8 % de la </w:t>
      </w:r>
      <w:r>
        <w:lastRenderedPageBreak/>
        <w:t>asignación inicial de un objetivo específico a otro objetivo específico, incluida la asistencia técnica ejecutada de conformidad con el artículo 36, apartado 4,».</w:t>
      </w:r>
    </w:p>
    <w:p w:rsidR="00786B3E" w:rsidRDefault="00786B3E" w:rsidP="00786B3E">
      <w:r>
        <w:t>Si bien el Estado miembro debe esforzarse por mantener las asignaciones presupuestarias aprobadas en la medida de lo posible para alcanzar los objetivos iniciales del programa, el apartado mencionado del artículo 24 del RDC ofrece la oportunidad de realizar desplazamientos limitados.</w:t>
      </w:r>
    </w:p>
    <w:p w:rsidR="00786B3E" w:rsidRDefault="00786B3E" w:rsidP="00786B3E">
      <w:r>
        <w:t>El artículo 14, apartado 1, del Reglamento del FEMP enumera los 6 objetivos específicos para la prioridad 1, de los cuales el pliego de cargos descrito en la letra a) es «reforzar las actividades pesqueras sostenibles desde el punto de vista económico, social y medioambiental».</w:t>
      </w:r>
    </w:p>
    <w:p w:rsidR="00786B3E" w:rsidRDefault="00786B3E" w:rsidP="00786B3E">
      <w:r>
        <w:t>Tal como se establece en el anexo II del Reglamento FEMPA, dicho pliego de cargos se subdivide en dos subcategorías: 1.1.1 y 1.1.2. La subcategoría 1.1.2 abarca las operaciones subvencionadas en virtud de los artículos 17 y 19 (es decir, «primera adquisición de un buque pesquero» y «aumento del arqueo bruto de un buque pesquero para mejorar la seguridad, las condiciones de trabajo o la eficiencia energética»). Esta subdivisión solo es pertinente en lo que respecta al cuadro 11A del anexo V del RDC (es decir, el plan de financiación) con el fin de rastrear los importes sujetos al límite financiero establecido en el artículo 5, apartado 5, del Reglamento FEMPA, que abarca los artículos 17 y 19. Por lo tanto, es necesario rastrear las ayudas en virtud de dichos artículos individualmente en el plan de financiación.</w:t>
      </w:r>
    </w:p>
    <w:p w:rsidR="00786B3E" w:rsidRDefault="00786B3E" w:rsidP="00786B3E">
      <w:r>
        <w:t>Sin embargo, las subcategorías 1.1.1 y 1.1.2 no son OE. El anexo II del Reglamento FEMPA establece que esta nomenclatura se utiliza únicamente a efectos del plan de financiación. Por lo tanto, 1.1.1 y 1.1.2 son los dos componentes del pliego de cargos descrito en el artículo 14, apartado 1, letra a), y en la tercera columna del anexo II.</w:t>
      </w:r>
    </w:p>
    <w:p w:rsidR="00786B3E" w:rsidRDefault="00786B3E" w:rsidP="00786B3E">
      <w:r>
        <w:t>Conclusión: a efectos de la transferencia de hasta el 8 % de la asignación inicial de un PC a otro de conformidad con el artículo 24 del RDC, la asignación financiera para el pliego de cargos descrita en el artículo 14, apartado 1, letra a), del Reglamento FEMPA es la suma de las asignaciones indicadas para las subcategorías 1.1.1 y 1.1.2 en el plan de financiación. El Estado miembro debe garantizar que cualquier transferencia que incremente la asignación de la subcategoría 1.1.2 cumpla el límite financiero establecido en el artículo 5, apartado 5, del Reglamento FEMPA.</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lastRenderedPageBreak/>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42" w:name="scroll-bookmark-633"/>
      <w:bookmarkStart w:id="543" w:name="scroll-bookmark-634"/>
      <w:bookmarkEnd w:id="542"/>
      <w:r>
        <w:t xml:space="preserve">QA622 </w:t>
      </w:r>
      <w:r w:rsidR="00DF0906">
        <w:t>EMFAF</w:t>
      </w:r>
      <w:r>
        <w:t xml:space="preserve"> Intensidad de la ayuda para proyectos de I + D e inversiones en acuicultura</w:t>
      </w:r>
      <w:bookmarkEnd w:id="543"/>
    </w:p>
    <w:p w:rsidR="00786B3E" w:rsidRDefault="00786B3E" w:rsidP="00786B3E"/>
    <w:p w:rsidR="00786B3E" w:rsidRDefault="00786B3E" w:rsidP="00786B3E"/>
    <w:p w:rsidR="00786B3E" w:rsidRDefault="00786B3E" w:rsidP="00786B3E">
      <w:r>
        <w:rPr>
          <w:noProof/>
          <w:lang w:val="es-ES"/>
        </w:rPr>
        <w:drawing>
          <wp:inline distT="0" distB="0" distL="0" distR="0" wp14:anchorId="5BB34B28" wp14:editId="08572982">
            <wp:extent cx="152435" cy="152435"/>
            <wp:effectExtent l="0" t="0" r="0" b="0"/>
            <wp:docPr id="101091" name="Imagen 1010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El anexo III; Artículo 41 del Reglamento FEMPA </w:t>
      </w:r>
    </w:p>
    <w:p w:rsidR="00786B3E" w:rsidRDefault="00786B3E" w:rsidP="00786B3E">
      <w:r>
        <w:rPr>
          <w:noProof/>
          <w:lang w:val="es-ES"/>
        </w:rPr>
        <w:drawing>
          <wp:inline distT="0" distB="0" distL="0" distR="0" wp14:anchorId="12E009E4" wp14:editId="37E82301">
            <wp:extent cx="152435" cy="152435"/>
            <wp:effectExtent l="0" t="0" r="0" b="0"/>
            <wp:docPr id="101093" name="Imagen 1010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Hungría</w:t>
      </w:r>
    </w:p>
    <w:p w:rsidR="00786B3E" w:rsidRDefault="00786B3E" w:rsidP="00786B3E"/>
    <w:p w:rsidR="00786B3E" w:rsidRDefault="00786B3E" w:rsidP="00786B3E">
      <w:pPr>
        <w:pStyle w:val="P68B1DB1-Normal1"/>
      </w:pPr>
      <w:r>
        <w:br/>
        <w:t>Preguntas:</w:t>
      </w:r>
    </w:p>
    <w:p w:rsidR="00786B3E" w:rsidRDefault="00786B3E" w:rsidP="00786B3E">
      <w:r>
        <w:t>En el PO del FEMP tenemos la medida «Innovación», que es una medida de I + D + I. En el marco del PO del FEMPA también planificamos esta medida de I + D + I. Quisiéramos aclarar las distintas intensidades de ayuda que deben aplicarse en diferentes casos de la siguiente manera:</w:t>
      </w:r>
    </w:p>
    <w:p w:rsidR="00786B3E" w:rsidRDefault="00786B3E" w:rsidP="00786B3E">
      <w:pPr>
        <w:pStyle w:val="P68B1DB1-Normal1"/>
      </w:pPr>
      <w:r>
        <w:t>Pregunta 1:</w:t>
      </w:r>
    </w:p>
    <w:p w:rsidR="00786B3E" w:rsidRDefault="00786B3E" w:rsidP="00786B3E">
      <w:r>
        <w:t xml:space="preserve">Si el objetivo de la medida es I + D + I (como nuestra medida 2.1.2 del FEMPA o la medida 2.1 del FEMP) y los beneficiarios </w:t>
      </w:r>
      <w:r>
        <w:rPr>
          <w:b/>
        </w:rPr>
        <w:t>no son organismos públicos</w:t>
      </w:r>
      <w:r>
        <w:t>, la ayuda pública es del 75 %, de conformidad con el punto 18 del anexo III del Reglamento FEMPA.</w:t>
      </w:r>
    </w:p>
    <w:p w:rsidR="00786B3E" w:rsidRDefault="00786B3E" w:rsidP="00786B3E">
      <w:pPr>
        <w:pStyle w:val="P68B1DB1-Normal1"/>
      </w:pPr>
      <w:r>
        <w:t>Pregunta 2:</w:t>
      </w:r>
    </w:p>
    <w:p w:rsidR="00786B3E" w:rsidRDefault="00786B3E" w:rsidP="00786B3E">
      <w:r>
        <w:t xml:space="preserve">Si el objetivo de la medida es I + D + I (como nuestra medida 2.1.2 del FEMPA o la medida 2.1 del FEMP) y los beneficiarios </w:t>
      </w:r>
      <w:r>
        <w:rPr>
          <w:b/>
        </w:rPr>
        <w:t>son un organismo público y no un organismo público en un consorcio</w:t>
      </w:r>
      <w:r>
        <w:t>, la ayuda pública es del 75 %, de conformidad con el punto 18 del anexo III del Reglamento del FEMPA.</w:t>
      </w:r>
    </w:p>
    <w:p w:rsidR="00786B3E" w:rsidRDefault="00786B3E" w:rsidP="00786B3E">
      <w:r>
        <w:rPr>
          <w:b/>
        </w:rPr>
        <w:t>Pregunta 3</w:t>
      </w:r>
      <w:r>
        <w:t>:</w:t>
      </w:r>
    </w:p>
    <w:p w:rsidR="00786B3E" w:rsidRDefault="00786B3E" w:rsidP="00786B3E">
      <w:r>
        <w:t xml:space="preserve">Si los beneficiarios son </w:t>
      </w:r>
      <w:r>
        <w:rPr>
          <w:b/>
        </w:rPr>
        <w:t>solo organismos públicos (solo o en consorcio),</w:t>
      </w:r>
      <w:r>
        <w:t xml:space="preserve"> la ayuda pública es siempre del 100 % en el marco de todo el FEMPA, de conformidad con el punto 8 del anexo III del Reglamento FEMPA.</w:t>
      </w:r>
    </w:p>
    <w:p w:rsidR="00786B3E" w:rsidRDefault="00786B3E" w:rsidP="00786B3E">
      <w:pPr>
        <w:pStyle w:val="P68B1DB1-Normal1"/>
      </w:pPr>
      <w:r>
        <w:t>Pregunta 4:</w:t>
      </w:r>
    </w:p>
    <w:p w:rsidR="00786B3E" w:rsidRDefault="00786B3E" w:rsidP="00786B3E">
      <w:r>
        <w:t xml:space="preserve">¿La ayuda pública en el marco de la prioridad 1 del FEMPA es del 50 % </w:t>
      </w:r>
      <w:r>
        <w:rPr>
          <w:b/>
        </w:rPr>
        <w:t>para las empresas</w:t>
      </w:r>
      <w:r>
        <w:t>, de conformidad con el artículo 41, apartado 1, del Reglamento FEMPA?</w:t>
      </w:r>
    </w:p>
    <w:p w:rsidR="00786B3E" w:rsidRDefault="00786B3E" w:rsidP="00786B3E">
      <w:pPr>
        <w:pStyle w:val="P68B1DB1-Normal1"/>
      </w:pPr>
      <w:r>
        <w:lastRenderedPageBreak/>
        <w:t>Pregunta 5:</w:t>
      </w:r>
    </w:p>
    <w:p w:rsidR="00786B3E" w:rsidRDefault="00786B3E" w:rsidP="00786B3E">
      <w:r>
        <w:t xml:space="preserve">Si el objetivo de la medida es la inversión en acuicultura y los </w:t>
      </w:r>
      <w:r>
        <w:rPr>
          <w:b/>
        </w:rPr>
        <w:t>beneficiarios son empresas</w:t>
      </w:r>
      <w:r>
        <w:t>, la ayuda pública es del 60 %, de conformidad con el punto 17 del anexo III del Reglamento FEMPA?</w:t>
      </w:r>
    </w:p>
    <w:p w:rsidR="00786B3E" w:rsidRDefault="00786B3E" w:rsidP="00786B3E">
      <w:pPr>
        <w:pStyle w:val="P68B1DB1-Normal1"/>
      </w:pPr>
      <w:r>
        <w:t>Pregunta 6:</w:t>
      </w:r>
    </w:p>
    <w:p w:rsidR="00786B3E" w:rsidRDefault="00786B3E" w:rsidP="00786B3E">
      <w:r>
        <w:t>Si el objetivo de la medida es la transformación (como nuestra medida 2.2.2 del FEMPA o la medida 5.3.3 del FEMP) y los beneficiarios son empresas, la ayuda pública es del 50 %, de conformidad con el artículo 41, apartado 1, del Reglamento FEMPA?</w:t>
      </w:r>
    </w:p>
    <w:p w:rsidR="00786B3E" w:rsidRDefault="00786B3E" w:rsidP="00786B3E">
      <w:pPr>
        <w:pStyle w:val="P68B1DB1-Normal1"/>
      </w:pPr>
      <w:r>
        <w:t>Pregunta 7 sobre la intensidad de la ayuda para la inversión en acuicultura:</w:t>
      </w:r>
    </w:p>
    <w:p w:rsidR="00786B3E" w:rsidRDefault="00786B3E" w:rsidP="00786B3E">
      <w:r>
        <w:t>En el marco del FEMP, de conformidad con el artículo 48, apartado 3, solo era posible apoyar las inversiones en acuicultura para las empresas acuícolas, y la ayuda pública era del 50 %. HU no puede leer este tipo de norma en el Reglamento FEMPA.</w:t>
      </w:r>
    </w:p>
    <w:p w:rsidR="00786B3E" w:rsidRDefault="00786B3E" w:rsidP="00786B3E"/>
    <w:p w:rsidR="00786B3E" w:rsidRDefault="00786B3E" w:rsidP="00786B3E">
      <w:pPr>
        <w:pStyle w:val="P68B1DB1-Normal1"/>
      </w:pPr>
      <w:r>
        <w:t>Pregunta 8 sobre la intensidad de la ayuda para la inversión en acuicultura:</w:t>
      </w:r>
    </w:p>
    <w:p w:rsidR="00786B3E" w:rsidRDefault="00786B3E" w:rsidP="00786B3E">
      <w:r>
        <w:t>Me gustaría preguntar si también será posible que los organismos públicos (con una ayuda pública del 100 %) soliciten inversiones en acuicultura (para nuestra medida 2.1.1 del FEMPA)? Por supuesto, el organismo público tiene que ocuparse de la piscicultura, tener registrada la actividad pesquera y los ingresos de la pesca.</w:t>
      </w:r>
    </w:p>
    <w:p w:rsidR="00786B3E" w:rsidRDefault="00786B3E" w:rsidP="00786B3E">
      <w:r>
        <w:t>La inversión en acuicultura tiene por objeto generar beneficios y normalmente se supone que la realizan entidades privadas en todos los Estados miembros.</w:t>
      </w:r>
    </w:p>
    <w:p w:rsidR="00786B3E" w:rsidRDefault="00786B3E" w:rsidP="00786B3E"/>
    <w:p w:rsidR="00786B3E" w:rsidRDefault="00786B3E" w:rsidP="00786B3E">
      <w:pPr>
        <w:pStyle w:val="P68B1DB1-Normal1"/>
      </w:pPr>
      <w:r>
        <w:t>Respuestas:</w:t>
      </w:r>
    </w:p>
    <w:p w:rsidR="00786B3E" w:rsidRDefault="00786B3E" w:rsidP="00786B3E">
      <w:r>
        <w:t>Consideraciones generales: </w:t>
      </w:r>
    </w:p>
    <w:p w:rsidR="00786B3E" w:rsidRDefault="00786B3E" w:rsidP="00786B3E">
      <w:pPr>
        <w:numPr>
          <w:ilvl w:val="0"/>
          <w:numId w:val="243"/>
        </w:numPr>
      </w:pPr>
      <w:r>
        <w:t xml:space="preserve">Los porcentajes de intensidad de ayuda establecidos en el artículo 41 y en el anexo III del Reglamento FEMPA son </w:t>
      </w:r>
      <w:r>
        <w:rPr>
          <w:u w:val="single"/>
        </w:rPr>
        <w:t>los</w:t>
      </w:r>
      <w:r>
        <w:t xml:space="preserve"> máximos que los Estados miembros pueden aplicar un porcentaje inferior.</w:t>
      </w:r>
    </w:p>
    <w:p w:rsidR="00786B3E" w:rsidRDefault="00786B3E" w:rsidP="00786B3E">
      <w:pPr>
        <w:numPr>
          <w:ilvl w:val="0"/>
          <w:numId w:val="244"/>
        </w:numPr>
      </w:pPr>
      <w:r>
        <w:t xml:space="preserve">Cuando una operación entre en varias de las filas entre la 2 y la 19 del anexo III, se aplicará el porcentaje máximo de intensidad de la ayuda. Una vez más, el anexo hace referencia a un </w:t>
      </w:r>
      <w:r>
        <w:rPr>
          <w:u w:val="single"/>
        </w:rPr>
        <w:t>máximo</w:t>
      </w:r>
    </w:p>
    <w:p w:rsidR="00786B3E" w:rsidRDefault="00786B3E" w:rsidP="00786B3E">
      <w:pPr>
        <w:numPr>
          <w:ilvl w:val="0"/>
          <w:numId w:val="245"/>
        </w:numPr>
      </w:pPr>
      <w:r>
        <w:t>Corresponde al Estado miembro decidir en qué línea del anexo III se clasifica la operación.</w:t>
      </w:r>
    </w:p>
    <w:p w:rsidR="00786B3E" w:rsidRDefault="00786B3E" w:rsidP="00786B3E">
      <w:r>
        <w:t>Estas respuestas son meramente indicativas.</w:t>
      </w:r>
    </w:p>
    <w:p w:rsidR="00786B3E" w:rsidRDefault="00786B3E" w:rsidP="00786B3E">
      <w:pPr>
        <w:pStyle w:val="P68B1DB1-Normal1"/>
      </w:pPr>
      <w:r>
        <w:t>Respuesta 1:</w:t>
      </w:r>
    </w:p>
    <w:p w:rsidR="00786B3E" w:rsidRDefault="00786B3E" w:rsidP="00786B3E">
      <w:r>
        <w:t>En cuanto a las inversiones en I + D + i, debe quedar claro un aspecto clave: La asociación y el consorcio no son lo mismo. Este último (es decir, un consorcio) implica la creación de una nueva entidad, que puede ser pública o privada, dependiendo de la legislación nacional de los distintos Estados miembros. La AG debe decidir al respecto.</w:t>
      </w:r>
      <w:r>
        <w:rPr>
          <w:b/>
        </w:rPr>
        <w:t xml:space="preserve"> </w:t>
      </w:r>
      <w:r>
        <w:t>Existen 3 posibilidades para las operaciones de I + D + i del FEMPA:</w:t>
      </w:r>
    </w:p>
    <w:p w:rsidR="00786B3E" w:rsidRDefault="00786B3E" w:rsidP="00786B3E">
      <w:pPr>
        <w:numPr>
          <w:ilvl w:val="0"/>
          <w:numId w:val="246"/>
        </w:numPr>
      </w:pPr>
      <w:r>
        <w:lastRenderedPageBreak/>
        <w:t>Un organismo público puede estar en asociación o cooperación con una empresa privada y seguir recibiendo una intensidad de ayuda del 100 % (fila 8 del anexo III del FEMPA, en lo sucesivo, «anexo III»). La condición es que el organismo público sea el único beneficiario. Así pues, el socio será un participante y no tendrá derecho a recibir ningún dinero.</w:t>
      </w:r>
    </w:p>
    <w:p w:rsidR="00786B3E" w:rsidRDefault="00786B3E" w:rsidP="00786B3E">
      <w:pPr>
        <w:numPr>
          <w:ilvl w:val="0"/>
          <w:numId w:val="246"/>
        </w:numPr>
      </w:pPr>
      <w:r>
        <w:t>Una empresa privada puede estar en asociación o cooperación con un organismo público. La posibilidad de recibir una ayuda del 75 %, si la empresa privada es el único beneficiario, dependerá del tipo de operación. Cabe señalar que la fila 18 del anexo III no se refiere a las inversiones en I + D + i como tales. Se trata de «operaciones de apoyo a productos, procesos o equipos innovadores en la pesca, la acuicultura y la transformación». La producción (es decir, productos, procesos, equipos) debe ser innovadora, no el insumo (es decir, la inversión).</w:t>
      </w:r>
    </w:p>
    <w:p w:rsidR="00786B3E" w:rsidRDefault="00786B3E" w:rsidP="00786B3E">
      <w:pPr>
        <w:numPr>
          <w:ilvl w:val="0"/>
          <w:numId w:val="246"/>
        </w:numPr>
      </w:pPr>
      <w:r>
        <w:t xml:space="preserve">Una entidad pública (es decir, un instituto de investigación, etc.) puede crear un </w:t>
      </w:r>
      <w:r>
        <w:rPr>
          <w:b/>
          <w:i/>
        </w:rPr>
        <w:t>consorcio</w:t>
      </w:r>
      <w:r>
        <w:rPr>
          <w:b/>
        </w:rPr>
        <w:t xml:space="preserve"> </w:t>
      </w:r>
      <w:r>
        <w:t xml:space="preserve">con una entidad privada. </w:t>
      </w:r>
      <w:r>
        <w:rPr>
          <w:i/>
        </w:rPr>
        <w:t>Un consorcio conduce a la creación de una nueva entidad, que puede ser privada o pública, de conformidad con la legislación nacional. Se entiende que esta es la intención de HU; en caso afirmativo, la AG debe decidir si la nueva entidad creada por el consorcio es pública</w:t>
      </w:r>
      <w:hyperlink w:anchor="scroll-bookmark-635" w:history="1">
        <w:r>
          <w:rPr>
            <w:rStyle w:val="Hipervnculo"/>
            <w:i/>
          </w:rPr>
          <w:t xml:space="preserve"> [1] </w:t>
        </w:r>
      </w:hyperlink>
      <w:r>
        <w:rPr>
          <w:i/>
        </w:rPr>
        <w:t>o privada. A continuación, la AG decide si se aplican las filas 8 (intensidad de ayuda del 100 %) o 18 (intensidad de ayuda del 75 %), suponiendo que se cumplan las condiciones pertinentes. También podría tenerse en cuenta la fila 14.</w:t>
      </w:r>
    </w:p>
    <w:p w:rsidR="00786B3E" w:rsidRDefault="00786B3E" w:rsidP="00786B3E">
      <w:r>
        <w:t xml:space="preserve">Si el objetivo de la medida es I + D + I y los beneficiarios </w:t>
      </w:r>
      <w:r>
        <w:rPr>
          <w:b/>
        </w:rPr>
        <w:t>no son organismos públicos</w:t>
      </w:r>
      <w:r>
        <w:t>, la ayuda pública será del 75 % (si cumple las condiciones de la fila 18 del anexo III). Una vez más, puede considerarse la fila 14.  En este caso, se supone que los beneficiarios son entidades privadas.</w:t>
      </w:r>
    </w:p>
    <w:p w:rsidR="00786B3E" w:rsidRDefault="00786B3E" w:rsidP="00786B3E">
      <w:pPr>
        <w:pStyle w:val="P68B1DB1-Normal1"/>
      </w:pPr>
      <w:r>
        <w:t>Respuesta 2:</w:t>
      </w:r>
    </w:p>
    <w:p w:rsidR="00786B3E" w:rsidRDefault="00786B3E" w:rsidP="00786B3E">
      <w:r>
        <w:t>La AG deberá decidir si la entidad resultante del consorcio es privada o pública</w:t>
      </w:r>
      <w:hyperlink w:anchor="scroll-bookmark-636" w:history="1">
        <w:r>
          <w:rPr>
            <w:rStyle w:val="Hipervnculo"/>
          </w:rPr>
          <w:t xml:space="preserve"> [2]</w:t>
        </w:r>
      </w:hyperlink>
      <w:r>
        <w:t>.</w:t>
      </w:r>
    </w:p>
    <w:p w:rsidR="00786B3E" w:rsidRDefault="00786B3E" w:rsidP="00786B3E">
      <w:pPr>
        <w:numPr>
          <w:ilvl w:val="0"/>
          <w:numId w:val="247"/>
        </w:numPr>
      </w:pPr>
      <w:r>
        <w:t xml:space="preserve">Si se trata </w:t>
      </w:r>
      <w:r>
        <w:rPr>
          <w:b/>
        </w:rPr>
        <w:t>de un organismo público</w:t>
      </w:r>
      <w:r>
        <w:t>, la intensidad de la ayuda es del 100 % (fila 8 del anexo III): «Operaciones en las que el beneficiario sea un organismo público o una empresa encargada de la gestión de los servicios de interés económico general a que se refiere el artículo 106, apartado 2, del TFUE, cuando se conceda una ayuda para la explotación de dichos servicios».</w:t>
      </w:r>
    </w:p>
    <w:p w:rsidR="00786B3E" w:rsidRDefault="00786B3E" w:rsidP="00786B3E">
      <w:pPr>
        <w:numPr>
          <w:ilvl w:val="0"/>
          <w:numId w:val="247"/>
        </w:numPr>
      </w:pPr>
      <w:r>
        <w:t xml:space="preserve">Si se trata de un </w:t>
      </w:r>
      <w:r>
        <w:rPr>
          <w:b/>
        </w:rPr>
        <w:t>organismo privado</w:t>
      </w:r>
      <w:r>
        <w:t>, la intensidad de la ayuda será del 75 % (si se cumplen las condiciones de la fila 18 del anexo III). También puede tenerse en cuenta la fila 14.</w:t>
      </w:r>
    </w:p>
    <w:p w:rsidR="00786B3E" w:rsidRDefault="00786B3E" w:rsidP="00786B3E">
      <w:r>
        <w:t>La vía más fácil para la I + D + i será contar con un organismo público como único beneficiario en cooperación o asociación con el organismo privado. La intensidad en este caso será del 100 % y no será un consorcio en el que la AG tenga que decidir qué forma adoptó (es decir, pública o privada).  Pero también debe tenerse en cuenta la fila 14.</w:t>
      </w:r>
    </w:p>
    <w:p w:rsidR="00786B3E" w:rsidRDefault="00786B3E" w:rsidP="00786B3E">
      <w:pPr>
        <w:pStyle w:val="P68B1DB1-Normal1"/>
      </w:pPr>
      <w:r>
        <w:t>Respuesta 3:</w:t>
      </w:r>
    </w:p>
    <w:p w:rsidR="00786B3E" w:rsidRDefault="00786B3E" w:rsidP="00786B3E">
      <w:r>
        <w:t xml:space="preserve">No necesariamente. Si un organismo público es el único beneficiario, la intensidad de la ayuda será del 100 % (fila 8 del anexo III). En los casos en que tenga un consorcio (incluso si ha sido creado por organismos públicos), la AG tendrá que comprobar si la nueva entidad creada a través del consorcio es pública o privada, de conformidad con la </w:t>
      </w:r>
      <w:r>
        <w:lastRenderedPageBreak/>
        <w:t xml:space="preserve">legislación nacional y con la definición de «organismo público» del artículo 2. </w:t>
      </w:r>
      <w:r>
        <w:rPr>
          <w:i/>
        </w:rPr>
        <w:t>Ejemplo</w:t>
      </w:r>
      <w:r>
        <w:t>: 2 institutos de investigación deciden crear un consorcio y la nueva entidad que surge del consorcio es una entidad privada que genera beneficios. Esta entidad privada solo se beneficiará de una intensidad de ayuda del 75 %, no del 100 %.</w:t>
      </w:r>
    </w:p>
    <w:p w:rsidR="00786B3E" w:rsidRDefault="00786B3E" w:rsidP="00786B3E">
      <w:pPr>
        <w:pStyle w:val="P68B1DB1-Normal1"/>
      </w:pPr>
      <w:r>
        <w:t>Respuesta 4:</w:t>
      </w:r>
    </w:p>
    <w:p w:rsidR="00786B3E" w:rsidRDefault="00786B3E" w:rsidP="00786B3E">
      <w:r>
        <w:t>Si la ayuda pública es objeto de la prioridad 1 del FEMPA, la intensidad de la ayuda es del 50 % para las empresas, de conformidad con el artículo 41, apartado 1, del Reglamento FEMPA (a menos que la operación entre en una de las filas del anexo III).</w:t>
      </w:r>
    </w:p>
    <w:p w:rsidR="00786B3E" w:rsidRDefault="00786B3E" w:rsidP="00786B3E">
      <w:pPr>
        <w:pStyle w:val="P68B1DB1-Normal1"/>
      </w:pPr>
      <w:r>
        <w:t>Respuesta 5:</w:t>
      </w:r>
    </w:p>
    <w:p w:rsidR="00786B3E" w:rsidRDefault="00786B3E" w:rsidP="00786B3E">
      <w:r>
        <w:t xml:space="preserve">Téngase en cuenta que se refiere a «Operaciones de apoyo a la acuicultura sostenible ejecutadas </w:t>
      </w:r>
      <w:r>
        <w:rPr>
          <w:b/>
          <w:u w:val="single"/>
        </w:rPr>
        <w:t>por pymes»</w:t>
      </w:r>
      <w:r>
        <w:rPr>
          <w:b/>
        </w:rPr>
        <w:t xml:space="preserve"> </w:t>
      </w:r>
      <w:r>
        <w:t>— fila 17 del anexo III. Así pues, solo las PYME recibirán una mayor intensidad de ayuda debido a su tamaño, que la AG debe comprobar al aprobar la operación.  Las demás empresas recibirán un máximo del 50 % de conformidad con el artículo 41, apartado 1, del Reglamento FEMPA.</w:t>
      </w:r>
    </w:p>
    <w:p w:rsidR="00786B3E" w:rsidRDefault="00786B3E" w:rsidP="00786B3E">
      <w:pPr>
        <w:pStyle w:val="P68B1DB1-Normal1"/>
      </w:pPr>
      <w:r>
        <w:t>Respuesta 6:</w:t>
      </w:r>
    </w:p>
    <w:p w:rsidR="00786B3E" w:rsidRDefault="00786B3E" w:rsidP="00786B3E">
      <w:r>
        <w:t>En el caso de los porcentajes de intensidad de ayuda, el artículo 41, apartado 1, del FEMPA se aplica por defecto, excepto si la operación entra en una de las filas enumeradas en el anexo III.  Se aplicaría entonces el tipo pertinente del anexo.</w:t>
      </w:r>
    </w:p>
    <w:p w:rsidR="00786B3E" w:rsidRDefault="00786B3E" w:rsidP="00786B3E">
      <w:pPr>
        <w:pStyle w:val="P68B1DB1-Normal1"/>
      </w:pPr>
      <w:r>
        <w:t>Respuesta 7 sobre la intensidad de la ayuda para la inversión en acuicultura:</w:t>
      </w:r>
    </w:p>
    <w:p w:rsidR="00786B3E" w:rsidRDefault="00786B3E" w:rsidP="00786B3E">
      <w:r>
        <w:t>Véase la respuesta a la pregunta 6.</w:t>
      </w:r>
    </w:p>
    <w:p w:rsidR="00786B3E" w:rsidRDefault="00786B3E" w:rsidP="00786B3E">
      <w:pPr>
        <w:pStyle w:val="P68B1DB1-Normal1"/>
      </w:pPr>
      <w:r>
        <w:t>Respuesta 8 sobre la intensidad de la ayuda para la inversión en acuicultura:</w:t>
      </w:r>
    </w:p>
    <w:p w:rsidR="00786B3E" w:rsidRDefault="00786B3E" w:rsidP="00786B3E">
      <w:r>
        <w:t xml:space="preserve">Si un organismo público realiza «inversiones acuícolas», va más allá de su ámbito de aplicación sin ánimo de lucro y de la fila 8 del anexo III: </w:t>
      </w:r>
      <w:r w:rsidR="00893DFD">
        <w:t>“</w:t>
      </w:r>
      <w:r>
        <w:rPr>
          <w:i/>
        </w:rPr>
        <w:t>Operaciones en las que el beneficiario sea un organismo público o una empresa encargada de la gestión de los servicios de interés económico general a que se refiere el artículo 106, apartado 2, del TFUE, cuando se conceda una ayuda para la explotación de</w:t>
      </w:r>
      <w:r>
        <w:t xml:space="preserve"> dichos servicios». Así pues, en este caso, el organismo público no llevará a cabo una operación o servicio de interés económico general y, por tanto, no se beneficiará de una intensidad de ayuda del 100 %.</w:t>
      </w:r>
    </w:p>
    <w:p w:rsidR="00786B3E" w:rsidRDefault="00FC0FB1" w:rsidP="00786B3E">
      <w:hyperlink w:anchor="scroll-bookmark-637" w:history="1">
        <w:r w:rsidR="00786B3E">
          <w:rPr>
            <w:rStyle w:val="Hipervnculo"/>
          </w:rPr>
          <w:t>[1]</w:t>
        </w:r>
      </w:hyperlink>
      <w:r w:rsidR="00786B3E">
        <w:t xml:space="preserve"> de conformidad con la definición de «organismo público» del artículo 2, apartado 2, (12):  «</w:t>
      </w:r>
      <w:r w:rsidR="00786B3E">
        <w:rPr>
          <w:i/>
        </w:rPr>
        <w:t>el Estado, los entes territoriales, los organismos de Derecho público o las asociaciones constituidas por una o varias de dichas autoridades o por uno o varios de dichos organismos, de Derecho público</w:t>
      </w:r>
      <w:r w:rsidR="00786B3E">
        <w:t>».            </w:t>
      </w:r>
    </w:p>
    <w:p w:rsidR="00786B3E" w:rsidRDefault="00FC0FB1" w:rsidP="00786B3E">
      <w:hyperlink w:anchor="scroll-bookmark-638" w:history="1">
        <w:r w:rsidR="00786B3E">
          <w:rPr>
            <w:rStyle w:val="Hipervnculo"/>
          </w:rPr>
          <w:t xml:space="preserve">[2] </w:t>
        </w:r>
      </w:hyperlink>
      <w:r w:rsidR="00786B3E">
        <w:t xml:space="preserve"> ídem la nota a pie de página 1.</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lastRenderedPageBreak/>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44" w:name="scroll-bookmark-639"/>
      <w:bookmarkStart w:id="545" w:name="scroll-bookmark-640"/>
      <w:bookmarkEnd w:id="544"/>
      <w:r>
        <w:t xml:space="preserve">QA624 </w:t>
      </w:r>
      <w:r w:rsidR="00DF0906">
        <w:t>EMFAF</w:t>
      </w:r>
      <w:r>
        <w:t xml:space="preserve"> Intensidad de la ayuda para proyectos de I + D e inversiones en acuicultura</w:t>
      </w:r>
      <w:bookmarkEnd w:id="545"/>
    </w:p>
    <w:p w:rsidR="00786B3E" w:rsidRDefault="00786B3E" w:rsidP="00786B3E">
      <w:r>
        <w:rPr>
          <w:noProof/>
          <w:lang w:val="es-ES"/>
        </w:rPr>
        <w:drawing>
          <wp:inline distT="0" distB="0" distL="0" distR="0" wp14:anchorId="5F93B986" wp14:editId="4141338E">
            <wp:extent cx="152435" cy="152435"/>
            <wp:effectExtent l="0" t="0" r="0" b="0"/>
            <wp:docPr id="101095" name="Imagen 1010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41 del Reglamento FEMPA</w:t>
      </w:r>
    </w:p>
    <w:p w:rsidR="00786B3E" w:rsidRDefault="00786B3E" w:rsidP="00786B3E">
      <w:r>
        <w:rPr>
          <w:noProof/>
          <w:lang w:val="es-ES"/>
        </w:rPr>
        <w:drawing>
          <wp:inline distT="0" distB="0" distL="0" distR="0" wp14:anchorId="7D639B4F" wp14:editId="714A25E6">
            <wp:extent cx="152435" cy="152435"/>
            <wp:effectExtent l="0" t="0" r="0" b="0"/>
            <wp:docPr id="101097" name="Imagen 1010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Chipre</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De conformidad con el Reglamento 2021/1139 del FEMPA, el porcentaje máximo de intensidad de ayuda debe ser del 50 % del gasto total subvencionable, con la posibilidad, en determinados casos, de fijar porcentajes de excepción.  De conformidad con el anexo III (porcentajes de intensidad máxima específicos en régimen de gestión compartida), el porcentaje de intensidad máxima para las operaciones de apoyo a la acuicultura sostenible ejecutadas por las pymes es del 60 %.</w:t>
      </w:r>
    </w:p>
    <w:p w:rsidR="00786B3E" w:rsidRDefault="00786B3E" w:rsidP="00786B3E">
      <w:r>
        <w:t>Teniendo en cuenta lo anterior:</w:t>
      </w:r>
    </w:p>
    <w:p w:rsidR="00786B3E" w:rsidRDefault="00786B3E" w:rsidP="00786B3E">
      <w:r>
        <w:t>a) queremos preguntarnos si la excepción del 60 % se aplica a todas las actividades relacionadas con la acuicultura sostenible, como la comercialización y la transformación.</w:t>
      </w:r>
    </w:p>
    <w:p w:rsidR="00786B3E" w:rsidRDefault="00786B3E" w:rsidP="00786B3E">
      <w:r>
        <w:t>Y si no se aplica a todas las actividades conexas, como en a):</w:t>
      </w:r>
    </w:p>
    <w:p w:rsidR="00786B3E" w:rsidRDefault="00786B3E" w:rsidP="00786B3E">
      <w:r>
        <w:t>determinadas actividades relacionadas con la comercialización de productos de la acuicultura no pueden distinguirse entre producción y comercialización. Ejemplos de ello son la clasificación del pescado capturado y el equipo de embalaje.    Por lo tanto, nos gustaría preguntar si las operaciones que incluyen equipos que se consideran operaciones de comercialización pero que están interrelacionadas con la producción se beneficiarían del aumento de la cofinanciación del 60 %.</w:t>
      </w:r>
    </w:p>
    <w:p w:rsidR="00786B3E" w:rsidRDefault="00786B3E" w:rsidP="00786B3E"/>
    <w:p w:rsidR="00786B3E" w:rsidRDefault="00786B3E" w:rsidP="00786B3E">
      <w:pPr>
        <w:pStyle w:val="P68B1DB1-Normal1"/>
      </w:pPr>
      <w:r>
        <w:t>Respuesta.</w:t>
      </w:r>
    </w:p>
    <w:p w:rsidR="00786B3E" w:rsidRDefault="00786B3E" w:rsidP="00786B3E">
      <w:r>
        <w:lastRenderedPageBreak/>
        <w:t>El artículo 41 («intensidad de la ayuda pública») del Reglamento FEMPA establece que «los Estados miembros aplicarán un porcentaje máximo de intensidad de ayuda del 50 % del gasto total subvencionable de la operación». El «gasto total subvencionable de la operación» se refiere al total de los gastos públicos y privados. No obstante, en el anexo III del citado Reglamento se establecen porcentajes máximos específicos de intensidad de la ayuda. Cuando una operación entre en varias de las filas entre la 2 y la 19 del anexo III, se aplicará el porcentaje máximo de intensidad de la ayuda. En la fila 17 del anexo III, se especifica que las operaciones de apoyo a la acuicultura sostenible ejecutadas por pymes se beneficiarán de un porcentaje máximo de intensidad de ayuda del 60 %.</w:t>
      </w:r>
    </w:p>
    <w:p w:rsidR="00786B3E" w:rsidRDefault="00786B3E" w:rsidP="00786B3E">
      <w:r>
        <w:t>Esta excepción no puede aplicarse a todas las actividades conexas en el marco de la prioridad 2 «Fomento de las actividades de acuicultura sostenible y de la transformación y comercialización de los productos de la pesca y la acuicultura», sino únicamente a las operaciones de apoyo a la acuicultura sostenible ejecutadas por las PYME, tal como se especifica en la excepción.</w:t>
      </w:r>
    </w:p>
    <w:p w:rsidR="00786B3E" w:rsidRDefault="00786B3E" w:rsidP="00786B3E">
      <w:r>
        <w:t>Además, el artículo 26 del Reglamento FEMPA distingue claramente la transformación y la comercialización [artículo 26, letra b)] de las operaciones de apoyo a las actividades de acuicultura sostenible [artículo 26, letra a)]. Este último se refiere a la definición de acuicultura del artículo 4, apartado 25, del Reglamento PPC, que incluye operaciones relacionadas con «la cría o el cultivo de organismos acuáticos utilizando técnicas destinadas a aumentar la producción de los organismos en cuestión más allá de la capacidad natural del medio [...] hasta la recolección, inclusive».</w:t>
      </w:r>
    </w:p>
    <w:p w:rsidR="00786B3E" w:rsidRDefault="00786B3E" w:rsidP="00786B3E">
      <w:r>
        <w:t xml:space="preserve">Esto ayuda a distinguir la producción de la comercialización de los productos de la pesca, que comienza a nivel de los agricultores individuales. El agricultor recolecta o recolecta pescado y los transforma hasta un determinado nivel antes de comercializarlo con una serie de operaciones que suelen incluir también el almacenamiento, la clasificación, la clasificación y el envasado. La clasificación y el envasado, en particular, se consideran algunas de las principales características de la comercialización del pescado, </w:t>
      </w:r>
      <w:r w:rsidR="002F3719">
        <w:t xml:space="preserve">ya que, </w:t>
      </w:r>
      <w:r>
        <w:t>permiten preparar los productos de la pesca para su almacenamiento o venta, mediante la asignación de precios y su preparación para su entrega a comerciantes o consumidores.</w:t>
      </w:r>
    </w:p>
    <w:p w:rsidR="00786B3E" w:rsidRDefault="00786B3E" w:rsidP="00786B3E">
      <w:r>
        <w:t xml:space="preserve">De ello se deduce que, en caso de que las operaciones se refieran a la transformación y la comercialización, la intensidad máxima de la ayuda pública sería del 50 %, de conformidad con el artículo 41 del Reglamento FEMPA. Por lo tanto, esto se aplica también a las operaciones relacionadas con la clasificación del pescado capturado y los equipos de embalaje, </w:t>
      </w:r>
      <w:r w:rsidR="002F3719">
        <w:t xml:space="preserve">ya que, </w:t>
      </w:r>
      <w:r>
        <w:t>se consideran operaciones de comercialización.</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57, apartado 1, del [acuerdo político sobre] el Reglamento sobre disposiciones comunes (RDC), la subvencionabilidad de los gastos se determina sobre la base de normas nacionales, excepto cuando en el RDC o en los Reglamentos específicos de los Fondos se establezcan normas específicas.</w:t>
      </w:r>
    </w:p>
    <w:p w:rsidR="00786B3E" w:rsidRDefault="00786B3E" w:rsidP="00786B3E">
      <w:pPr>
        <w:pStyle w:val="P68B1DB1-Normal4"/>
      </w:pPr>
      <w:r>
        <w:t xml:space="preserve">De conformidad con el artículo [12 bis (1) (a)] del [acuerdo político sobre] el Reglamento FEMPA, las operaciones seleccionadas por los Estados miembros deben </w:t>
      </w:r>
      <w:r>
        <w:lastRenderedPageBreak/>
        <w:t>entrar en el ámbito de aplicación de las prioridades y objetivos específicos establecidos en el artículo [9 (2)], no deben ser subvencionables con arreglo al artículo [13] y deben ser conformes con el Derecho de la Unión aplicable.</w:t>
      </w:r>
    </w:p>
    <w:p w:rsidR="00786B3E" w:rsidRDefault="00786B3E" w:rsidP="00786B3E">
      <w:pPr>
        <w:pStyle w:val="P68B1DB1-Normal4"/>
      </w:pPr>
      <w:r>
        <w:t>De conformidad con el considerando 6 del [acuerdo político sobre] 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46" w:name="scroll-bookmark-641"/>
      <w:bookmarkStart w:id="547" w:name="scroll-bookmark-642"/>
      <w:bookmarkEnd w:id="546"/>
      <w:r>
        <w:t xml:space="preserve">QA626: </w:t>
      </w:r>
      <w:r w:rsidR="00DF0906">
        <w:t>EMFAF</w:t>
      </w:r>
      <w:r>
        <w:t xml:space="preserve"> Autorización de ayudas estatales necesaria en el marco del FEMPA</w:t>
      </w:r>
      <w:bookmarkEnd w:id="547"/>
    </w:p>
    <w:p w:rsidR="00786B3E" w:rsidRDefault="00786B3E" w:rsidP="00786B3E">
      <w:r>
        <w:rPr>
          <w:noProof/>
          <w:lang w:val="es-ES"/>
        </w:rPr>
        <w:drawing>
          <wp:inline distT="0" distB="0" distL="0" distR="0" wp14:anchorId="449CE0AA" wp14:editId="5163BA31">
            <wp:extent cx="152435" cy="152435"/>
            <wp:effectExtent l="0" t="0" r="0" b="0"/>
            <wp:docPr id="101099" name="Imagen 1010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10 del Reglamento FEMPA</w:t>
      </w:r>
    </w:p>
    <w:p w:rsidR="00786B3E" w:rsidRDefault="00786B3E" w:rsidP="00786B3E">
      <w:r>
        <w:rPr>
          <w:noProof/>
          <w:lang w:val="es-ES"/>
        </w:rPr>
        <w:drawing>
          <wp:inline distT="0" distB="0" distL="0" distR="0" wp14:anchorId="79EABADF" wp14:editId="3D0FEB62">
            <wp:extent cx="152435" cy="152435"/>
            <wp:effectExtent l="0" t="0" r="0" b="0"/>
            <wp:docPr id="101101" name="Imagen 1011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¿Para qué ayuda concedida en virtud del Reglamento FEMPA será necesario obtener la autorización de las ayudas estatales?</w:t>
      </w:r>
    </w:p>
    <w:p w:rsidR="00786B3E" w:rsidRDefault="00786B3E" w:rsidP="00786B3E">
      <w:pPr>
        <w:pStyle w:val="P68B1DB1-Normal1"/>
      </w:pPr>
      <w:r>
        <w:t>Pregunta ES:</w:t>
      </w:r>
    </w:p>
    <w:p w:rsidR="00786B3E" w:rsidRDefault="00786B3E" w:rsidP="00786B3E">
      <w:pPr>
        <w:pStyle w:val="P68B1DB1-Normal1"/>
      </w:pPr>
      <w:r>
        <w:t>Tras la pregunta anterior recibida por ES y la respuesta enviada a la AG de ES el 11 de marzo (IQ 616), ES pide que se amplíe la ayuda para las medidas incluidas en el programa FEMPA.</w:t>
      </w:r>
    </w:p>
    <w:p w:rsidR="00786B3E" w:rsidRDefault="00786B3E" w:rsidP="00786B3E">
      <w:r>
        <w:t>En algunas medidas, el apoyo es muy claro, por ejemplo, las inversiones productivas para la acuicultura. Pero en otros surgen dudas, por ejemplo, todas las inversiones realizadas para mejorar las condiciones de trabajo y seguridad a bordo y en tierra, o todas las inversiones para mejorar la eficiencia energética, como paneles solares, acciones para implicar a los pescadores en la vigilancia y el seguimiento de las zonas marinas protegidas, acciones llevadas a cabo en puertos cuyos beneficiarios son autoridades portuarias y para la recogida de desechos marinos.</w:t>
      </w:r>
    </w:p>
    <w:p w:rsidR="00786B3E" w:rsidRDefault="00786B3E" w:rsidP="00786B3E">
      <w:r>
        <w:t>Es desea saber si, en general, podría entenderse que todos ellos son elegibles, en cuanto a su contribución a la producción y a la comercialización, o si debería considerarse un enfoque más restrictivo, y solo los que están directamente relacionados con la producción y la comercialización, como las inversiones productivas, la trazabilidad, los artes más selectivos o la mejora de la transformación de los productos sujetos a la obligación de desembarque, etc.</w:t>
      </w:r>
    </w:p>
    <w:p w:rsidR="00786B3E" w:rsidRDefault="00786B3E" w:rsidP="00786B3E">
      <w:r>
        <w:t xml:space="preserve">Es plantea la cuestión, por ejemplo, a nivel de los planes de PMP de los PO, </w:t>
      </w:r>
      <w:r w:rsidR="002F3719">
        <w:t xml:space="preserve">ya que, </w:t>
      </w:r>
      <w:r>
        <w:t xml:space="preserve">pueden tener medidas para mejorar la eficiencia energética, la seguridad y la salud, </w:t>
      </w:r>
      <w:r>
        <w:lastRenderedPageBreak/>
        <w:t>como la telemedicina y otras medidas, en el mismo PMP, para mejorar la comercialización de especies procedentes de la obligación de desembarque, etc.</w:t>
      </w:r>
    </w:p>
    <w:p w:rsidR="00786B3E" w:rsidRDefault="00786B3E" w:rsidP="00786B3E"/>
    <w:p w:rsidR="00786B3E" w:rsidRDefault="00786B3E" w:rsidP="00786B3E">
      <w:pPr>
        <w:pStyle w:val="P68B1DB1-Normal1"/>
      </w:pPr>
      <w:r>
        <w:t>Respuesta.</w:t>
      </w:r>
    </w:p>
    <w:p w:rsidR="00786B3E" w:rsidRDefault="00786B3E" w:rsidP="00786B3E">
      <w:pPr>
        <w:pStyle w:val="P68B1DB1-Normal4"/>
      </w:pPr>
      <w:r>
        <w:t>Propuesta de respuesta a la pregunta ES:</w:t>
      </w:r>
    </w:p>
    <w:p w:rsidR="00786B3E" w:rsidRDefault="00786B3E" w:rsidP="00786B3E">
      <w:r>
        <w:t xml:space="preserve">Como se menciona en la respuesta enviada a ES el 11 </w:t>
      </w:r>
      <w:proofErr w:type="spellStart"/>
      <w:r>
        <w:t>de</w:t>
      </w:r>
      <w:r w:rsidRPr="00767CF5">
        <w:t>marzo</w:t>
      </w:r>
      <w:proofErr w:type="spellEnd"/>
      <w:r>
        <w:t xml:space="preserve"> de 2022, la ayuda pagada a los pescadores, los productores acuícolas y los transformadores de productos de la pesca y la acuicultura que apoya al beneficiario en su calidad de pescador, productor acuícola y procesador de productos de la pesca y la acuicultura se consideran pagos por la producción y el comercio de productos de la pesca.</w:t>
      </w:r>
    </w:p>
    <w:p w:rsidR="00786B3E" w:rsidRDefault="00786B3E" w:rsidP="00786B3E">
      <w:r>
        <w:t>El artículo 39 del TFUE no especifica qué actividades deben emprenderse para apoyar los objetivos de la política agrícola y pesquera común.</w:t>
      </w:r>
    </w:p>
    <w:p w:rsidR="00786B3E" w:rsidRDefault="00786B3E" w:rsidP="00786B3E">
      <w:r>
        <w:t xml:space="preserve">Esto significa que el </w:t>
      </w:r>
      <w:r>
        <w:rPr>
          <w:u w:val="single"/>
        </w:rPr>
        <w:t>apoyo a cualquier actividad emprendida</w:t>
      </w:r>
      <w:r>
        <w:t xml:space="preserve">, en cualquier forma, forma o forma, por los pescadores, los productores acuícolas y los transformadores de productos de la pesca y de la acuicultura en su calidad de </w:t>
      </w:r>
      <w:r>
        <w:rPr>
          <w:u w:val="single"/>
        </w:rPr>
        <w:t>tales no requiere la aprobación de las ayudas estatales cuando sean subvencionables en virtud del artículo 12 del Reglamento FEMPA e incluidas en el programa</w:t>
      </w:r>
      <w:r>
        <w:t xml:space="preserve"> FEMPA.</w:t>
      </w:r>
    </w:p>
    <w:p w:rsidR="00786B3E" w:rsidRDefault="00786B3E" w:rsidP="00786B3E">
      <w:r>
        <w:t>Esto incluye el apoyo a la mejora de las condiciones de trabajo, salud y seguridad a bordo y tierra, la mejora de la eficiencia energética (dentro de los límites del Reglamento), las actividades realizadas por las OP, etc.</w:t>
      </w:r>
    </w:p>
    <w:p w:rsidR="00786B3E" w:rsidRDefault="00786B3E" w:rsidP="00786B3E">
      <w:r>
        <w:t>Esto incluye también la diversificación dentro de cualquiera de las zonas mencionadas, como un pescador que empiece a procesar sus propias capturas, pero no la diversificación fuera de las zonas mencionadas, como el turismo, el restaurante, etc.</w:t>
      </w:r>
    </w:p>
    <w:p w:rsidR="00786B3E" w:rsidRDefault="00786B3E" w:rsidP="00786B3E">
      <w:r>
        <w:t>También incluiría pagos a los proveedores de servicios de formación/servicios de asesoramiento a pescadores/productores acuícolas/transformadores por servicios relacionados con su capacidad como pescadores, productores acuícolas y procesadores de productos de la pesca y la acuicultura.</w:t>
      </w:r>
    </w:p>
    <w:p w:rsidR="00786B3E" w:rsidRDefault="00786B3E" w:rsidP="00786B3E">
      <w:r>
        <w:t>En lo que respecta al apoyo a los lugares de desembarque, los puertos, las ZMP, la situación es algo diferente. Por lo tanto, la autoridad de gestión tendrá que evaluar los casos individuales para determinar si la ayuda entraría en el ámbito de aplicación del artículo 10 (2) del Reglamento FEMPA o si requeriría la autorización de la ayuda estatal.</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 xml:space="preserve">De conformidad con el artículo 12 del Reglamento (UE) 2021/1139 (Reglamento FEMPA), las operaciones seleccionadas por los Estados miembros deben entrar en el ámbito de aplicación de las prioridades y los objetivos específicos establecidos en el </w:t>
      </w:r>
      <w:r>
        <w:lastRenderedPageBreak/>
        <w:t>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48" w:name="scroll-bookmark-643"/>
      <w:bookmarkStart w:id="549" w:name="scroll-bookmark-644"/>
      <w:bookmarkEnd w:id="548"/>
      <w:r>
        <w:t xml:space="preserve">QA627: </w:t>
      </w:r>
      <w:r w:rsidR="00DF0906">
        <w:t>EMFAF</w:t>
      </w:r>
      <w:r>
        <w:t xml:space="preserve"> Utilización del FEMPA para cofinanciar la transformación en tierra de la basura marina recogida</w:t>
      </w:r>
      <w:bookmarkEnd w:id="549"/>
    </w:p>
    <w:p w:rsidR="00786B3E" w:rsidRDefault="00786B3E" w:rsidP="00786B3E">
      <w:r>
        <w:rPr>
          <w:noProof/>
          <w:lang w:val="es-ES"/>
        </w:rPr>
        <w:drawing>
          <wp:inline distT="0" distB="0" distL="0" distR="0" wp14:anchorId="26C5D782" wp14:editId="0EE965F4">
            <wp:extent cx="152435" cy="152435"/>
            <wp:effectExtent l="0" t="0" r="0" b="0"/>
            <wp:docPr id="101103" name="Imagen 1011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25 del Reglamento FEMPA</w:t>
      </w:r>
    </w:p>
    <w:p w:rsidR="00786B3E" w:rsidRDefault="00786B3E" w:rsidP="00786B3E">
      <w:r>
        <w:rPr>
          <w:noProof/>
          <w:lang w:val="es-ES"/>
        </w:rPr>
        <w:drawing>
          <wp:inline distT="0" distB="0" distL="0" distR="0" wp14:anchorId="2AF8FF4F" wp14:editId="2D673FFC">
            <wp:extent cx="152435" cy="152435"/>
            <wp:effectExtent l="0" t="0" r="0" b="0"/>
            <wp:docPr id="101105" name="Imagen 1011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BE está preparando su proyecto de programa FEMPA. Con el fin de comprender mejor cuáles son las oportunidades que ofrece el FEMPA, la AG de BE desea obtener confirmación de que los gastos relacionados con la transformación en tierra de desechos marinos en consonancia con la Directiva 2019/904 serían subvencionables en virtud del SO 1.6 (artículo 25 del FEMPA).</w:t>
      </w:r>
    </w:p>
    <w:p w:rsidR="00786B3E" w:rsidRDefault="00786B3E" w:rsidP="00786B3E"/>
    <w:p w:rsidR="00786B3E" w:rsidRDefault="00786B3E" w:rsidP="00786B3E">
      <w:pPr>
        <w:pStyle w:val="P68B1DB1-Normal1"/>
      </w:pPr>
      <w:r>
        <w:t>Respuesta.</w:t>
      </w:r>
    </w:p>
    <w:p w:rsidR="00786B3E" w:rsidRDefault="00786B3E" w:rsidP="00786B3E">
      <w:r>
        <w:t>De conformidad con el artículo 25, apartado 1, del Reglamento FEMPA, el FEMPA podrá apoyar acciones que contribuyan a la protección y restauración de la biodiversidad y los ecosistemas acuáticos, también en aguas interiores. La ayuda contribuirá al objetivo específico (en lo sucesivo, «OE») de contribuir a la protección y restauración de la biodiversidad y los ecosistemas acuáticos a que se refiere el artículo 14, apartado 1, letra f), del Reglamento del FEMPA (es decir, el OE 1.6).</w:t>
      </w:r>
    </w:p>
    <w:p w:rsidR="00786B3E" w:rsidRDefault="00786B3E" w:rsidP="00786B3E">
      <w:r>
        <w:t>Además, el artículo 8, apartado 5, letra j), del Reglamento FEMPA aclara que la contribución a la reducción de la basura marina de conformidad con la Directiva (UE) 2019/904 del Parlamento Europeo y del Consejo, es decir, relativa a la reducción del impacto de determinados productos de plástico en el medio ambiente, es uno de los elementos que la Comisión debe tener en cuenta en la evaluación del programa.</w:t>
      </w:r>
    </w:p>
    <w:p w:rsidR="00786B3E" w:rsidRDefault="00786B3E" w:rsidP="00786B3E">
      <w:r>
        <w:t xml:space="preserve">En el marco de la arquitectura más flexible del FEMPA, se desprende que la transformación (en tierra) de artes de pesca perdidos y desechos marinos recogidos en el mar puede optar a la ayuda en virtud del OE 1.6 siempre que las acciones conexas </w:t>
      </w:r>
      <w:r>
        <w:lastRenderedPageBreak/>
        <w:t>contribuyan a la protección o restauración de los ecosistemas y la biodiversidad, según lo prescrito en dicho pliego de cargos. </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50" w:name="scroll-bookmark-645"/>
      <w:bookmarkStart w:id="551" w:name="scroll-bookmark-646"/>
      <w:bookmarkEnd w:id="550"/>
      <w:r>
        <w:t xml:space="preserve">QA632: </w:t>
      </w:r>
      <w:r w:rsidR="00DF0906">
        <w:t>EMFAF</w:t>
      </w:r>
      <w:r>
        <w:t xml:space="preserve"> Intensidad máxima de ayuda para las operaciones de DLP</w:t>
      </w:r>
      <w:bookmarkEnd w:id="551"/>
    </w:p>
    <w:p w:rsidR="00786B3E" w:rsidRDefault="00786B3E" w:rsidP="00786B3E">
      <w:r>
        <w:rPr>
          <w:noProof/>
          <w:lang w:val="es-ES"/>
        </w:rPr>
        <w:drawing>
          <wp:inline distT="0" distB="0" distL="0" distR="0" wp14:anchorId="6D0E688E" wp14:editId="5CCE10C3">
            <wp:extent cx="152435" cy="152435"/>
            <wp:effectExtent l="0" t="0" r="0" b="0"/>
            <wp:docPr id="101107" name="Imagen 1011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41 y anexo III del Reglamento FEMPA</w:t>
      </w:r>
    </w:p>
    <w:p w:rsidR="00786B3E" w:rsidRDefault="00786B3E" w:rsidP="00786B3E">
      <w:r>
        <w:rPr>
          <w:noProof/>
          <w:lang w:val="es-ES"/>
        </w:rPr>
        <w:drawing>
          <wp:inline distT="0" distB="0" distL="0" distR="0" wp14:anchorId="6865E85F" wp14:editId="2890750E">
            <wp:extent cx="152435" cy="152435"/>
            <wp:effectExtent l="0" t="0" r="0" b="0"/>
            <wp:docPr id="101109" name="Imagen 1011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Bélgica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La autoridad de gestión belga está preparando su proyecto de programa FEMPA en el que se incluirá el DLP y está buscando claridad sobre la intensidad de la ayuda para los costes operativos y otros costes de DLP.</w:t>
      </w:r>
    </w:p>
    <w:p w:rsidR="00786B3E" w:rsidRDefault="00786B3E" w:rsidP="00786B3E"/>
    <w:p w:rsidR="00786B3E" w:rsidRDefault="00786B3E" w:rsidP="00786B3E">
      <w:r>
        <w:t>«- El punto 12 del anexo III del FEMPA establece que las operaciones relacionadas con los costes operativos de los grupos de acción local tienen un porcentaje máximo de intensidad de ayuda del 100 %. ¿Se aplica esto tanto al artículo 34, apartado 1, letra a), como al del Reglamento RDC? </w:t>
      </w:r>
    </w:p>
    <w:p w:rsidR="00786B3E" w:rsidRDefault="00786B3E" w:rsidP="00786B3E"/>
    <w:p w:rsidR="00786B3E" w:rsidRDefault="00786B3E" w:rsidP="00786B3E">
      <w:r>
        <w:t>— En vista de la pregunta anterior, ¿implica la ejecución de las operaciones seleccionadas en el marco de la estrategia local [de conformidad con el artículo 34, apartado 1, letra b), del Reglamento sobre disposiciones comunes] que estas estén sujetas a los demás porcentajes de ayuda establecidos en el anexo III del Reglamento FEMPA?»</w:t>
      </w:r>
    </w:p>
    <w:p w:rsidR="00786B3E" w:rsidRDefault="00786B3E" w:rsidP="00786B3E"/>
    <w:p w:rsidR="00786B3E" w:rsidRDefault="00786B3E" w:rsidP="00786B3E">
      <w:pPr>
        <w:pStyle w:val="P68B1DB1-Normal1"/>
      </w:pPr>
      <w:r>
        <w:t>Respuesta.</w:t>
      </w:r>
    </w:p>
    <w:p w:rsidR="00786B3E" w:rsidRDefault="00786B3E" w:rsidP="00786B3E">
      <w:r>
        <w:t xml:space="preserve">Las operaciones a que se refiere el punto 12 del anexo III, es decir, las relacionadas con los costes de funcionamiento de los grupos de acción local, deben limitarse estrictamente al artículo 34, apartado 1, letra c), del Reglamento sobre disposiciones comunes, en particular «la gestión, el seguimiento y la evaluación de la estrategia y su animación, incluida la facilitación de los intercambios entre las partes interesadas». Así pues, «el desarrollo de capacidades y las acciones preparatorias de apoyo al diseño y la futura aplicación de la estrategia», tal como se definen en el artículo 34, apartado 1, letra a), del Reglamento sobre disposiciones comunes, no entran en el ámbito de los </w:t>
      </w:r>
      <w:r>
        <w:rPr>
          <w:i/>
        </w:rPr>
        <w:t xml:space="preserve">costes </w:t>
      </w:r>
      <w:r>
        <w:t xml:space="preserve">de funcionamiento, sino de </w:t>
      </w:r>
      <w:r>
        <w:rPr>
          <w:i/>
        </w:rPr>
        <w:t>los</w:t>
      </w:r>
      <w:r>
        <w:t xml:space="preserve"> costes preparatorios (incluido el desarrollo de capacidades). Estos costes pueden estar sujetos a diferentes porcentajes máximos de intensidad de la ayuda.</w:t>
      </w:r>
    </w:p>
    <w:p w:rsidR="00786B3E" w:rsidRDefault="00786B3E" w:rsidP="00786B3E">
      <w:r>
        <w:t xml:space="preserve">Esta interpretación se ve corroborada por la clasificación de los tipos de acciones del anexo IV del Reglamento FEMPA, que identifica tres tipos relacionados con el CLLD en los códigos 13, 14 y 15; de los cuales, solo el último se refiere a los costes de </w:t>
      </w:r>
      <w:r>
        <w:rPr>
          <w:i/>
        </w:rPr>
        <w:t>funcionamiento</w:t>
      </w:r>
      <w:r>
        <w:t xml:space="preserve"> (que podrían incluir la animación).</w:t>
      </w:r>
    </w:p>
    <w:p w:rsidR="00786B3E" w:rsidRDefault="00786B3E" w:rsidP="00786B3E">
      <w:r>
        <w:t>En cuanto a las operaciones de diversa naturaleza apoyadas por el FEMPA en virtud del artículo 34, apartado 1, letra b), del Reglamento sobre disposiciones comunes, que son las que aplican la estrategia de los GAL, son aplicables las disposiciones generales del artículo 41 que definen la intensidad máxima de la ayuda.</w:t>
      </w:r>
    </w:p>
    <w:p w:rsidR="00786B3E" w:rsidRDefault="00786B3E" w:rsidP="00786B3E"/>
    <w:p w:rsidR="00786B3E" w:rsidRDefault="00786B3E" w:rsidP="00786B3E">
      <w:r>
        <w:t>Conclusión: a las operaciones resultantes de la estrategia de los GAL, así como a los costes de preparación y desarrollo de capacidades de los GAL, se aplicarán las disposiciones del artículo 41 del FEMPA para definir la intensidad máxima de la ayuda. En el caso de los costes de funcionamiento justificados de los GAL, puede aplicarse el porcentaje máximo de intensidad de ayuda del 100 % del punto 12 del anexo III.</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w:t>
      </w:r>
      <w:r>
        <w:lastRenderedPageBreak/>
        <w:t>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52" w:name="scroll-bookmark-647"/>
      <w:bookmarkStart w:id="553" w:name="scroll-bookmark-648"/>
      <w:bookmarkEnd w:id="552"/>
      <w:r>
        <w:t xml:space="preserve">QA634: </w:t>
      </w:r>
      <w:r w:rsidR="00DF0906">
        <w:t>EMFAF</w:t>
      </w:r>
      <w:r>
        <w:t xml:space="preserve"> Intensidad máxima de la ayuda para los beneficiarios sin personalidad jurídica</w:t>
      </w:r>
      <w:bookmarkEnd w:id="553"/>
    </w:p>
    <w:p w:rsidR="00786B3E" w:rsidRDefault="00786B3E" w:rsidP="00786B3E">
      <w:r>
        <w:rPr>
          <w:noProof/>
          <w:lang w:val="es-ES"/>
        </w:rPr>
        <w:drawing>
          <wp:inline distT="0" distB="0" distL="0" distR="0" wp14:anchorId="48E76D2E" wp14:editId="71546868">
            <wp:extent cx="152435" cy="152435"/>
            <wp:effectExtent l="0" t="0" r="0" b="0"/>
            <wp:docPr id="101111" name="Imagen 1011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41 del Reglamento FEMPA</w:t>
      </w:r>
    </w:p>
    <w:p w:rsidR="00786B3E" w:rsidRDefault="00786B3E" w:rsidP="00786B3E">
      <w:r>
        <w:rPr>
          <w:noProof/>
          <w:lang w:val="es-ES"/>
        </w:rPr>
        <w:drawing>
          <wp:inline distT="0" distB="0" distL="0" distR="0" wp14:anchorId="4E3650CC" wp14:editId="14C6750F">
            <wp:extent cx="152435" cy="152435"/>
            <wp:effectExtent l="0" t="0" r="0" b="0"/>
            <wp:docPr id="101113" name="Imagen 1011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Rumanía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De conformidad con el artículo 2 (9) (a) del RDC, un beneficiario podría ser una entidad sin personalidad jurídica. Dicha entidad podría ser una asociación entre una universidad o un instituto de investigación, que es un organismo público y una empresa acuícola, que es un organismo privado y podrían tener un proyecto de acuicultura. Esta entidad no entraría en la definición del artículo 2 (9) (b) del RDC.</w:t>
      </w:r>
    </w:p>
    <w:p w:rsidR="00786B3E" w:rsidRDefault="00786B3E" w:rsidP="00786B3E"/>
    <w:p w:rsidR="00786B3E" w:rsidRDefault="00786B3E" w:rsidP="00786B3E">
      <w:r>
        <w:t>De conformidad con el artículo 41 del FEMPA, el porcentaje máximo de intensidad de ayuda es del 50 % u otro, tal como se establece en el anexo III. Cuando una operación entre en varias de las filas entre la 2 y la 19 del anexo III, se aplicará el porcentaje máximo de intensidad de la ayuda.</w:t>
      </w:r>
    </w:p>
    <w:p w:rsidR="00786B3E" w:rsidRDefault="00786B3E" w:rsidP="00786B3E"/>
    <w:p w:rsidR="00786B3E" w:rsidRDefault="00786B3E" w:rsidP="00786B3E">
      <w:r>
        <w:t>En el caso de la entidad mencionada, podrían aplicarse dos filas del anexo III del FEMPA:</w:t>
      </w:r>
    </w:p>
    <w:p w:rsidR="00786B3E" w:rsidRDefault="00786B3E" w:rsidP="00786B3E">
      <w:r>
        <w:t>a) Fila 8 Operaciones en las que el beneficiario es un organismo público... — 100 %;</w:t>
      </w:r>
    </w:p>
    <w:p w:rsidR="00786B3E" w:rsidRDefault="00786B3E" w:rsidP="00786B3E">
      <w:r>
        <w:t>b) Fila 17 Operaciones de apoyo a la acuicultura sostenible ejecutadas por PYME — 60 %.</w:t>
      </w:r>
    </w:p>
    <w:p w:rsidR="00786B3E" w:rsidRDefault="00786B3E" w:rsidP="00786B3E"/>
    <w:p w:rsidR="00786B3E" w:rsidRDefault="00786B3E" w:rsidP="00786B3E">
      <w:r>
        <w:t>Confírmese si, en este caso, es aplicable el artículo 41 (3) del FEMPA y debe aplicarse el porcentaje máximo de intensidad de ayuda del 100 %.</w:t>
      </w:r>
    </w:p>
    <w:p w:rsidR="00786B3E" w:rsidRDefault="00786B3E" w:rsidP="00786B3E"/>
    <w:p w:rsidR="00786B3E" w:rsidRDefault="00786B3E" w:rsidP="00786B3E">
      <w:pPr>
        <w:pStyle w:val="P68B1DB1-Normal1"/>
      </w:pPr>
      <w:r>
        <w:t>Respuesta.</w:t>
      </w:r>
    </w:p>
    <w:p w:rsidR="00786B3E" w:rsidRDefault="00786B3E" w:rsidP="00786B3E">
      <w:r>
        <w:t xml:space="preserve">El artículo 2, apartado 2, (12) del Reglamento FEMPA define «organismo público» como «el Estado, las autoridades regionales o locales, los organismos de Derecho público o las asociaciones formadas por una o varias de dichas autoridades o por uno o varios de dichos organismos, de Derecho público». En los casos en que un beneficiario carezca de personalidad jurídica, corresponde al Estado miembro decidir </w:t>
      </w:r>
      <w:r>
        <w:rPr>
          <w:i/>
        </w:rPr>
        <w:t>caso por caso y</w:t>
      </w:r>
      <w:r>
        <w:t xml:space="preserve"> teniendo </w:t>
      </w:r>
      <w:r>
        <w:lastRenderedPageBreak/>
        <w:t>en cuenta el tipo de operación que debe llevarse a cabo (beneficio frente a uso público), si el beneficiario entra en dicha definición y, por tanto, puede optar al porcentaje de intensidad de ayuda del 100 % mencionado en la fila 8 del anexo III del Reglamento FEMPA.</w:t>
      </w:r>
    </w:p>
    <w:p w:rsidR="00786B3E" w:rsidRDefault="00786B3E" w:rsidP="00786B3E"/>
    <w:p w:rsidR="00786B3E" w:rsidRDefault="00786B3E" w:rsidP="00786B3E">
      <w:r>
        <w:t>Las autoridades de gestión deben diferenciar la asociación y el consorcio. Un consorcio implica la constitución de una nueva entidad, que puede ser pública o privada, dependiendo de la legislación nacional. A la luz de lo anterior, las autoridades de gestión deben considerar las siguientes posibilidades:</w:t>
      </w:r>
    </w:p>
    <w:p w:rsidR="00786B3E" w:rsidRDefault="00786B3E" w:rsidP="00786B3E">
      <w:pPr>
        <w:numPr>
          <w:ilvl w:val="0"/>
          <w:numId w:val="248"/>
        </w:numPr>
      </w:pPr>
      <w:r>
        <w:t>Un organismo público puede estar en asociación o cooperación con una empresa privada y seguir recibiendo una intensidad de ayuda del 100 % (fila 8 del anexo III del FEMPA). La condición es que el organismo público sea el único beneficiario. Así pues, el socio será participante y no tendrá derecho a recibir fondos.</w:t>
      </w:r>
    </w:p>
    <w:p w:rsidR="00786B3E" w:rsidRDefault="00786B3E" w:rsidP="00786B3E">
      <w:pPr>
        <w:numPr>
          <w:ilvl w:val="0"/>
          <w:numId w:val="248"/>
        </w:numPr>
      </w:pPr>
      <w:r>
        <w:t>Una entidad pública (es decir, un instituto de investigación, etc.) puede crear un consorcio con una entidad privada. Un consorcio conduce a la creación de una nueva entidad, que puede ser privada o pública, de conformidad con la legislación nacional. La autoridad de gestión debe decidir si la nueva entidad creada por el consorcio es pública</w:t>
      </w:r>
      <w:hyperlink w:anchor="scroll-bookmark-649" w:history="1">
        <w:r>
          <w:rPr>
            <w:rStyle w:val="Hipervnculo"/>
          </w:rPr>
          <w:t xml:space="preserve"> [1] </w:t>
        </w:r>
      </w:hyperlink>
      <w:r>
        <w:t>o privada.</w:t>
      </w:r>
    </w:p>
    <w:p w:rsidR="00786B3E" w:rsidRDefault="00786B3E" w:rsidP="00786B3E"/>
    <w:p w:rsidR="00786B3E" w:rsidRDefault="00786B3E" w:rsidP="00786B3E">
      <w:r>
        <w:t>Las autoridades de gestión deben velar por que los beneficiarios no aprovechen indebidamente el porcentaje de intensidad de ayuda más favorable concedido a los organismos públicos.</w:t>
      </w:r>
    </w:p>
    <w:p w:rsidR="00786B3E" w:rsidRDefault="00786B3E" w:rsidP="00786B3E">
      <w:r>
        <w:t xml:space="preserve">La fila 17 del anexo III no se aplica a los beneficiarios sin personalidad jurídica, </w:t>
      </w:r>
      <w:r w:rsidR="002F3719">
        <w:t xml:space="preserve">ya que, </w:t>
      </w:r>
      <w:r>
        <w:t>se refiere a operaciones ejecutadas por pymes, es decir, por empresas con personalidad jurídica.</w:t>
      </w:r>
    </w:p>
    <w:p w:rsidR="00786B3E" w:rsidRDefault="00786B3E" w:rsidP="00786B3E"/>
    <w:p w:rsidR="00786B3E" w:rsidRDefault="00FC0FB1" w:rsidP="00786B3E">
      <w:hyperlink w:anchor="scroll-bookmark-650" w:history="1">
        <w:r w:rsidR="00786B3E">
          <w:rPr>
            <w:rStyle w:val="Hipervnculo"/>
          </w:rPr>
          <w:t xml:space="preserve">[1] </w:t>
        </w:r>
      </w:hyperlink>
      <w:r w:rsidR="00786B3E">
        <w:t xml:space="preserve"> de conformidad con la definición de «organismo público» del artículo 2, apartado 2, (12):  «</w:t>
      </w:r>
      <w:r w:rsidR="00786B3E">
        <w:rPr>
          <w:i/>
        </w:rPr>
        <w:t>el Estado, los entes territoriales, los organismos de Derecho público o las asociaciones constituidas por una o varias de dichas autoridades o por uno o varios de dichos organismos, de Derecho público</w:t>
      </w:r>
      <w:r w:rsidR="00786B3E">
        <w:t>».        </w:t>
      </w:r>
    </w:p>
    <w:p w:rsidR="00786B3E" w:rsidRDefault="00786B3E" w:rsidP="00786B3E"/>
    <w:p w:rsidR="00786B3E" w:rsidRDefault="00786B3E" w:rsidP="00786B3E">
      <w:pPr>
        <w:pStyle w:val="P68B1DB1-Normal4"/>
      </w:pPr>
      <w:r>
        <w:t>N.B.</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r>
        <w:lastRenderedPageBreak/>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554" w:name="scroll-bookmark-651"/>
      <w:bookmarkStart w:id="555" w:name="scroll-bookmark-652"/>
      <w:bookmarkEnd w:id="554"/>
      <w:r>
        <w:t xml:space="preserve">QA635: </w:t>
      </w:r>
      <w:r w:rsidR="00DF0906">
        <w:t>EMFAF</w:t>
      </w:r>
      <w:r>
        <w:t xml:space="preserve"> Interpretación del indicador de resultados «número de operaciones»</w:t>
      </w:r>
      <w:bookmarkEnd w:id="555"/>
    </w:p>
    <w:p w:rsidR="00786B3E" w:rsidRDefault="00786B3E" w:rsidP="00786B3E">
      <w:r>
        <w:rPr>
          <w:noProof/>
          <w:lang w:val="es-ES"/>
        </w:rPr>
        <w:drawing>
          <wp:inline distT="0" distB="0" distL="0" distR="0" wp14:anchorId="1C8576DA" wp14:editId="472D37BA">
            <wp:extent cx="152435" cy="152435"/>
            <wp:effectExtent l="0" t="0" r="0" b="0"/>
            <wp:docPr id="101115" name="Imagen 1011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1 del Reglamento FEMPA y artículo 2 (4) (a) del Reglamento sobre disposiciones comunes</w:t>
      </w:r>
    </w:p>
    <w:p w:rsidR="00786B3E" w:rsidRDefault="00786B3E" w:rsidP="00786B3E">
      <w:r>
        <w:rPr>
          <w:noProof/>
          <w:lang w:val="es-ES"/>
        </w:rPr>
        <w:drawing>
          <wp:inline distT="0" distB="0" distL="0" distR="0" wp14:anchorId="2CBFACB1" wp14:editId="5050DF23">
            <wp:extent cx="152435" cy="152435"/>
            <wp:effectExtent l="0" t="0" r="0" b="0"/>
            <wp:docPr id="101117" name="Imagen 1011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Rumanía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De conformidad con el Reglamento (UE) n.º 1139/2021 (FEMPA), anexo 1: INDICATORES COMÚN DEL FEMPA, el indicador de realización es «CO 01 — Número de operaciones</w:t>
      </w:r>
      <w:r>
        <w:rPr>
          <w:u w:val="single"/>
        </w:rPr>
        <w:t>»</w:t>
      </w:r>
      <w:r>
        <w:t>. Una operación puede tener un estatuto diferente, de «seleccionado» a «finalizado» o «completado», pero el Reglamento guarda silencio a este respecto.</w:t>
      </w:r>
    </w:p>
    <w:p w:rsidR="00786B3E" w:rsidRDefault="00786B3E" w:rsidP="00786B3E">
      <w:r>
        <w:t>Dado que el Reglamento (UE) n.º 1060/2021 (RDC) prevé en su artículo 1 (6) que el FEMPA pueda complementar el RDC y, en caso de duda, prevalecerá el RDC, en nuestra opinión de que las definiciones del RDC se aplican también a los indicadores de realización del FEMPA.</w:t>
      </w:r>
    </w:p>
    <w:p w:rsidR="00786B3E" w:rsidRDefault="00786B3E" w:rsidP="00786B3E">
      <w:r>
        <w:t xml:space="preserve">Así pues, si, de conformidad con el artículo 2 (4) (a) del RDC, «operación» significa «un proyecto, contrato, acción o grupo de proyectos </w:t>
      </w:r>
      <w:r>
        <w:rPr>
          <w:u w:val="single"/>
        </w:rPr>
        <w:t>seleccionados</w:t>
      </w:r>
      <w:r>
        <w:t xml:space="preserve"> en el marco de los programas de que se trate», el indicador de realización mencionado en el anexo 1 «INDICATORES COMÚN DEL FEMPA» debe entenderse como </w:t>
      </w:r>
      <w:r>
        <w:rPr>
          <w:u w:val="single"/>
        </w:rPr>
        <w:t>operaciones que han sido seleccionadas</w:t>
      </w:r>
      <w:r>
        <w:t xml:space="preserve"> (es decir, que un contrato para financiar dicha operación ha sido firmado tanto por la autoridad de gestión como por el solicitante).</w:t>
      </w:r>
    </w:p>
    <w:p w:rsidR="00786B3E" w:rsidRDefault="00786B3E" w:rsidP="00786B3E"/>
    <w:p w:rsidR="00786B3E" w:rsidRDefault="00786B3E" w:rsidP="00786B3E">
      <w:pPr>
        <w:pStyle w:val="P68B1DB1-Normal1"/>
      </w:pPr>
      <w:r>
        <w:t>Respuesta.</w:t>
      </w:r>
    </w:p>
    <w:p w:rsidR="00786B3E" w:rsidRDefault="00786B3E" w:rsidP="00786B3E">
      <w:r>
        <w:t>Se afirma correctamente que el anexo I del Reglamento FEMPA solo menciona un tipo de indicador de realización: «Co 01 — número de operaciones». Los indicadores de realización miden los resultados concretos de la intervención, de conformidad con el artículo 2, apartado 13, del RDC.</w:t>
      </w:r>
    </w:p>
    <w:p w:rsidR="00786B3E" w:rsidRDefault="00786B3E" w:rsidP="00786B3E"/>
    <w:p w:rsidR="00786B3E" w:rsidRDefault="00786B3E" w:rsidP="00786B3E">
      <w:r>
        <w:t xml:space="preserve">Corresponde al Estado miembro definir el valor objetivo para el número de operaciones para cada objetivo específico en el programa FEMPA. Es decir, la suma de todas las operaciones que deben ejecutarse para ese objetivo específico. Se ha descrito correctamente que «operación» se refiere a un proyecto, contrato, acción o grupo de proyectos </w:t>
      </w:r>
      <w:r>
        <w:rPr>
          <w:b/>
        </w:rPr>
        <w:t>seleccionados</w:t>
      </w:r>
      <w:r>
        <w:t xml:space="preserve"> en el marco de los programas en cuestión. De hecho, con el </w:t>
      </w:r>
      <w:r>
        <w:lastRenderedPageBreak/>
        <w:t>término «seleccionado» debe existir un contrato firmado entre la autoridad de gestión y el solicitante para financiar la operación. Con respecto al indicador de productividad «número de operaciones», el hito debe referirse al número de operaciones que deben seleccionarse a finales de 2024, y el objetivo al número de operaciones que deben seleccionarse a finales de 2029, independientemente del nivel de ejecución o finalización de dichas operaciones.</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56" w:name="scroll-bookmark-653"/>
      <w:bookmarkStart w:id="557" w:name="scroll-bookmark-654"/>
      <w:bookmarkEnd w:id="556"/>
      <w:r>
        <w:t xml:space="preserve">QA640: </w:t>
      </w:r>
      <w:r w:rsidR="00DF0906">
        <w:t>EMFAF</w:t>
      </w:r>
      <w:r>
        <w:t xml:space="preserve"> Modernización de los buques pesqueros de más de 12 m en el marco del FEMPA</w:t>
      </w:r>
      <w:bookmarkEnd w:id="557"/>
    </w:p>
    <w:p w:rsidR="00786B3E" w:rsidRDefault="00786B3E" w:rsidP="00786B3E">
      <w:r>
        <w:rPr>
          <w:noProof/>
          <w:lang w:val="es-ES"/>
        </w:rPr>
        <w:drawing>
          <wp:inline distT="0" distB="0" distL="0" distR="0" wp14:anchorId="498D1D94" wp14:editId="45B484C4">
            <wp:extent cx="152435" cy="152435"/>
            <wp:effectExtent l="0" t="0" r="0" b="0"/>
            <wp:docPr id="101119" name="Imagen 1011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del Reglamento FEMPA</w:t>
      </w:r>
    </w:p>
    <w:p w:rsidR="00786B3E" w:rsidRDefault="00786B3E" w:rsidP="00786B3E">
      <w:r>
        <w:rPr>
          <w:noProof/>
          <w:lang w:val="es-ES"/>
        </w:rPr>
        <w:drawing>
          <wp:inline distT="0" distB="0" distL="0" distR="0" wp14:anchorId="3956306A" wp14:editId="3A8C2AD9">
            <wp:extent cx="152435" cy="152435"/>
            <wp:effectExtent l="0" t="0" r="0" b="0"/>
            <wp:docPr id="101121" name="Imagen 1011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Bulgaria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Tenemos varias preguntas relativas a los buques pesqueros de más de 12 metros de eslora (segmento: 18-24 m y + 24 m), en particular en lo que respecta a las oportunidades de inversión a bordo (renovación de buques/reparación) durante el período de programación del FEMPA.</w:t>
      </w:r>
    </w:p>
    <w:p w:rsidR="00786B3E" w:rsidRDefault="00786B3E" w:rsidP="00786B3E">
      <w:r>
        <w:t>(1) Los armadores de los buques deben mejorar la seguridad a bordo en lo que respecta a las siguientes inversiones específicas: ¿pueden acogerse al FEMPA?</w:t>
      </w:r>
    </w:p>
    <w:p w:rsidR="00786B3E" w:rsidRDefault="00786B3E" w:rsidP="00786B3E">
      <w:pPr>
        <w:numPr>
          <w:ilvl w:val="0"/>
          <w:numId w:val="249"/>
        </w:numPr>
      </w:pPr>
      <w:r>
        <w:t xml:space="preserve">renovación del casco del buque y del pozo de hélice; renovación del armazón del buque; renovación del sistema de timón; sustitución de la cubierta (principal y delantera): suelo de madera y chapas de acero situadas bajo ella; sustitución de la ampolla; el enarenado y la pintura del casco; sustitución de protectores para </w:t>
      </w:r>
      <w:r>
        <w:lastRenderedPageBreak/>
        <w:t>la electricidad estática en el casco del buque (soluciones antiestáticas del buque); sustitución del tubo celular; amarre, voladura y chorro de agua de alta presión.</w:t>
      </w:r>
    </w:p>
    <w:p w:rsidR="00786B3E" w:rsidRDefault="00786B3E" w:rsidP="00786B3E">
      <w:r>
        <w:t>(2) ¿Puede invertir en la sustitución (modernización) de equipos, lo que es obligatorio en virtud del Derecho de la Unión o nacional?</w:t>
      </w:r>
    </w:p>
    <w:p w:rsidR="00786B3E" w:rsidRDefault="00786B3E" w:rsidP="00786B3E">
      <w:r>
        <w:t xml:space="preserve">(3) ¿Puede invertir en radar, GPS y </w:t>
      </w:r>
      <w:proofErr w:type="spellStart"/>
      <w:r>
        <w:t>cartografiador</w:t>
      </w:r>
      <w:proofErr w:type="spellEnd"/>
      <w:r>
        <w:t>?</w:t>
      </w:r>
    </w:p>
    <w:p w:rsidR="00786B3E" w:rsidRDefault="00786B3E" w:rsidP="00786B3E"/>
    <w:p w:rsidR="00786B3E" w:rsidRDefault="00786B3E" w:rsidP="00786B3E">
      <w:pPr>
        <w:pStyle w:val="P68B1DB1-Normal1"/>
      </w:pPr>
      <w:r>
        <w:t>Respuesta.</w:t>
      </w:r>
    </w:p>
    <w:p w:rsidR="00786B3E" w:rsidRDefault="00786B3E" w:rsidP="00786B3E">
      <w:r>
        <w:t>(1) De conformidad con el artículo 63, apartado 1, del Reglamento (UE) 2021/1060 sobre disposiciones comunes, la subvencionabilidad de los gastos se determinará sobre la base de normas nacionales, salvo cuando en el presente Reglamento o en los Reglamentos específicos de los Fondos se establezcan normas específicas. De conformidad con el artículo 12 del Reglamento (UE) 2021/1139 del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r>
        <w:t>El considerando 23 del Reglamento FEMPA ofrece ejemplos de acciones subvencionables (por ejemplo, salud, seguridad y condiciones de trabajo, eficiencia energética y calidad de las capturas), pero también es claro en las que no lo son (por ejemplo, la adquisición de equipos que aumenten la capacidad de un buque pesquero para encontrar pescado).</w:t>
      </w:r>
    </w:p>
    <w:p w:rsidR="00786B3E" w:rsidRDefault="00786B3E" w:rsidP="00786B3E">
      <w:r>
        <w:t>La admisibilidad se define de conformidad con el artículo 12 del Reglamento FEMPA, que a su vez se refiere a la lista de operaciones no subvencionables del artículo 13. El considerando 23 del Reglamento FEMPA no puede utilizarse para eludir el artículo 13 del Reglamento FEMPA.</w:t>
      </w:r>
    </w:p>
    <w:p w:rsidR="00786B3E" w:rsidRDefault="00786B3E" w:rsidP="00786B3E">
      <w:r>
        <w:t>Es responsabilidad de la autoridad de gestión evaluar y determinar qué tipo de inversiones para mejorar la seguridad a bordo de los buques pesqueros enumerados en la pregunta 1 cumplen los requisitos de admisibilidad del artículo 12 y no entran dentro de las operaciones no subvencionables establecidas en el artículo 13.</w:t>
      </w:r>
    </w:p>
    <w:p w:rsidR="00786B3E" w:rsidRDefault="00786B3E" w:rsidP="00786B3E">
      <w:r>
        <w:t>También es importante incluir en el programa el tipo de acción necesario para apoyar las inversiones que mejoren la seguridad a bordo de los buques pesqueros.</w:t>
      </w:r>
    </w:p>
    <w:p w:rsidR="00786B3E" w:rsidRDefault="00786B3E" w:rsidP="00786B3E">
      <w:r>
        <w:t>(2) Como se indica en el artículo 13, letra k</w:t>
      </w:r>
      <w:proofErr w:type="gramStart"/>
      <w:r>
        <w:t>),:</w:t>
      </w:r>
      <w:proofErr w:type="gramEnd"/>
      <w:r>
        <w:t xml:space="preserve"> las inversiones a bordo de buques pesqueros, incluida la sustitución (modernización) del equipo, necesarias para cumplir los requisitos del Derecho de la Unión en vigor en el momento de la presentación de la solicitud de ayuda, incluidos los requisitos en virtud de las obligaciones de la Unión en el contexto de las OROP, no son subvencionables, a menos que se disponga lo contrario en el artículo 22.</w:t>
      </w:r>
    </w:p>
    <w:p w:rsidR="00786B3E" w:rsidRDefault="00786B3E" w:rsidP="00786B3E">
      <w:r>
        <w:t>Las inversiones exigidas por la legislación nacional son subvencionables siempre que vayan más allá de los requisitos establecidos en el Derecho de la Unión.</w:t>
      </w:r>
    </w:p>
    <w:p w:rsidR="00786B3E" w:rsidRDefault="00786B3E" w:rsidP="00786B3E">
      <w:r>
        <w:lastRenderedPageBreak/>
        <w:t xml:space="preserve">(3) El radar, el GPS y el </w:t>
      </w:r>
      <w:proofErr w:type="spellStart"/>
      <w:r>
        <w:t>cartografiador</w:t>
      </w:r>
      <w:proofErr w:type="spellEnd"/>
      <w:r>
        <w:t xml:space="preserve"> de los buques pesqueros no son elegibles de conformidad con el artículo 13, letra b), porque son equipos que aumentan la capacidad de encontrar peces.</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58" w:name="scroll-bookmark-655"/>
      <w:bookmarkStart w:id="559" w:name="scroll-bookmark-656"/>
      <w:bookmarkEnd w:id="558"/>
      <w:r>
        <w:t xml:space="preserve">QA644: </w:t>
      </w:r>
      <w:r w:rsidR="00DF0906">
        <w:t>EMFAF</w:t>
      </w:r>
      <w:r>
        <w:t xml:space="preserve"> Interpretación de determinadas disposiciones del FEMPA con vistas a una programación correcta</w:t>
      </w:r>
      <w:bookmarkEnd w:id="559"/>
    </w:p>
    <w:p w:rsidR="00786B3E" w:rsidRDefault="00786B3E" w:rsidP="00786B3E">
      <w:r>
        <w:rPr>
          <w:noProof/>
          <w:lang w:val="es-ES"/>
        </w:rPr>
        <w:drawing>
          <wp:inline distT="0" distB="0" distL="0" distR="0" wp14:anchorId="2E54A697" wp14:editId="0087CDF2">
            <wp:extent cx="152435" cy="152435"/>
            <wp:effectExtent l="0" t="0" r="0" b="0"/>
            <wp:docPr id="101123" name="Imagen 1011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26 (1) (b), artículo 22, apartado 3, y artículos 33 y 34 del Reglamento FEMPA.</w:t>
      </w:r>
    </w:p>
    <w:p w:rsidR="00786B3E" w:rsidRDefault="00786B3E" w:rsidP="00786B3E">
      <w:r>
        <w:rPr>
          <w:noProof/>
          <w:lang w:val="es-ES"/>
        </w:rPr>
        <w:drawing>
          <wp:inline distT="0" distB="0" distL="0" distR="0" wp14:anchorId="74F45D48" wp14:editId="5DAB7EFA">
            <wp:extent cx="152435" cy="152435"/>
            <wp:effectExtent l="0" t="0" r="0" b="0"/>
            <wp:docPr id="101125" name="Imagen 1011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Croacia</w:t>
      </w:r>
    </w:p>
    <w:p w:rsidR="00786B3E" w:rsidRDefault="00786B3E" w:rsidP="00786B3E"/>
    <w:p w:rsidR="00786B3E" w:rsidRDefault="00786B3E" w:rsidP="00786B3E">
      <w:pPr>
        <w:pStyle w:val="P68B1DB1-Normal1"/>
      </w:pPr>
      <w:r>
        <w:br/>
        <w:t>Pregunta 1</w:t>
      </w:r>
    </w:p>
    <w:p w:rsidR="00786B3E" w:rsidRDefault="00786B3E" w:rsidP="00786B3E">
      <w:r>
        <w:t>Nos gustaría saber si la introducción de una comida sana de productos de la pesca y la acuicultura en la dieta de niños y jóvenes en instituciones educativas (escuelas/jardines de infancia) en Croacia puede financiarse con arreglo al artículo 26, apartado 1, letra b), del Reglamento FEMPA. Más concretamente, se prevén las siguientes actividades:</w:t>
      </w:r>
    </w:p>
    <w:p w:rsidR="00786B3E" w:rsidRDefault="00786B3E" w:rsidP="00786B3E">
      <w:pPr>
        <w:numPr>
          <w:ilvl w:val="0"/>
          <w:numId w:val="250"/>
        </w:numPr>
      </w:pPr>
      <w:r>
        <w:t>Distribución o entrega de productos de la pesca y la acuicultura. En el marco de estas actividades, se prevé la financiación de los productos de la pesca y la acuicultura, y los beneficiarios de la ayuda serían proveedores/centros educativos.</w:t>
      </w:r>
    </w:p>
    <w:p w:rsidR="00786B3E" w:rsidRDefault="00786B3E" w:rsidP="00786B3E">
      <w:pPr>
        <w:numPr>
          <w:ilvl w:val="0"/>
          <w:numId w:val="250"/>
        </w:numPr>
      </w:pPr>
      <w:r>
        <w:t>Dotar a las escuelas/guarderías de equipos para la preparación/almacenamiento de productos de la pesca y la acuicultura.</w:t>
      </w:r>
    </w:p>
    <w:p w:rsidR="00786B3E" w:rsidRDefault="00786B3E" w:rsidP="00786B3E">
      <w:pPr>
        <w:numPr>
          <w:ilvl w:val="0"/>
          <w:numId w:val="250"/>
        </w:numPr>
      </w:pPr>
      <w:r>
        <w:t>Actividades educativas de acompañamiento.</w:t>
      </w:r>
    </w:p>
    <w:p w:rsidR="00786B3E" w:rsidRDefault="00786B3E" w:rsidP="00786B3E">
      <w:pPr>
        <w:numPr>
          <w:ilvl w:val="0"/>
          <w:numId w:val="250"/>
        </w:numPr>
      </w:pPr>
      <w:r>
        <w:lastRenderedPageBreak/>
        <w:t>Actividades promocionales</w:t>
      </w:r>
    </w:p>
    <w:p w:rsidR="00786B3E" w:rsidRDefault="00786B3E" w:rsidP="00786B3E">
      <w:pPr>
        <w:pStyle w:val="P68B1DB1-Normal1"/>
      </w:pPr>
      <w:r>
        <w:br/>
        <w:t>Pregunta 2</w:t>
      </w:r>
    </w:p>
    <w:p w:rsidR="00786B3E" w:rsidRDefault="00786B3E" w:rsidP="00786B3E">
      <w:r>
        <w:t>Teniendo en cuenta el vínculo directo entre la Estrategia de Seguridad Marítima de la UE y su plan de acción, el CISE, así como las funciones de guardacostas con el sistema de control y observancia, y teniendo en cuenta el artículo 22, apartado 3, del Reglamento FEMPA, ¿podría aclarar si las acciones para la consecución de los objetivos establecidos en el artículo 31 del Reglamento FEMPA pueden financiarse en el marco de la prioridad 1, objetivo específico 4, destinado a mejorar el sistema de control? </w:t>
      </w:r>
    </w:p>
    <w:p w:rsidR="00786B3E" w:rsidRDefault="00786B3E" w:rsidP="00786B3E">
      <w:pPr>
        <w:pStyle w:val="P68B1DB1-Normal1"/>
      </w:pPr>
      <w:r>
        <w:t>Respuesta 1</w:t>
      </w:r>
    </w:p>
    <w:p w:rsidR="00786B3E" w:rsidRDefault="00786B3E" w:rsidP="00786B3E">
      <w:r>
        <w:t>De conformidad con el artículo 26, apartado 1, letra b), del Reglamento FEMPA, el FEMPA puede apoyar intervenciones destinadas a promover la comercialización, la calidad y el valor añadido de los productos de la pesca y la acuicultura, así como la transformación de dichos productos. Sobre la base de la descripción facilitada por las autoridades croatas, no disponemos de elementos suficientes para evaluar y proporcionar una conclusión decisiva sobre la posible subvencionabilidad de las actividades en cuestión (es decir, distribución y entrega, equipos para la preparación/almacenamiento de comidas) en el marco del SO 2.2.</w:t>
      </w:r>
    </w:p>
    <w:p w:rsidR="00786B3E" w:rsidRDefault="00786B3E" w:rsidP="00786B3E">
      <w:r>
        <w:t>En general, las actividades educativas y promocionales destinadas a aumentar la sensibilización sobre los productos de la pesca y la acuicultura en la dieta infantil pueden considerarse subvencionables en virtud del OE 2.2, siempre que estas actividades contribuyan al ámbito de aplicación y a los objetivos establecidos en el artículo 26, apartado 1, letra b), del Reglamento FEMPA. El simple suministro de productos de la pesca y la acuicultura a las escuelas no cumple los objetivos del artículo 26, apartado 1, letra b), del Reglamento FEMPA y, por tanto, no constituye un tipo de acción admisible en el marco del OE 2.2.</w:t>
      </w:r>
    </w:p>
    <w:p w:rsidR="00786B3E" w:rsidRDefault="00786B3E" w:rsidP="00786B3E">
      <w:r>
        <w:t>Nos gustaría recordarle que, de conformidad con el artículo 63, apartado 1, del Reglamento sobre disposiciones comunes, la subvencionabilidad de los gastos se determina sobre la base de normas nacionales, excepto cuando en el RDC o en los Reglamentos específicos de los Fondos se establezcan normas específicas. </w:t>
      </w:r>
    </w:p>
    <w:p w:rsidR="00786B3E" w:rsidRDefault="00786B3E" w:rsidP="00786B3E">
      <w:pPr>
        <w:pStyle w:val="P68B1DB1-Normal1"/>
      </w:pPr>
      <w:r>
        <w:t>Respuesta 2</w:t>
      </w:r>
    </w:p>
    <w:p w:rsidR="00786B3E" w:rsidRDefault="00786B3E" w:rsidP="00786B3E">
      <w:r>
        <w:t xml:space="preserve">El artículo 22, apartado 3, del Reglamento FEMPA </w:t>
      </w:r>
      <w:proofErr w:type="gramStart"/>
      <w:r>
        <w:t xml:space="preserve">establece </w:t>
      </w:r>
      <w:r>
        <w:rPr>
          <w:i/>
        </w:rPr>
        <w:t xml:space="preserve"> </w:t>
      </w:r>
      <w:r>
        <w:rPr>
          <w:i/>
          <w:color w:val="000000"/>
        </w:rPr>
        <w:t>que</w:t>
      </w:r>
      <w:proofErr w:type="gramEnd"/>
      <w:r>
        <w:rPr>
          <w:i/>
          <w:color w:val="000000"/>
        </w:rPr>
        <w:t xml:space="preserve"> el apoyo a que se refiere el apartado 1 del presente artículo también podrá contribuir a la vigilancia marítima a que se refiere el artículo 33 y a la cooperación en las funciones de guardacostas a que se</w:t>
      </w:r>
      <w:r>
        <w:rPr>
          <w:i/>
        </w:rPr>
        <w:t xml:space="preserve"> refiere</w:t>
      </w:r>
      <w:r>
        <w:t xml:space="preserve"> el artículo 34. En los artículos 33 y 34 del Reglamento FEMPA se incluyen disposiciones similares.</w:t>
      </w:r>
    </w:p>
    <w:p w:rsidR="00786B3E" w:rsidRDefault="00786B3E" w:rsidP="00786B3E">
      <w:r>
        <w:t>Estas disposiciones aclaran la situación de las actividades polivalentes, es decir, las actividades utilizadas tanto para el control de la pesca como para la vigilancia marítima. Estos tipos de actividades deben recibir apoyo en virtud del artículo correspondiente a su misión principal, pero pueden recibir apoyo dentro del ámbito de aplicación de los demás artículos respectivos, sin una delimitación predefinida.</w:t>
      </w:r>
    </w:p>
    <w:p w:rsidR="00786B3E" w:rsidRDefault="00786B3E" w:rsidP="00786B3E">
      <w:r>
        <w:lastRenderedPageBreak/>
        <w:t>Sin embargo, esta disposición no debe socavar la norma según la cual al menos el 15 % de la ayuda financiera de la Unión debe asignarse al control y la observancia de la normativa pesquera (artículo 5, apartado 4, del Reglamento FEMPA).</w:t>
      </w:r>
    </w:p>
    <w:p w:rsidR="00786B3E" w:rsidRDefault="00786B3E" w:rsidP="00786B3E">
      <w:r>
        <w:t>Por lo tanto, al decidir la delimitación entre los artículos 22, 33 y 34 del FEMPA, se recomienda evaluar cuál es el principal objetivo de la actividad prevista y tener en cuenta que el 15 % de la asignación del programa debe dedicarse exclusivamente a actividades de control de la pesca y recopilación de datos.</w:t>
      </w:r>
    </w:p>
    <w:p w:rsidR="00786B3E" w:rsidRDefault="00786B3E" w:rsidP="00786B3E"/>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60" w:name="scroll-bookmark-657"/>
      <w:bookmarkStart w:id="561" w:name="scroll-bookmark-658"/>
      <w:bookmarkEnd w:id="560"/>
      <w:r>
        <w:t>QA646 EMFAFНIQ sobre los puntos 14 y 17 del anexo III del Reglamento (CE) no 2021/1139</w:t>
      </w:r>
      <w:bookmarkEnd w:id="561"/>
    </w:p>
    <w:p w:rsidR="00786B3E" w:rsidRDefault="00786B3E" w:rsidP="00786B3E">
      <w:r>
        <w:rPr>
          <w:noProof/>
          <w:lang w:val="es-ES"/>
        </w:rPr>
        <w:drawing>
          <wp:inline distT="0" distB="0" distL="0" distR="0" wp14:anchorId="173330E3" wp14:editId="21E735CE">
            <wp:extent cx="152435" cy="152435"/>
            <wp:effectExtent l="0" t="0" r="0" b="0"/>
            <wp:docPr id="101127" name="Imagen 1011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Puntos 14 y 17 del anexo III del Reglamento (CE) no 2021/1139 </w:t>
      </w:r>
    </w:p>
    <w:p w:rsidR="00786B3E" w:rsidRDefault="00786B3E" w:rsidP="00786B3E">
      <w:r>
        <w:rPr>
          <w:noProof/>
          <w:lang w:val="es-ES"/>
        </w:rPr>
        <w:drawing>
          <wp:inline distT="0" distB="0" distL="0" distR="0" wp14:anchorId="3E07E24C" wp14:editId="4F815BDE">
            <wp:extent cx="152435" cy="152435"/>
            <wp:effectExtent l="0" t="0" r="0" b="0"/>
            <wp:docPr id="101129" name="Imagen 1011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Polonia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numPr>
          <w:ilvl w:val="0"/>
          <w:numId w:val="251"/>
        </w:numPr>
      </w:pPr>
      <w:r>
        <w:t>Polonia está trabajando en las disposiciones nacionales para la prioridad 2 del FEMPA y está definiendo las normas para calcular la intensidad de la ayuda de una operación. Polonia hace referencia a las siguientes disposiciones:</w:t>
      </w:r>
    </w:p>
    <w:p w:rsidR="00786B3E" w:rsidRDefault="00786B3E" w:rsidP="00786B3E">
      <w:r>
        <w:t>1) Reglamento 2021/1139, anexo III, punto 14.</w:t>
      </w:r>
    </w:p>
    <w:p w:rsidR="00786B3E" w:rsidRDefault="00786B3E" w:rsidP="00786B3E">
      <w:r>
        <w:t>Para aumentar la intensidad de la ayuda, la operación debe cumplir todos los criterios siguientes:</w:t>
      </w:r>
    </w:p>
    <w:p w:rsidR="00786B3E" w:rsidRDefault="00786B3E" w:rsidP="00786B3E">
      <w:r>
        <w:t>I) redundan en el interés colectivo.</w:t>
      </w:r>
    </w:p>
    <w:p w:rsidR="00786B3E" w:rsidRDefault="00786B3E" w:rsidP="00786B3E">
      <w:r>
        <w:t>II) tienen un beneficiario colectivo.</w:t>
      </w:r>
    </w:p>
    <w:p w:rsidR="00786B3E" w:rsidRDefault="00786B3E" w:rsidP="00786B3E">
      <w:r>
        <w:lastRenderedPageBreak/>
        <w:t>III) tener características innovadoras, cuando proceda, a nivel local y garantizar el acceso del público a sus resultados.</w:t>
      </w:r>
    </w:p>
    <w:p w:rsidR="00786B3E" w:rsidRDefault="00786B3E" w:rsidP="00786B3E">
      <w:r>
        <w:t>Polonia pregunta cuál es la definición de beneficiario colectivo.</w:t>
      </w:r>
    </w:p>
    <w:p w:rsidR="00786B3E" w:rsidRDefault="00786B3E" w:rsidP="00786B3E"/>
    <w:p w:rsidR="00786B3E" w:rsidRDefault="00786B3E" w:rsidP="00786B3E">
      <w:r>
        <w:t>(2) Reglamento (CE) no 2021/1139, anexo III, punto 17.</w:t>
      </w:r>
    </w:p>
    <w:p w:rsidR="00786B3E" w:rsidRDefault="00786B3E" w:rsidP="00786B3E">
      <w:r>
        <w:t>Por regla general, Polonia aplica una intensidad de ayuda del 50 % de los costes subvencionables. Polonia desea aumentar el nivel de apoyo a las inversiones en acuicultura hasta el 60 % para las explotaciones con certificado ecológico y los jóvenes pescadores hasta los 40 años, que solicitarán la ayuda. </w:t>
      </w:r>
    </w:p>
    <w:p w:rsidR="00786B3E" w:rsidRDefault="00786B3E" w:rsidP="00786B3E">
      <w:r>
        <w:t>Polonia preguntó si la intensidad de la ayuda a estos grupos de solicitantes (</w:t>
      </w:r>
      <w:proofErr w:type="gramStart"/>
      <w:r>
        <w:t>60 %) se aplica sobre la base de lo dispuesto en el anexo III, punto 17, «Operaciones de apoyo a la acuicultura sostenible ejecutadas por PYME»?</w:t>
      </w:r>
      <w:proofErr w:type="gramEnd"/>
    </w:p>
    <w:p w:rsidR="00786B3E" w:rsidRDefault="00786B3E" w:rsidP="00786B3E">
      <w:pPr>
        <w:pStyle w:val="P68B1DB1-Normal1"/>
      </w:pPr>
      <w:r>
        <w:t>Respuesta.</w:t>
      </w:r>
    </w:p>
    <w:p w:rsidR="00786B3E" w:rsidRDefault="00786B3E" w:rsidP="00786B3E">
      <w:r>
        <w:t>(1) El término «beneficiario colectivo» a que se refiere el anexo III del FEMPA debe entenderse referido a una organización reconocida por la autoridad responsable como representante de los intereses de sus miembros, de un grupo de partes interesadas o del público en general.</w:t>
      </w:r>
    </w:p>
    <w:p w:rsidR="00786B3E" w:rsidRDefault="00786B3E" w:rsidP="00786B3E">
      <w:r>
        <w:t>El beneficiario es siempre la propia organización colectiva y no sus miembros.</w:t>
      </w:r>
    </w:p>
    <w:p w:rsidR="00786B3E" w:rsidRDefault="00786B3E" w:rsidP="00786B3E">
      <w:r>
        <w:t>(2) Una explotación que practique una acuicultura sostenible puede optar a la ayuda del FEMPA si contribuye a la consecución de los objetivos de la PPC establecidos en el artículo 2 del Reglamento (UE) n.º 1380/2013. Esto significa que la explotación acuícola debe ser sostenible desde el punto de vista medioambiental a largo plazo y se gestiona de manera coherente con los objetivos de generar beneficios económicos, sociales y de empleo, y de contribuir a la disponibilidad de alimentos. La autoridad de gestión debe determinar si la explotación en cuestión cumple estos criterios.</w:t>
      </w:r>
    </w:p>
    <w:p w:rsidR="00786B3E" w:rsidRDefault="00786B3E" w:rsidP="00786B3E">
      <w:r>
        <w:t xml:space="preserve">La designación de la certificación ecológica no es un factor a la hora de determinar la intensidad de la ayuda. Solo </w:t>
      </w:r>
      <w:r>
        <w:rPr>
          <w:b/>
        </w:rPr>
        <w:t>las pymes</w:t>
      </w:r>
      <w:r>
        <w:t xml:space="preserve"> que llevan a cabo una acuicultura sostenible pueden recibir una mayor intensidad de ayuda debido a su tamaño, que la autoridad de gestión debe comprobar al aprobar la operación.</w:t>
      </w:r>
    </w:p>
    <w:p w:rsidR="00786B3E" w:rsidRDefault="00786B3E" w:rsidP="00786B3E"/>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62" w:name="scroll-bookmark-659"/>
      <w:bookmarkStart w:id="563" w:name="scroll-bookmark-660"/>
      <w:bookmarkEnd w:id="562"/>
      <w:r>
        <w:t xml:space="preserve">QA647: </w:t>
      </w:r>
      <w:r w:rsidR="00DF0906">
        <w:t>EMFAF</w:t>
      </w:r>
      <w:r>
        <w:t xml:space="preserve"> Art. 18 sustitución del motor — verificación</w:t>
      </w:r>
      <w:bookmarkEnd w:id="563"/>
    </w:p>
    <w:p w:rsidR="00786B3E" w:rsidRDefault="00786B3E" w:rsidP="00786B3E">
      <w:r>
        <w:rPr>
          <w:noProof/>
          <w:lang w:val="es-ES"/>
        </w:rPr>
        <w:drawing>
          <wp:inline distT="0" distB="0" distL="0" distR="0" wp14:anchorId="30AE40D2" wp14:editId="27F984B8">
            <wp:extent cx="152435" cy="152435"/>
            <wp:effectExtent l="0" t="0" r="0" b="0"/>
            <wp:docPr id="101131" name="Imagen 1011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18 FEMPA </w:t>
      </w:r>
    </w:p>
    <w:p w:rsidR="00786B3E" w:rsidRDefault="00786B3E" w:rsidP="00786B3E">
      <w:r>
        <w:rPr>
          <w:noProof/>
          <w:lang w:val="es-ES"/>
        </w:rPr>
        <w:drawing>
          <wp:inline distT="0" distB="0" distL="0" distR="0" wp14:anchorId="2A6544D0" wp14:editId="0A0D9B5C">
            <wp:extent cx="152435" cy="152435"/>
            <wp:effectExtent l="0" t="0" r="0" b="0"/>
            <wp:docPr id="101133" name="Imagen 1011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Alemania</w:t>
      </w:r>
    </w:p>
    <w:p w:rsidR="00786B3E" w:rsidRDefault="00786B3E" w:rsidP="00786B3E"/>
    <w:p w:rsidR="00786B3E" w:rsidRDefault="00786B3E" w:rsidP="00786B3E">
      <w:pPr>
        <w:pStyle w:val="P68B1DB1-Normal1"/>
      </w:pPr>
      <w:r>
        <w:br/>
        <w:t>Preguntas (incluidos los hechos y la información pertinentes):</w:t>
      </w:r>
    </w:p>
    <w:p w:rsidR="00786B3E" w:rsidRDefault="00786B3E" w:rsidP="00786B3E">
      <w:r>
        <w:t xml:space="preserve">Pregunta 1: Por lo que se refiere al intercambio de maquinaria (motores de embarcación) de conformidad con el artículo 18, apartado 2, letra d), debe lograrse una reducción del 20 % de las emisiones de CO2. Se consultará al Reglamento de Ejecución n.º 2022/46 para la subordinación de los casos regulados en el apartado 5, </w:t>
      </w:r>
      <w:proofErr w:type="spellStart"/>
      <w:r>
        <w:t>subapartado</w:t>
      </w:r>
      <w:proofErr w:type="spellEnd"/>
      <w:r>
        <w:t>. 2 a). ¿Está permitido el intercambio de un motor de embarcación nuevo o moderno con un motor de combustión por un motor de embarcación con la misma tecnología de conducción, pero más antigua, en el marco de la aplicación del presente Reglamento? ¿Se cumple así el criterio del uso de una tecnología eficiente desde el punto de vista energético de conformidad con el artículo 1, apartado 1, letra c), del Reglamento (CE) n.º 2022/46?</w:t>
      </w:r>
    </w:p>
    <w:p w:rsidR="00786B3E" w:rsidRDefault="00786B3E" w:rsidP="00786B3E"/>
    <w:p w:rsidR="00786B3E" w:rsidRDefault="00786B3E" w:rsidP="00786B3E">
      <w:r>
        <w:t xml:space="preserve">Pregunta 2: Además, se plantea la cuestión de cómo puede considerarse que la inspección técnica de las máquinas sustituidas prevista en el artículo 18, apartado 3, del Reglamento 2021/1139 se cumple en la práctica, </w:t>
      </w:r>
      <w:r w:rsidR="002F3719">
        <w:t xml:space="preserve">ya que, </w:t>
      </w:r>
      <w:r>
        <w:t>una medición física in situ parece poco económica?</w:t>
      </w:r>
    </w:p>
    <w:p w:rsidR="00786B3E" w:rsidRDefault="00786B3E" w:rsidP="00786B3E">
      <w:pPr>
        <w:pStyle w:val="P68B1DB1-Normal1"/>
      </w:pPr>
      <w:r>
        <w:t>Respuestas:</w:t>
      </w:r>
    </w:p>
    <w:p w:rsidR="00786B3E" w:rsidRDefault="00786B3E" w:rsidP="00786B3E">
      <w:r>
        <w:t>Respuesta 1:</w:t>
      </w:r>
    </w:p>
    <w:p w:rsidR="00786B3E" w:rsidRDefault="00786B3E" w:rsidP="00786B3E">
      <w:r>
        <w:t>El artículo 18, apartado 5, del Reglamento FEMPA define la metodología para medir la reducción del 20 % de las emisiones de CO2 exigida en el apartado 2, letra d).</w:t>
      </w:r>
    </w:p>
    <w:p w:rsidR="00786B3E" w:rsidRDefault="00786B3E" w:rsidP="00786B3E">
      <w:r>
        <w:t>El Estado miembro deberá comprobar en primer lugar si el párrafo primero del apartado 5 es técnicamente aplicable. Dicho párrafo exige información certificada por el fabricante tanto para el motor antiguo como para el nuevo en lo que respecta a sus emisiones de CO2 [letra a)] o a su consumo de combustible [letra b)]. Los Estados miembros pueden optar por aplicar la letra a) o la letra b).</w:t>
      </w:r>
    </w:p>
    <w:p w:rsidR="00786B3E" w:rsidRDefault="00786B3E" w:rsidP="00786B3E">
      <w:r>
        <w:t xml:space="preserve">Si (y solo </w:t>
      </w:r>
      <w:proofErr w:type="spellStart"/>
      <w:r>
        <w:t>si</w:t>
      </w:r>
      <w:proofErr w:type="spellEnd"/>
      <w:r>
        <w:t>) el artículo 5, párrafo primero, no es técnicamente aplicable porque la información pertinente certificada por el fabricante no permite comparar las emisiones de CO2 o el consumo de combustible, el Estado miembro deberá aplicar el párrafo segundo como metodología alternativa. Este párrafo segundo ofrece tres opciones, con arreglo a las cuales se considera que se cumple la reducción del 20 % de CO2:</w:t>
      </w:r>
    </w:p>
    <w:p w:rsidR="00786B3E" w:rsidRDefault="00786B3E" w:rsidP="00786B3E">
      <w:pPr>
        <w:numPr>
          <w:ilvl w:val="0"/>
          <w:numId w:val="252"/>
        </w:numPr>
      </w:pPr>
      <w:r>
        <w:t xml:space="preserve">El nuevo motor utiliza una tecnología eficiente desde el punto de vista energético </w:t>
      </w:r>
      <w:r>
        <w:rPr>
          <w:u w:val="single"/>
        </w:rPr>
        <w:t>y</w:t>
      </w:r>
      <w:r>
        <w:t xml:space="preserve"> la diferencia de edad entre el nuevo motor y el motor sustituido es de al menos siete años. Ambas condiciones son acumulativas. La lista de tecnologías </w:t>
      </w:r>
      <w:r>
        <w:lastRenderedPageBreak/>
        <w:t>eficientes desde el punto de vista energético se establece en el artículo 1 del Reglamento de Ejecución (UE) 2022/46. La «combustión interna» se incluye en dicha lista, pero solo es admisible si hay una diferencia de al menos siete años entre el nuevo motor y el motor sustituido.</w:t>
      </w:r>
    </w:p>
    <w:p w:rsidR="00786B3E" w:rsidRDefault="00786B3E" w:rsidP="00786B3E">
      <w:pPr>
        <w:numPr>
          <w:ilvl w:val="0"/>
          <w:numId w:val="252"/>
        </w:numPr>
      </w:pPr>
      <w:r>
        <w:t>El nuevo motor utiliza un tipo de combustible o un sistema de propulsión que se considera que emite menos CO2 que el motor sustituido.</w:t>
      </w:r>
    </w:p>
    <w:p w:rsidR="00786B3E" w:rsidRDefault="00786B3E" w:rsidP="00786B3E">
      <w:pPr>
        <w:numPr>
          <w:ilvl w:val="0"/>
          <w:numId w:val="252"/>
        </w:numPr>
      </w:pPr>
      <w:r>
        <w:t>El Estado miembro mide que el nuevo motor emite un 20 % menos de CO2 o utiliza un 20 % menos de combustible que el motor sustituido bajo el esfuerzo pesquero normal del buque de que se trate. El artículo 2 del Reglamento de Ejecución 2022/46 define el esfuerzo pesquero normal.</w:t>
      </w:r>
    </w:p>
    <w:p w:rsidR="00786B3E" w:rsidRDefault="00786B3E" w:rsidP="00786B3E">
      <w:r>
        <w:t>Si son aplicables varias de estas opciones, el Estado miembro decidirá cuál de ellas utilizará.</w:t>
      </w:r>
    </w:p>
    <w:p w:rsidR="00786B3E" w:rsidRDefault="00786B3E" w:rsidP="00786B3E"/>
    <w:p w:rsidR="00786B3E" w:rsidRDefault="00786B3E" w:rsidP="00786B3E">
      <w:r>
        <w:t>Respuesta 2:</w:t>
      </w:r>
    </w:p>
    <w:p w:rsidR="00786B3E" w:rsidRDefault="00786B3E" w:rsidP="00786B3E">
      <w:r>
        <w:t>De conformidad con el artículo 18, apartado 3, del Reglamento FEMPA, una verificación física es un requisito previo para recibir ayuda en el marco del FEMPA para la sustitución o modernización de motores.  </w:t>
      </w:r>
    </w:p>
    <w:p w:rsidR="00786B3E" w:rsidRDefault="00786B3E" w:rsidP="00786B3E">
      <w:r>
        <w:t>El Reglamento FEMPA no prescribe las modalidades de esta verificación física, que corresponde a los Estados miembros decidir. No obstante, dicha verificación debe ser siempre física y su finalidad es garantizar que el motor nuevo o modernizado cumple todas las condiciones de:</w:t>
      </w:r>
    </w:p>
    <w:p w:rsidR="00786B3E" w:rsidRDefault="00786B3E" w:rsidP="00786B3E">
      <w:pPr>
        <w:numPr>
          <w:ilvl w:val="0"/>
          <w:numId w:val="253"/>
        </w:numPr>
      </w:pPr>
      <w:r>
        <w:t>Artículo 18, apartado 2, letra c</w:t>
      </w:r>
      <w:proofErr w:type="gramStart"/>
      <w:r>
        <w:t>),:</w:t>
      </w:r>
      <w:proofErr w:type="gramEnd"/>
      <w:r>
        <w:t xml:space="preserve"> en el caso de los buques de pesca costera artesanal, el motor nuevo o modernizado no tiene más potencia en kW que la del motor actual.</w:t>
      </w:r>
    </w:p>
    <w:p w:rsidR="00786B3E" w:rsidRDefault="00786B3E" w:rsidP="00786B3E">
      <w:pPr>
        <w:numPr>
          <w:ilvl w:val="0"/>
          <w:numId w:val="254"/>
        </w:numPr>
      </w:pPr>
      <w:r>
        <w:t>Artículo 18 (2) (d): en el caso de otros buques de hasta 24 metros de eslora total, el motor nuevo o modernizado no tiene más potencia en kW que la del motor actual y emite al menos un 20 % menos de CO2 en comparación con el motor actual.</w:t>
      </w:r>
    </w:p>
    <w:p w:rsidR="00786B3E" w:rsidRDefault="00786B3E" w:rsidP="00786B3E">
      <w:r>
        <w:t>Por extensión, la verificación física también debe garantizar que el motor nuevo o modernizado cumple todas las condiciones del artículo 18, apartado 5.</w:t>
      </w:r>
    </w:p>
    <w:p w:rsidR="00786B3E" w:rsidRDefault="00786B3E" w:rsidP="00786B3E"/>
    <w:p w:rsidR="00786B3E" w:rsidRDefault="00786B3E" w:rsidP="00786B3E">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proporcionada las deficiencias del mercado o las situaciones de inversión subóptimas, </w:t>
      </w:r>
      <w:r>
        <w:lastRenderedPageBreak/>
        <w:t>y no debe duplicar ni desplazar la financiación privada ni falsear la competencia en el mercado interior.</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564" w:name="scroll-bookmark-661"/>
      <w:bookmarkStart w:id="565" w:name="scroll-bookmark-662"/>
      <w:bookmarkEnd w:id="564"/>
      <w:r>
        <w:t xml:space="preserve">QA648: </w:t>
      </w:r>
      <w:r w:rsidR="00DF0906">
        <w:t>EMFAF</w:t>
      </w:r>
      <w:r>
        <w:t xml:space="preserve"> Art. 21 (3) del Reglamento FEMPA</w:t>
      </w:r>
      <w:bookmarkEnd w:id="565"/>
    </w:p>
    <w:p w:rsidR="00786B3E" w:rsidRDefault="00786B3E" w:rsidP="00786B3E">
      <w:r>
        <w:rPr>
          <w:noProof/>
          <w:lang w:val="es-ES"/>
        </w:rPr>
        <w:drawing>
          <wp:inline distT="0" distB="0" distL="0" distR="0" wp14:anchorId="470DC9F3" wp14:editId="77094B96">
            <wp:extent cx="152435" cy="152435"/>
            <wp:effectExtent l="0" t="0" r="0" b="0"/>
            <wp:docPr id="101135" name="Imagen 1011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21 (3) del Reglamento FEMPA</w:t>
      </w:r>
    </w:p>
    <w:p w:rsidR="00786B3E" w:rsidRDefault="00786B3E" w:rsidP="00786B3E">
      <w:r>
        <w:rPr>
          <w:noProof/>
          <w:lang w:val="es-ES"/>
        </w:rPr>
        <w:drawing>
          <wp:inline distT="0" distB="0" distL="0" distR="0" wp14:anchorId="3AA5B14E" wp14:editId="018FC1E6">
            <wp:extent cx="152435" cy="152435"/>
            <wp:effectExtent l="0" t="0" r="0" b="0"/>
            <wp:docPr id="101137" name="Imagen 1011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Alemania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el artículo 21 (3) del Reglamento FEMPA, la ayuda prevista en el apartado 1 solo podrá concederse si las actividades pesqueras del buque o del pescador en cuestión se interrumpen durante al menos 30 días en un año civil determinado. Este Reglamento carece de referencia a una única medida, probablemente también porque la Comisión podría no haber supuesto que un pescador también pudiera participar en dos medidas diferentes de este tipo en el mismo año civil, por ejemplo, los pescadores alemanes en el mar Báltico en una veda de bacalao y una segunda veda de arenque/brotes.</w:t>
      </w:r>
    </w:p>
    <w:p w:rsidR="00786B3E" w:rsidRDefault="00786B3E" w:rsidP="00786B3E">
      <w:r>
        <w:t>En MV, el Reglamento se interpreta de manera que el tiempo mínimo de tiempo de 30 días está relacionado con la medida (si participa en bacalao y arenque/espadín, tiene que permanecer en pie durante 2x30 = 60 días).</w:t>
      </w:r>
    </w:p>
    <w:p w:rsidR="00786B3E" w:rsidRDefault="00786B3E" w:rsidP="00786B3E">
      <w:r>
        <w:t>Por parte de la BMEL, suponemos que esta interpretación del artículo 21, apartado 3, del Reglamento FEMPA es correcta y que la duración mínima está relacionada con la medida. Esto también parece sugerirse en el artículo 21, apartado 6, del Reglamento FEMPA, que regula el apoyo máximo para el desmantelamiento durante el período de programación por buque pesquero (12 meses, durante el período de vigencia del FEMPA).</w:t>
      </w:r>
    </w:p>
    <w:p w:rsidR="00786B3E" w:rsidRDefault="00786B3E" w:rsidP="00786B3E">
      <w:r>
        <w:t>Esto significa que un pescador también puede participar en dos medidas de clausura al año y recibir la ayuda correspondiente, pero también debe cumplir el período mínimo de clausura de 30 días en cada caso.</w:t>
      </w:r>
    </w:p>
    <w:p w:rsidR="00786B3E" w:rsidRDefault="00786B3E" w:rsidP="00786B3E">
      <w:r>
        <w:t>Sin embargo, también sería posible interpretar el artículo 21, apartado 3, del Reglamento FEMPA no en términos de medidas, sino en términos de buques.</w:t>
      </w:r>
    </w:p>
    <w:p w:rsidR="00786B3E" w:rsidRDefault="00786B3E" w:rsidP="00786B3E">
      <w:r>
        <w:t>En consecuencia, bastaría con que un buque interrumpiera sus actividades pesqueras durante un total de 30 días al año. En este caso, el pescador también podría solicitar financiación para otra interrupción más corta en el mismo año civil (por ejemplo, 20 días).</w:t>
      </w:r>
    </w:p>
    <w:p w:rsidR="00786B3E" w:rsidRDefault="00786B3E" w:rsidP="00786B3E"/>
    <w:p w:rsidR="00786B3E" w:rsidRDefault="00786B3E" w:rsidP="00786B3E">
      <w:pPr>
        <w:pStyle w:val="P68B1DB1-Normal1"/>
      </w:pPr>
      <w:r>
        <w:lastRenderedPageBreak/>
        <w:t>Respuesta.</w:t>
      </w:r>
    </w:p>
    <w:p w:rsidR="00786B3E" w:rsidRDefault="00786B3E" w:rsidP="00786B3E">
      <w:r>
        <w:t>El apoyo en el marco del FEMPA está condicionado a la admisibilidad de la operación. El artículo 21 del Reglamento FEMPA (en lo sucesivo, «el Reglamento») se centra en la admisibilidad del régimen de paralización temporal.</w:t>
      </w:r>
    </w:p>
    <w:p w:rsidR="00786B3E" w:rsidRDefault="00786B3E" w:rsidP="00786B3E">
      <w:r>
        <w:t>En el caso específico planteado por DE, el régimen de paralización temporal puede concederse en dos condiciones:</w:t>
      </w:r>
    </w:p>
    <w:p w:rsidR="00786B3E" w:rsidRDefault="00786B3E" w:rsidP="00786B3E">
      <w:pPr>
        <w:numPr>
          <w:ilvl w:val="0"/>
          <w:numId w:val="255"/>
        </w:numPr>
      </w:pPr>
      <w:r>
        <w:t>las medidas de conservación entran en el ámbito de aplicación del artículo 21, apartado 2, letra a), del Reglamento, en relación con el artículo 21, apartado 4, y</w:t>
      </w:r>
    </w:p>
    <w:p w:rsidR="00786B3E" w:rsidRDefault="00786B3E" w:rsidP="00786B3E">
      <w:pPr>
        <w:numPr>
          <w:ilvl w:val="0"/>
          <w:numId w:val="255"/>
        </w:numPr>
      </w:pPr>
      <w:r>
        <w:t>que las actividades pesqueras del buque o del pescador en cuestión se interrumpan durante al menos 30 días en un año civil determinado, de conformidad con lo dispuesto en el artículo 21, apartado 3, del Reglamento; esta interrupción de las actividades pesqueras debe estar relacionada con dichas medidas de conservación.</w:t>
      </w:r>
    </w:p>
    <w:p w:rsidR="00786B3E" w:rsidRDefault="00786B3E" w:rsidP="00786B3E">
      <w:r>
        <w:t>No es necesario que los días de paralización de las actividades pesqueras sean consecutivos. Pueden dividirse en tantos bloques como sea necesario. La duración total de la paralización en un año civil debe ser de un mínimo de 30 días, lo que solo puede verificarse a posteriori. No obstante, se anima a los Estados miembros a establecer una planificación clara del período de cesación antes de seleccionar las operaciones. Los días se cuentan por buque y los umbrales mínimos de 30 días deben aplicarse independientemente de las diferentes medidas de conservación.</w:t>
      </w:r>
    </w:p>
    <w:p w:rsidR="00786B3E" w:rsidRDefault="00786B3E" w:rsidP="00786B3E"/>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r>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566" w:name="scroll-bookmark-663"/>
      <w:bookmarkStart w:id="567" w:name="scroll-bookmark-664"/>
      <w:bookmarkEnd w:id="566"/>
      <w:r>
        <w:t xml:space="preserve">QA649: </w:t>
      </w:r>
      <w:r w:rsidR="00DF0906">
        <w:t>EMFAF</w:t>
      </w:r>
      <w:r>
        <w:t xml:space="preserve"> Interpretación del artículo 13 y 14 del FEMPA</w:t>
      </w:r>
      <w:bookmarkEnd w:id="567"/>
    </w:p>
    <w:p w:rsidR="00786B3E" w:rsidRDefault="00786B3E" w:rsidP="00786B3E">
      <w:r>
        <w:rPr>
          <w:noProof/>
          <w:lang w:val="es-ES"/>
        </w:rPr>
        <w:drawing>
          <wp:inline distT="0" distB="0" distL="0" distR="0" wp14:anchorId="030E4FC1" wp14:editId="57163F42">
            <wp:extent cx="152435" cy="152435"/>
            <wp:effectExtent l="0" t="0" r="0" b="0"/>
            <wp:docPr id="101139" name="Imagen 1011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13 (1) i y 14 (1) del FEMPA)</w:t>
      </w:r>
    </w:p>
    <w:p w:rsidR="00786B3E" w:rsidRDefault="00786B3E" w:rsidP="00786B3E">
      <w:r>
        <w:rPr>
          <w:noProof/>
          <w:lang w:val="es-ES"/>
        </w:rPr>
        <w:lastRenderedPageBreak/>
        <w:drawing>
          <wp:inline distT="0" distB="0" distL="0" distR="0" wp14:anchorId="0B85A965" wp14:editId="21C04DD4">
            <wp:extent cx="152435" cy="152435"/>
            <wp:effectExtent l="0" t="0" r="0" b="0"/>
            <wp:docPr id="101141" name="Imagen 1011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Croacia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Le agradeceríamos que nos aclarara si la reubicación del complejo portuario, más concretamente la reubicación (traslado de un lugar a otro) del puerto pesquero existente, que forma parte integrante del mismo, es decir, las inversiones necesarias y relacionadas con la reubicación del puerto se consideran subvencionables con arreglo al Reglamento (UE) 2021/1139.</w:t>
      </w:r>
    </w:p>
    <w:p w:rsidR="00786B3E" w:rsidRDefault="00786B3E" w:rsidP="00786B3E"/>
    <w:p w:rsidR="00786B3E" w:rsidRDefault="00786B3E" w:rsidP="00786B3E">
      <w:pPr>
        <w:pStyle w:val="P68B1DB1-Normal1"/>
      </w:pPr>
      <w:r>
        <w:t>Respuesta.</w:t>
      </w:r>
    </w:p>
    <w:p w:rsidR="00786B3E" w:rsidRDefault="00786B3E" w:rsidP="00786B3E">
      <w:r>
        <w:t>De conformidad con el artículo 25, apartado 2, letra b), del Reglamento FEMPA, el FEMPA puede apoyar, entre otras cosas, inversiones en puertos u otras infraestructuras para proporcionar instalaciones receptoras adecuadas para los artes de pesca perdidos y los desechos marinos recogidos en el mar. Además, el FEMPA podrá apoyar operaciones que contribuyan a la aplicación de la obligación de desembarque a que se refiere el artículo 15 del Reglamento (UE) n.º 1380/2013, como operaciones que mejoren la infraestructura de los puertos pesqueros, las lonjas, los lugares de desembarque y los fondeaderos, con el fin de facilitar el desembarque y el almacenamiento de las capturas no deseadas.</w:t>
      </w:r>
    </w:p>
    <w:p w:rsidR="00786B3E" w:rsidRDefault="00786B3E" w:rsidP="00786B3E">
      <w:r>
        <w:t>Al mismo tiempo, el artículo 13, apartado 1, letra i), del Reglamento FEMPA establece explícitamente que la ayuda no cubrirá la construcción de nuevos puertos pesqueros o nuevas lonjas, a excepción de los nuevos lugares de desembarque.</w:t>
      </w:r>
    </w:p>
    <w:p w:rsidR="00786B3E" w:rsidRDefault="00786B3E" w:rsidP="00786B3E">
      <w:r>
        <w:t>Por lo tanto, consideramos que la transferencia de un puerto pesquero existente a un nuevo lugar puede ser subvencionable en el marco del FEMPA en las siguientes condiciones:</w:t>
      </w:r>
    </w:p>
    <w:p w:rsidR="00786B3E" w:rsidRDefault="00786B3E" w:rsidP="00786B3E">
      <w:pPr>
        <w:numPr>
          <w:ilvl w:val="0"/>
          <w:numId w:val="256"/>
        </w:numPr>
      </w:pPr>
      <w:r>
        <w:t>el cierre efectivo del lugar anterior del puerto pesquero transferido.</w:t>
      </w:r>
    </w:p>
    <w:p w:rsidR="00786B3E" w:rsidRDefault="00786B3E" w:rsidP="00786B3E">
      <w:pPr>
        <w:numPr>
          <w:ilvl w:val="0"/>
          <w:numId w:val="256"/>
        </w:numPr>
      </w:pPr>
      <w:r>
        <w:t>las pruebas de que el puerto pesquero transferido contribuye claramente a uno o varios de los objetivos enumerados en el artículo 25, apartado 2, letra b), del Reglamento FEMPA o a la aplicación de la obligación de desembarque a que se refiere el artículo 15 del Reglamento (UE) n.º 1380/2013.</w:t>
      </w:r>
    </w:p>
    <w:p w:rsidR="00786B3E" w:rsidRDefault="00786B3E" w:rsidP="00786B3E">
      <w:r>
        <w:t>Es responsabilidad de la autoridad de gestión garantizar el cumplimiento de las condiciones mencionadas en relación con el alcance de las operaciones, así como el cumplimiento de las condiciones de subvencionabilidad de los proyectos.</w:t>
      </w:r>
    </w:p>
    <w:p w:rsidR="00786B3E" w:rsidRDefault="00786B3E" w:rsidP="00786B3E"/>
    <w:p w:rsidR="00786B3E" w:rsidRDefault="00786B3E" w:rsidP="00786B3E"/>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lastRenderedPageBreak/>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68" w:name="scroll-bookmark-665"/>
      <w:bookmarkStart w:id="569" w:name="scroll-bookmark-666"/>
      <w:bookmarkEnd w:id="568"/>
      <w:r>
        <w:t xml:space="preserve">QA651: </w:t>
      </w:r>
      <w:r w:rsidR="00DF0906">
        <w:t>EMFAF</w:t>
      </w:r>
      <w:r>
        <w:t xml:space="preserve"> elegibilidad de la ayuda para la colocación de un catalizador de nitrógeno en los buques pesqueros</w:t>
      </w:r>
      <w:bookmarkEnd w:id="569"/>
    </w:p>
    <w:p w:rsidR="00786B3E" w:rsidRDefault="00786B3E" w:rsidP="00786B3E">
      <w:r>
        <w:rPr>
          <w:noProof/>
          <w:lang w:val="es-ES"/>
        </w:rPr>
        <w:drawing>
          <wp:inline distT="0" distB="0" distL="0" distR="0" wp14:anchorId="69767217" wp14:editId="0003BF6A">
            <wp:extent cx="152435" cy="152435"/>
            <wp:effectExtent l="0" t="0" r="0" b="0"/>
            <wp:docPr id="101143" name="Imagen 1011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13, 18 y 14 del FEMPA</w:t>
      </w:r>
    </w:p>
    <w:p w:rsidR="00786B3E" w:rsidRDefault="00786B3E" w:rsidP="00786B3E">
      <w:r>
        <w:rPr>
          <w:noProof/>
          <w:lang w:val="es-ES"/>
        </w:rPr>
        <w:drawing>
          <wp:inline distT="0" distB="0" distL="0" distR="0" wp14:anchorId="2AD2FDEE" wp14:editId="7B6464AE">
            <wp:extent cx="152435" cy="152435"/>
            <wp:effectExtent l="0" t="0" r="0" b="0"/>
            <wp:docPr id="101145" name="Imagen 1011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Países Bajos</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Los Países Bajos tienen la intención de aplicar una medida para reducir las emisiones de nitrógeno de los buques de pesca de camarón. El objetivo de la medida es aumentar la sostenibilidad de la flota camaronera. Subvencionando la adquisición e instalación de un catalizador del SCR colocado en el tubo de escape, las emisiones de nitrógeno pueden reducirse. A la vista del objetivo de la medida (es decir, la sostenibilidad de la flota), creemos que la medida encaja en el objetivo específico (OE) n.º 1.1 del FEMPA; ¿puede confirmarlo la Comisión?</w:t>
      </w:r>
    </w:p>
    <w:p w:rsidR="00786B3E" w:rsidRDefault="00786B3E" w:rsidP="00786B3E">
      <w:r>
        <w:t>La convocatoria de propuestas proporcionará ayuda en forma de subvenciones para la adquisición e instalación de catalizadores del SCR. Además, podrá solicitarse una subvención para los costes de disponer de un informe elaborado por una empresa de medición autorizada o certificada en el que se confirmen los resultados de las mediciones de las emisiones del buque tras la instalación del convertidor catalítico SCR.</w:t>
      </w:r>
    </w:p>
    <w:p w:rsidR="00786B3E" w:rsidRDefault="00786B3E" w:rsidP="00786B3E">
      <w:r>
        <w:t>Objetivo del tipo de acción: los camaroneros que faenen en zonas de protección de la naturaleza (espacios Natura 2000) frente a la costa neerlandesa deben disponer de un nuevo permiso en virtud de la Ley de Protección de la Naturaleza a partir del 1 de enero de 2023. Una novedad en comparación con el antiguo permiso es que los camaroneros también tendrán que cumplir los nuevos requisitos en materia de nitrógeno. Para seguir faenando cerca de los lugares Natura 2000 sensibles al nitrógeno, donde se desarrollan las actividades pesqueras de la flota camaronera, son necesarias medidas para reducir las emisiones de nitrógeno. La instalación de un catalizador SCR es una forma eficaz de reducir las emisiones de nitrógeno.</w:t>
      </w:r>
    </w:p>
    <w:p w:rsidR="00786B3E" w:rsidRDefault="00786B3E" w:rsidP="00786B3E">
      <w:r>
        <w:t xml:space="preserve">Desde el punto de vista técnico, se coloca en el escape un catalizador SCR que reduce las emisiones de óxido de nitrógeno. El dióxido de nitrógeno de los gases de escape del motor pasa a través de un catalizador de reducción de </w:t>
      </w:r>
      <w:proofErr w:type="spellStart"/>
      <w:r>
        <w:t>NOx</w:t>
      </w:r>
      <w:proofErr w:type="spellEnd"/>
      <w:r>
        <w:t xml:space="preserve">. En el catalizador, se mezcla </w:t>
      </w:r>
      <w:r>
        <w:lastRenderedPageBreak/>
        <w:t xml:space="preserve">una solución de urea con los gases de escape. La concentración de dióxido de nitrógeno se mide tanto a la entrada como a la salida. El sistema de control asociado controla que la solución de urea se inyecte en la proporción de mezcla correcta. Por lo tanto, la aplicación de la solución de urea varía en función de la cantidad de dióxido de nitrógeno producida por el motor en ese momento. Esto crea las condiciones óptimas para generar una reacción química, incluido el uso del calor de los gases de escape, en las que los gases se descomponen en dióxido de carbono (CO2) y amoníaco (NH3). El amoníaco une el dióxido de nitrógeno, que se convierte así en H2O y N2. De este modo, el catalizador SCR puede eliminar hasta un 100 % de </w:t>
      </w:r>
      <w:proofErr w:type="spellStart"/>
      <w:r>
        <w:t>NOx</w:t>
      </w:r>
      <w:proofErr w:type="spellEnd"/>
      <w:r>
        <w:t xml:space="preserve">. La tasa real de reducción está relacionada con el rendimiento del motor en cualquier momento. En el caso de los gases de escape a una temperatura de </w:t>
      </w:r>
      <w:proofErr w:type="gramStart"/>
      <w:r>
        <w:t>250.°</w:t>
      </w:r>
      <w:proofErr w:type="gramEnd"/>
      <w:r>
        <w:t>C a rpm constantes, la reducción del 100 % de dióxido de nitrógeno no es una excepción.</w:t>
      </w:r>
    </w:p>
    <w:p w:rsidR="00786B3E" w:rsidRDefault="00786B3E" w:rsidP="00786B3E">
      <w:r>
        <w:t xml:space="preserve">El funcionamiento y el rendimiento del motor no se ven afectados por el catalizador, pero el motor produce menos ruido, </w:t>
      </w:r>
      <w:r w:rsidR="002F3719">
        <w:t xml:space="preserve">ya que, </w:t>
      </w:r>
      <w:r>
        <w:t>el catalizador también actúa como silenciador adicional. El catalizador también puede eliminarse. El motor no se verá afectado por ello.</w:t>
      </w:r>
    </w:p>
    <w:p w:rsidR="00786B3E" w:rsidRDefault="00786B3E" w:rsidP="00786B3E"/>
    <w:p w:rsidR="00786B3E" w:rsidRDefault="00786B3E" w:rsidP="00786B3E"/>
    <w:p w:rsidR="00786B3E" w:rsidRDefault="00786B3E" w:rsidP="00786B3E">
      <w:pPr>
        <w:pStyle w:val="P68B1DB1-Normal1"/>
      </w:pPr>
      <w:r>
        <w:t>Respuesta.</w:t>
      </w:r>
    </w:p>
    <w:p w:rsidR="00786B3E" w:rsidRDefault="00786B3E" w:rsidP="00786B3E">
      <w:r>
        <w:t>El objetivo de este tipo de acción es reducir las emisiones de dióxido de nitrógeno procedentes de los gases de escape de los buques pesqueros, reduciendo así su impacto negativo en el medio ambiente, en particular para los camaroneros que faenan en espacios marinos Natura 2000.</w:t>
      </w:r>
    </w:p>
    <w:p w:rsidR="00786B3E" w:rsidRDefault="00786B3E" w:rsidP="00786B3E">
      <w:r>
        <w:t>Según las especificaciones técnicas facilitadas por los Países Bajos, los catalizadores SCR se colocarían en el escape y no en el motor del buque. El catalizador SCR puede retirarse sin afectar al funcionamiento del motor.</w:t>
      </w:r>
    </w:p>
    <w:p w:rsidR="00786B3E" w:rsidRDefault="00786B3E" w:rsidP="00786B3E">
      <w:r>
        <w:t>El tipo de acción propuesto no parece pertenecer a ninguna de las categorías de tipos de operaciones o gastos no subvencionables previstos en el artículo 13 del FEMPA.</w:t>
      </w:r>
    </w:p>
    <w:p w:rsidR="00786B3E" w:rsidRDefault="00786B3E" w:rsidP="00786B3E">
      <w:r>
        <w:t>Teniendo en cuenta que el catalizador no alteraría las principales funcionalidades del motor del buque, que puede funcionar sin él, y dado el objetivo de la ayuda a la inversión, que es hacer que la flota de camarones sea más sostenible mediante la reducción de sus emisiones de nitrógeno (y, además, daría lugar a la reducción de su contaminación acústica), puede considerarse que el tipo de acción propuesto contribuye a una pesca más sostenible desde el punto de vista medioambiental en el sentido del artículo 14, apartado 1, letra a), del FEMPA, por lo que podría recibir apoyo en el marco del objetivo específico n.º 1.1 del FEMPA. </w:t>
      </w:r>
    </w:p>
    <w:p w:rsidR="00786B3E" w:rsidRDefault="00786B3E" w:rsidP="00786B3E"/>
    <w:p w:rsidR="00786B3E" w:rsidRDefault="00786B3E" w:rsidP="00786B3E"/>
    <w:p w:rsidR="00786B3E" w:rsidRDefault="00786B3E" w:rsidP="00786B3E"/>
    <w:p w:rsidR="00786B3E" w:rsidRDefault="00786B3E" w:rsidP="00786B3E">
      <w:pPr>
        <w:pStyle w:val="Ttulo1"/>
      </w:pPr>
      <w:bookmarkStart w:id="570" w:name="scroll-bookmark-667"/>
      <w:bookmarkStart w:id="571" w:name="scroll-bookmark-668"/>
      <w:bookmarkEnd w:id="570"/>
      <w:r>
        <w:lastRenderedPageBreak/>
        <w:t xml:space="preserve">QA655 </w:t>
      </w:r>
      <w:r w:rsidR="00DF0906">
        <w:t>EMFAF</w:t>
      </w:r>
      <w:r>
        <w:t xml:space="preserve"> Intensidad de la ayuda para la concesión de ayudas a la póliza de seguro de existencias para acuicultores</w:t>
      </w:r>
      <w:bookmarkEnd w:id="571"/>
    </w:p>
    <w:p w:rsidR="00786B3E" w:rsidRDefault="00786B3E" w:rsidP="00786B3E">
      <w:r>
        <w:rPr>
          <w:noProof/>
          <w:lang w:val="es-ES"/>
        </w:rPr>
        <w:drawing>
          <wp:inline distT="0" distB="0" distL="0" distR="0" wp14:anchorId="55777157" wp14:editId="6243FE14">
            <wp:extent cx="152435" cy="152435"/>
            <wp:effectExtent l="0" t="0" r="0" b="0"/>
            <wp:docPr id="101147" name="Imagen 1011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Reglamento FEMPA, anexo III</w:t>
      </w:r>
    </w:p>
    <w:p w:rsidR="00786B3E" w:rsidRDefault="00786B3E" w:rsidP="00786B3E">
      <w:r>
        <w:rPr>
          <w:noProof/>
          <w:lang w:val="es-ES"/>
        </w:rPr>
        <w:drawing>
          <wp:inline distT="0" distB="0" distL="0" distR="0" wp14:anchorId="65773F8C" wp14:editId="2ACDC87C">
            <wp:extent cx="152435" cy="152435"/>
            <wp:effectExtent l="0" t="0" r="0" b="0"/>
            <wp:docPr id="101149" name="Imagen 1011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Polonia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numPr>
          <w:ilvl w:val="0"/>
          <w:numId w:val="257"/>
        </w:numPr>
      </w:pPr>
      <w:r>
        <w:t>En relación con el seguro de los recursos acuícolas, Polonia desearía aplicar un porcentaje de intensidad de la ayuda del 60 % para el apoyo del FEMPA a la prima de la póliza de seguro que deben pagar los operadores acuícolas. ¿Permite el FEMPA este nivel de apoyo?</w:t>
      </w:r>
    </w:p>
    <w:p w:rsidR="00786B3E" w:rsidRDefault="00786B3E" w:rsidP="00786B3E">
      <w:pPr>
        <w:numPr>
          <w:ilvl w:val="0"/>
          <w:numId w:val="257"/>
        </w:numPr>
      </w:pPr>
      <w:r>
        <w:t>Además, ¿sería posible aumentar el porcentaje de intensidad de la ayuda al 75 % en el caso de los operadores de acuicultura que sean miembros de una organización de productores en el sentido del Reglamento (UE) n.º 1379/2013 por el que se establece la organización común de mercados en el sector de los productos de la pesca y de la acuicultura [1</w:t>
      </w:r>
      <w:hyperlink w:anchor="scroll-bookmark-669" w:history="1">
        <w:r>
          <w:rPr>
            <w:rStyle w:val="Hipervnculo"/>
          </w:rPr>
          <w:t xml:space="preserve">]? </w:t>
        </w:r>
      </w:hyperlink>
    </w:p>
    <w:p w:rsidR="00786B3E" w:rsidRDefault="00786B3E" w:rsidP="00786B3E"/>
    <w:p w:rsidR="00786B3E" w:rsidRDefault="00FC0FB1" w:rsidP="00786B3E">
      <w:hyperlink w:anchor="scroll-bookmark-670" w:history="1">
        <w:r w:rsidR="00786B3E">
          <w:rPr>
            <w:rStyle w:val="Hipervnculo"/>
          </w:rPr>
          <w:t xml:space="preserve">[1] </w:t>
        </w:r>
      </w:hyperlink>
      <w:r w:rsidR="00786B3E">
        <w:t xml:space="preserve">Reglamento (UE) n.º 1379/2013 del Parlamento Europeo y del Consejo, de 11 de diciembre de 2013, por el que se establece la organización común de mercados </w:t>
      </w:r>
      <w:r w:rsidR="00786B3E">
        <w:rPr>
          <w:b/>
        </w:rPr>
        <w:t xml:space="preserve"> en el sector de los productos de la pesca y de la acuicultura, se modifican los Reglamentos (CE) n.º 1184/2006 y</w:t>
      </w:r>
      <w:r w:rsidR="00786B3E">
        <w:t xml:space="preserve"> </w:t>
      </w:r>
      <w:r w:rsidR="00786B3E">
        <w:rPr>
          <w:b/>
        </w:rPr>
        <w:t xml:space="preserve"> (</w:t>
      </w:r>
      <w:r w:rsidR="00786B3E">
        <w:t xml:space="preserve"> </w:t>
      </w:r>
      <w:r w:rsidR="00786B3E">
        <w:rPr>
          <w:b/>
        </w:rPr>
        <w:t xml:space="preserve"> CE) n.º 1224/2009 del Consejo</w:t>
      </w:r>
      <w:r w:rsidR="00786B3E">
        <w:t xml:space="preserve"> </w:t>
      </w:r>
      <w:r w:rsidR="00786B3E">
        <w:rPr>
          <w:b/>
        </w:rPr>
        <w:t xml:space="preserve"> y  se deroga el Reglamento (CE) n.º 104/2000 del Consejo;</w:t>
      </w:r>
      <w:r w:rsidR="00786B3E">
        <w:t xml:space="preserve"> </w:t>
      </w:r>
      <w:r w:rsidR="00786B3E">
        <w:rPr>
          <w:b/>
        </w:rPr>
        <w:t xml:space="preserve"> </w:t>
      </w:r>
    </w:p>
    <w:p w:rsidR="00786B3E" w:rsidRDefault="00786B3E" w:rsidP="00786B3E"/>
    <w:p w:rsidR="00786B3E" w:rsidRDefault="00786B3E" w:rsidP="00786B3E"/>
    <w:p w:rsidR="00786B3E" w:rsidRDefault="00786B3E" w:rsidP="00786B3E">
      <w:pPr>
        <w:pStyle w:val="P68B1DB1-Normal1"/>
      </w:pPr>
      <w:r>
        <w:t>Respuesta.</w:t>
      </w:r>
    </w:p>
    <w:p w:rsidR="00786B3E" w:rsidRDefault="00786B3E" w:rsidP="00786B3E">
      <w:r>
        <w:t>1.De conformidad con el artículo 41, apartado 1, del Reglamento FEMPA, los Estados miembros aplicarán un porcentaje máximo de intensidad de ayuda del 50 % del gasto total subvencionable de cualquier operación. </w:t>
      </w:r>
    </w:p>
    <w:p w:rsidR="00786B3E" w:rsidRDefault="00786B3E" w:rsidP="00786B3E">
      <w:r>
        <w:t xml:space="preserve">No </w:t>
      </w:r>
      <w:proofErr w:type="gramStart"/>
      <w:r>
        <w:t>obstante</w:t>
      </w:r>
      <w:proofErr w:type="gramEnd"/>
      <w:r>
        <w:t xml:space="preserve"> lo dispuesto en el apartado 1, en el anexo III del Reglamento FEMPA se establecen porcentajes máximos específicos de intensidad de la ayuda.</w:t>
      </w:r>
    </w:p>
    <w:p w:rsidR="00786B3E" w:rsidRDefault="00786B3E" w:rsidP="00786B3E">
      <w:r>
        <w:t>En virtud del punto 17 del anexo III, los Estados miembros pueden elevar el porcentaje de intensidad de la ayuda hasta un máximo del 60 % en el caso de las operaciones de apoyo a la acuicultura sostenible ejecutadas por pequeñas y medianas empresas (pymes).</w:t>
      </w:r>
    </w:p>
    <w:p w:rsidR="00786B3E" w:rsidRDefault="00786B3E" w:rsidP="00786B3E">
      <w:r>
        <w:t>En consecuencia, los Estados miembros pueden considerar la posibilidad de aumentar el porcentaje de intensidad de la ayuda para las subvenciones que contribuyan al coste de una póliza de seguro de existencias, siempre que el beneficiario sea una pyme y aplique una acuicultura sostenible.</w:t>
      </w:r>
    </w:p>
    <w:p w:rsidR="00786B3E" w:rsidRDefault="00786B3E" w:rsidP="00786B3E">
      <w:r>
        <w:lastRenderedPageBreak/>
        <w:t>Una explotación que practique una acuicultura sostenible puede optar a la ayuda del FEMPA si contribuye a la consecución de los objetivos de la PPC establecidos en el artículo 2 del Reglamento (UE) n.º 1380/2013. Esto significa que la explotación acuícola debe ser sostenible desde el punto de vista medioambiental a largo plazo y se gestiona de manera coherente con los objetivos de generar beneficios económicos, sociales y de empleo, y de contribuir a la disponibilidad de alimentos. La autoridad de gestión debe determinar si la explotación en cuestión cumple estos criterios.</w:t>
      </w:r>
    </w:p>
    <w:p w:rsidR="00786B3E" w:rsidRDefault="00786B3E" w:rsidP="00786B3E"/>
    <w:p w:rsidR="00786B3E" w:rsidRDefault="00786B3E" w:rsidP="00786B3E">
      <w:r>
        <w:t>2.En virtud del punto 15 del anexo III del Reglamento FEMPA, los Estados miembros pueden elevar el porcentaje de intensidad de la ayuda hasta un máximo del 75 % en el caso de las operaciones ejecutadas por organizaciones de productores, asociaciones de organizaciones de productores u organizaciones interprofesionales.</w:t>
      </w:r>
    </w:p>
    <w:p w:rsidR="00786B3E" w:rsidRDefault="00786B3E" w:rsidP="00786B3E">
      <w:r>
        <w:t>En consecuencia, en caso de que la organización de productores suscriba la póliza de seguro de existencias como entidad jurídica y como beneficiaria de la póliza, puede aplicarse un porcentaje máximo de intensidad de ayuda del 75 %. Sin embargo, la mera pertenencia a una organización de productores no daría derecho a sus miembros a beneficiarse individualmente de un porcentaje de intensidad de ayuda del 75 %. Si los propios miembros suscribieran la póliza de seguro de existencias como entidad jurídica y beneficiario directo de la póliza de seguro de existencias, se aplicarán los tipos mencionados en la respuesta a la pregunta a).</w:t>
      </w:r>
    </w:p>
    <w:p w:rsidR="00786B3E" w:rsidRDefault="00786B3E" w:rsidP="00786B3E">
      <w:r>
        <w:t>De conformidad con el artículo 73, apartado 1, del Reglamento (UE) 2021/1060 (Reglamento sobre disposiciones comunes), al seleccionar las operaciones, la autoridad de gestión establecerá y aplicará criterios y procedimientos no discriminatorios y transparentes. Además, de conformidad con el artículo 188, letra a), del Reglamento (UE) 2018/1046 (Reglamento Financiero), las subvenciones estarán sujetas al principio de igualdad de trato. Por lo tanto, se espera que los Estados miembros seleccionen las operaciones y establezcan normas de asignación de subvenciones que garanticen el respeto de estos principios. En particular, la diferenciación de los porcentajes de intensidad de la ayuda no debe dar lugar a un trato diferente para los beneficiarios que se encuentren en una situación similar.</w:t>
      </w:r>
    </w:p>
    <w:p w:rsidR="00786B3E" w:rsidRDefault="00786B3E" w:rsidP="00786B3E"/>
    <w:p w:rsidR="00786B3E" w:rsidRDefault="00786B3E" w:rsidP="00786B3E"/>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572" w:name="scroll-bookmark-671"/>
      <w:bookmarkStart w:id="573" w:name="scroll-bookmark-672"/>
      <w:bookmarkEnd w:id="572"/>
      <w:r>
        <w:t xml:space="preserve">QA656: </w:t>
      </w:r>
      <w:r w:rsidR="00DF0906">
        <w:t>EMFAF</w:t>
      </w:r>
      <w:r>
        <w:t xml:space="preserve"> Paralización temporal</w:t>
      </w:r>
      <w:bookmarkEnd w:id="573"/>
    </w:p>
    <w:p w:rsidR="00786B3E" w:rsidRDefault="00786B3E" w:rsidP="00786B3E">
      <w:r>
        <w:rPr>
          <w:noProof/>
          <w:lang w:val="es-ES"/>
        </w:rPr>
        <w:drawing>
          <wp:inline distT="0" distB="0" distL="0" distR="0" wp14:anchorId="339102BB" wp14:editId="5D2296ED">
            <wp:extent cx="152435" cy="152435"/>
            <wp:effectExtent l="0" t="0" r="0" b="0"/>
            <wp:docPr id="101151" name="Imagen 1011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33 del FEMP y artículo 21 del FEMPA</w:t>
      </w:r>
    </w:p>
    <w:p w:rsidR="00786B3E" w:rsidRDefault="00786B3E" w:rsidP="00786B3E">
      <w:r>
        <w:rPr>
          <w:noProof/>
          <w:lang w:val="es-ES"/>
        </w:rPr>
        <w:drawing>
          <wp:inline distT="0" distB="0" distL="0" distR="0" wp14:anchorId="1304D785" wp14:editId="3BCCBF7D">
            <wp:extent cx="152435" cy="152435"/>
            <wp:effectExtent l="0" t="0" r="0" b="0"/>
            <wp:docPr id="101153" name="Imagen 1011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Polonia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el artículo 33, apartado 1, letra d), del Reglamento (UE) no 508/2014 del Parlamento Europeo y del Consejo, de 15 de mayo de 2014, relativo al Fondo Europeo Marítimo y de Pesca y al Fondo de Pesca, y por el que se derogan los Reglamentos (CE) no 2328/2003, (CE) no 861/2006, (CE) no 1198/2006 y (CE) no 791/2007 del Consejo, y el Reglamento (UE) no 1255/2011 del Parlamento Europeo y del Consejo (en lo sucesivo, «el Reglamento»),</w:t>
      </w:r>
    </w:p>
    <w:p w:rsidR="00786B3E" w:rsidRDefault="00786B3E" w:rsidP="00786B3E">
      <w:r>
        <w:t>El Fondo Europeo Marítimo y de Pesca podrá contribuir a la financiación de medidas para la paralización temporal de las actividades pesqueras cuando la paralización temporal de las actividades pesqueras tenga lugar entre el 1 de febrero y el 31 de diciembre de 2020 como consecuencia del brote de COVID-19, también para los buques que faenen en virtud de un acuerdo de colaboración de pesca sostenible.</w:t>
      </w:r>
    </w:p>
    <w:p w:rsidR="00786B3E" w:rsidRDefault="00786B3E" w:rsidP="00786B3E">
      <w:r>
        <w:t>La ayuda en el marco de la acción «Paralización temporal de las actividades pesqueras» se concederá al propietario de un buque pesquero registrado como activo y que, en los dos años civiles anteriores a la fecha de solicitud de la ayuda, haya participado en actividades pesqueras en el mar durante al menos 120 días.</w:t>
      </w:r>
    </w:p>
    <w:p w:rsidR="00786B3E" w:rsidRDefault="00786B3E" w:rsidP="00786B3E">
      <w:r>
        <w:t>En 2020, en Polonia, en el marco de la medida mencionada, se pagaron ayudas en relación con el brote de COVID-19. Unas 70 unidades de pesca de la flota polaca no cumplían la condición de 120 días de pesca que les era aplicable en los dos años civiles anteriores. Esto se debió a factores ajenos al control de los armadores, como, entre otros: la prohibición de la pesca del bacalao, la reparación de astilleros, las tormentas o la indisposición de los pescadores.</w:t>
      </w:r>
    </w:p>
    <w:p w:rsidR="00786B3E" w:rsidRDefault="00786B3E" w:rsidP="00786B3E">
      <w:r>
        <w:t>En vista de lo anterior, me pregunto si es posible modificar el Reglamento suprimiendo la condición de 120 días de pesca en los dos años civiles anteriores para los armadores antes mencionados, lo que les permitiría solicitar la ayuda en el marco de la medida «Paralización temporal de las actividades pesqueras». </w:t>
      </w:r>
    </w:p>
    <w:p w:rsidR="00786B3E" w:rsidRDefault="00786B3E" w:rsidP="00786B3E"/>
    <w:p w:rsidR="00786B3E" w:rsidRDefault="00786B3E" w:rsidP="00786B3E">
      <w:pPr>
        <w:pStyle w:val="P68B1DB1-Normal1"/>
      </w:pPr>
      <w:r>
        <w:t>Pregunta 2 (incluidos los hechos e información pertinentes):</w:t>
      </w:r>
    </w:p>
    <w:p w:rsidR="00786B3E" w:rsidRDefault="00786B3E" w:rsidP="00786B3E">
      <w:r>
        <w:t xml:space="preserve">De conformidad con el artículo 21, apartado 1, y (2) del Reglamento (UE) 2021/1139 del Parlamento Europeo y del Consejo, de 7 de julio de 2021, por el que se establece un Fondo Europeo Marítimo, de Pesca y de Acuicultura, y por el que se modifica el Reglamento (UE) 2017/1004 (en lo sucesivo denominado «el»), y la acuicultura y se </w:t>
      </w:r>
      <w:r>
        <w:lastRenderedPageBreak/>
        <w:t>modifica el Reglamento (UE) 2017/1004 (en lo sucesivo, «el Reglamento»), en determinados casos el FEMPA puede asignar ayudas para compensar la paralización temporal de las actividades pesqueras.</w:t>
      </w:r>
    </w:p>
    <w:p w:rsidR="00786B3E" w:rsidRDefault="00786B3E" w:rsidP="00786B3E">
      <w:r>
        <w:t>No obstante, de conformidad con el artículo 21, apartado 5, del Reglamento, la ayuda mencionada en el marco de la medida «Paralización temporal de las actividades pesqueras» se concederá, entre otras cosas, a los armadores que hayan trabajado durante al menos 120 días durante los dos años civiles anteriores a la fecha de presentación de la solicitud de ayuda, que hayan trabajado en el mar a bordo de un buque pesquero de la Unión afectado por la paralización temporal. Sin embargo, de conformidad con el Reglamento, la referencia indicada al número de días de mar no se aplica a la pesca de la anguila.</w:t>
      </w:r>
    </w:p>
    <w:p w:rsidR="00786B3E" w:rsidRDefault="00786B3E" w:rsidP="00786B3E">
      <w:r>
        <w:t>Habida cuenta de lo anterior, me gustaría solicitar una interpretación del artículo 21 5 del Reglamento:</w:t>
      </w:r>
    </w:p>
    <w:p w:rsidR="00786B3E" w:rsidRDefault="00786B3E" w:rsidP="00786B3E">
      <w:r>
        <w:t>Cuando el propietario de un buque pesquero solo ha ejercido una actividad pesquera durante 120 días en los dos años civiles anteriores a la fecha de presentación de la solicitud de ayuda y durante ese período capturó, por ejemplo, un día de pesca, una anguila, ¿no se contabiliza ese día en el número de días que determinan la admisibilidad de la ayuda y, por consiguiente, se consideran suficientes 119 días para cumplir el requisito relativo al número de días de pesca?</w:t>
      </w:r>
    </w:p>
    <w:p w:rsidR="00786B3E" w:rsidRDefault="00786B3E" w:rsidP="00786B3E">
      <w:r>
        <w:t>Sin embargo, ¿la reducción del número de días para poder optar a la ayuda en los días de captura de anguilas, en el ejemplo anterior, tiene como efecto no cumplir la condición de 120 días de pesca en los dos años civiles anteriores?</w:t>
      </w:r>
    </w:p>
    <w:p w:rsidR="00786B3E" w:rsidRDefault="00786B3E" w:rsidP="00786B3E">
      <w:r>
        <w:t>En el supuesto de que el propietario de un buque pesquero haya estado pescando anguila solo durante 120 días, ¿significa esto que no se contabilizaría ningún día a efectos del cumplimiento de la condición de 120 días de pesca en los dos años civiles anteriores, de conformidad con la citada disposición del artículo 21, apartado 5, del Reglamento 2021/1139?</w:t>
      </w:r>
    </w:p>
    <w:p w:rsidR="00786B3E" w:rsidRDefault="00786B3E" w:rsidP="00786B3E">
      <w:pPr>
        <w:pStyle w:val="P68B1DB1-Normal1"/>
      </w:pPr>
      <w:r>
        <w:t>Respuesta 1:</w:t>
      </w:r>
    </w:p>
    <w:p w:rsidR="00786B3E" w:rsidRDefault="00786B3E" w:rsidP="00786B3E">
      <w:r>
        <w:t>La Comisión no prevé ninguna otra modificación del Reglamento del FEMP en relación con la condición obligatoria de 120 días de pesca para que los beneficiarios puedan optar a recibir ayuda a la paralización temporal en virtud del artículo 33 del Reglamento del FEMP. Esta condición supone una suciedad contra el riesgo de apoyar la paralización temporal de los buques inactivos o inactivos. </w:t>
      </w:r>
    </w:p>
    <w:p w:rsidR="00786B3E" w:rsidRDefault="00786B3E" w:rsidP="00786B3E">
      <w:pPr>
        <w:pStyle w:val="P68B1DB1-Normal1"/>
      </w:pPr>
      <w:r>
        <w:t>Respuesta 2:</w:t>
      </w:r>
    </w:p>
    <w:p w:rsidR="00786B3E" w:rsidRDefault="00786B3E" w:rsidP="00786B3E">
      <w:r>
        <w:t xml:space="preserve">El artículo 21 del Reglamento FEMPA establece normas que regulan el apoyo a la paralización temporal de las actividades pesqueras. El artículo 21, apartado 5, establece que «la referencia al número de días de mar en el presente apartado no se aplicará a la pesca de anguila». Esta excepción refleja la naturaleza específica de las pesquerías de anguila. Esta pesca debe entenderse como una pesca dirigida específicamente a la anguila. A partir de la información facilitada, debe entenderse que el beneficiario incurrió en un caso de captura accidental de una anguila en </w:t>
      </w:r>
      <w:proofErr w:type="gramStart"/>
      <w:r>
        <w:t>el mar dirigida</w:t>
      </w:r>
      <w:proofErr w:type="gramEnd"/>
      <w:r>
        <w:t xml:space="preserve"> a especies distintas de la anguila. En consecuencia, puede considerarse que el beneficiario cumple las condiciones de 120 días de actividades pesqueras (dirigidas a especies distintas de la anguila) para poder optar a la ayuda a la paralización temporal. Es responsabilidad de la </w:t>
      </w:r>
      <w:r>
        <w:lastRenderedPageBreak/>
        <w:t>autoridad de gestión garantizar el cumplimiento de este requisito por parte del beneficiario.</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74" w:name="scroll-bookmark-673"/>
      <w:bookmarkStart w:id="575" w:name="scroll-bookmark-674"/>
      <w:bookmarkEnd w:id="574"/>
      <w:r>
        <w:t xml:space="preserve">QA657: Presentación de informes de </w:t>
      </w:r>
      <w:r w:rsidR="00DF0906">
        <w:t>EMFAF</w:t>
      </w:r>
      <w:r>
        <w:t xml:space="preserve"> — Anexo I del Reglamento de Ejecución (UE) 2022/79 de la Comisión</w:t>
      </w:r>
      <w:bookmarkEnd w:id="575"/>
    </w:p>
    <w:p w:rsidR="00786B3E" w:rsidRDefault="00786B3E" w:rsidP="00786B3E">
      <w:r>
        <w:rPr>
          <w:noProof/>
          <w:lang w:val="es-ES"/>
        </w:rPr>
        <w:drawing>
          <wp:inline distT="0" distB="0" distL="0" distR="0" wp14:anchorId="38DB04C3" wp14:editId="45528B53">
            <wp:extent cx="152435" cy="152435"/>
            <wp:effectExtent l="0" t="0" r="0" b="0"/>
            <wp:docPr id="101155" name="Imagen 1011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 del Reglamento FEMPA</w:t>
      </w:r>
    </w:p>
    <w:p w:rsidR="00786B3E" w:rsidRDefault="00786B3E" w:rsidP="00786B3E">
      <w:r>
        <w:rPr>
          <w:noProof/>
          <w:lang w:val="es-ES"/>
        </w:rPr>
        <w:drawing>
          <wp:inline distT="0" distB="0" distL="0" distR="0" wp14:anchorId="0AB7CADE" wp14:editId="47EE66B6">
            <wp:extent cx="152435" cy="152435"/>
            <wp:effectExtent l="0" t="0" r="0" b="0"/>
            <wp:docPr id="101157" name="Imagen 1011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Alemania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 xml:space="preserve">Datos con arreglo al anexo I, cuadro 1, del Reglamento de Ejecución (UE) 2022/79 (cuadro </w:t>
      </w:r>
      <w:proofErr w:type="spellStart"/>
      <w:r>
        <w:t>Infosys</w:t>
      </w:r>
      <w:proofErr w:type="spellEnd"/>
      <w:r>
        <w:t>)</w:t>
      </w:r>
    </w:p>
    <w:p w:rsidR="00786B3E" w:rsidRDefault="00786B3E" w:rsidP="00786B3E">
      <w:r>
        <w:t>Ámbito 12: «Número de personas directamente implicadas en la operación (excluidos los contratistas y las personas/empleados que no participan directamente en la operación)».</w:t>
      </w:r>
    </w:p>
    <w:p w:rsidR="00786B3E" w:rsidRDefault="00786B3E" w:rsidP="00786B3E">
      <w:r>
        <w:t>¿Qué se entiende aquí, qué personas deben registrarse aquí? ¿Puede explicarse esto por medio de un ejemplo, por ejemplo, para un proyecto de construcción en el ámbito de la transformación/comercialización?»</w:t>
      </w:r>
    </w:p>
    <w:p w:rsidR="00786B3E" w:rsidRDefault="00786B3E" w:rsidP="00786B3E"/>
    <w:p w:rsidR="00786B3E" w:rsidRDefault="00786B3E" w:rsidP="00786B3E">
      <w:pPr>
        <w:pStyle w:val="P68B1DB1-Normal1"/>
      </w:pPr>
      <w:r>
        <w:t>Respuesta.</w:t>
      </w:r>
    </w:p>
    <w:p w:rsidR="00786B3E" w:rsidRDefault="00786B3E" w:rsidP="00786B3E">
      <w:r>
        <w:t xml:space="preserve">En cuanto al campo </w:t>
      </w:r>
      <w:proofErr w:type="spellStart"/>
      <w:r>
        <w:t>Infosys</w:t>
      </w:r>
      <w:proofErr w:type="spellEnd"/>
      <w:r>
        <w:t xml:space="preserve"> 12, «Número de personas directamente implicadas en la operación».</w:t>
      </w:r>
    </w:p>
    <w:p w:rsidR="00786B3E" w:rsidRDefault="00786B3E" w:rsidP="00786B3E">
      <w:r>
        <w:lastRenderedPageBreak/>
        <w:t xml:space="preserve">Tal como se define en el Reglamento de Ejecución 2022/79 de </w:t>
      </w:r>
      <w:proofErr w:type="spellStart"/>
      <w:r>
        <w:t>Infosys</w:t>
      </w:r>
      <w:proofErr w:type="spellEnd"/>
      <w:r>
        <w:t xml:space="preserve">, los valores del campo 12 de </w:t>
      </w:r>
      <w:proofErr w:type="spellStart"/>
      <w:r>
        <w:t>Infosys</w:t>
      </w:r>
      <w:proofErr w:type="spellEnd"/>
      <w:r>
        <w:t xml:space="preserve"> deben incluir el número total de personas directamente implicadas en la operación. No debe incluir contratistas ni personas/empleados que no participen directamente en la operación. Así pues, los valores introducidos en el campo 12 deben ser el número total de empleados de la empresa/entidad que recibe los fondos, cuyas actividades laborales se verán directamente afectadas por la operación.</w:t>
      </w:r>
    </w:p>
    <w:p w:rsidR="00786B3E" w:rsidRDefault="00786B3E" w:rsidP="00786B3E">
      <w:r>
        <w:t>En el caso de un proyecto de construcción en el ámbito de la transformación o la comercialización, es decir, la construcción de un nuevo estanque de acuicultura o la renovación de un estanque existente, el número consignado en el campo 12 debe ser el número total de empleados que trabajan en la transformación en la instalación en la que se está llevando a cabo el proyecto de construcción. No debe contabilizarse a los contratistas y otras personas ajenas a la empresa que trabajaron en la construcción o renovación de los estanques, ni a los empleados de la empresa cuya obra no se verá afectada por la construcción del nuevo estanque (por ejemplo, empleados que se ocupan de ventas, recursos humanos, comercialización, etc.).</w:t>
      </w:r>
    </w:p>
    <w:p w:rsidR="00786B3E" w:rsidRDefault="00786B3E" w:rsidP="00786B3E"/>
    <w:p w:rsidR="00786B3E" w:rsidRDefault="00786B3E" w:rsidP="00786B3E">
      <w:r>
        <w:t>NOTA:</w:t>
      </w:r>
    </w:p>
    <w:p w:rsidR="00786B3E" w:rsidRDefault="00786B3E" w:rsidP="00786B3E">
      <w:r>
        <w:t> </w:t>
      </w: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76" w:name="scroll-bookmark-675"/>
      <w:bookmarkStart w:id="577" w:name="scroll-bookmark-676"/>
      <w:bookmarkEnd w:id="576"/>
      <w:r>
        <w:t>PA658: FEMPA/ayuda estatal</w:t>
      </w:r>
      <w:bookmarkEnd w:id="577"/>
    </w:p>
    <w:p w:rsidR="00786B3E" w:rsidRDefault="00786B3E" w:rsidP="00786B3E">
      <w:r>
        <w:rPr>
          <w:noProof/>
          <w:lang w:val="es-ES"/>
        </w:rPr>
        <w:drawing>
          <wp:inline distT="0" distB="0" distL="0" distR="0" wp14:anchorId="1FE73993" wp14:editId="04986DA2">
            <wp:extent cx="152435" cy="152435"/>
            <wp:effectExtent l="0" t="0" r="0" b="0"/>
            <wp:docPr id="101159" name="Imagen 1011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i/>
        </w:rPr>
        <w:t>Artículo 10 del Reglamento FEMPA</w:t>
      </w:r>
    </w:p>
    <w:p w:rsidR="00786B3E" w:rsidRDefault="00786B3E" w:rsidP="00786B3E">
      <w:r>
        <w:rPr>
          <w:noProof/>
          <w:lang w:val="es-ES"/>
        </w:rPr>
        <w:drawing>
          <wp:inline distT="0" distB="0" distL="0" distR="0" wp14:anchorId="66B2A04A" wp14:editId="6DBC18D0">
            <wp:extent cx="152435" cy="152435"/>
            <wp:effectExtent l="0" t="0" r="0" b="0"/>
            <wp:docPr id="101161" name="Imagen 1011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 xml:space="preserve">Nos ponemos en contacto con usted en relación con el artículo 10 de la FEAMPA, relativo a la articulación entre los reglamentos de la FEAMPA y las normas sobre ayudas estatales. En este sentido, ¿podría consultar nuestra nota marco adjunta destinada a los </w:t>
      </w:r>
      <w:r>
        <w:lastRenderedPageBreak/>
        <w:t xml:space="preserve">servicios de instrucción de este artículo para validar nuestra interpretación? </w:t>
      </w:r>
      <w:r>
        <w:rPr>
          <w:i/>
        </w:rPr>
        <w:t>[FR facilitó una nota de 15 páginas sobre ayudas estatales en el contexto del FEMPA]</w:t>
      </w:r>
    </w:p>
    <w:p w:rsidR="00786B3E" w:rsidRDefault="00786B3E" w:rsidP="00786B3E">
      <w:r>
        <w:t>Además, tras un primer contacto con ellos, se plantean varias cuestiones:</w:t>
      </w:r>
    </w:p>
    <w:p w:rsidR="00786B3E" w:rsidRDefault="00786B3E" w:rsidP="00786B3E">
      <w:r>
        <w:t>— ¿pueden las ayudas a la infraestructura de un puerto pesquero estar comprendidas en el ámbito de aplicación del artículo 42 TFUE?</w:t>
      </w:r>
    </w:p>
    <w:p w:rsidR="00786B3E" w:rsidRDefault="00786B3E" w:rsidP="00786B3E">
      <w:r>
        <w:t xml:space="preserve"> — en el marco de una asociación científico-económica, ¿puede considerarse ayuda estatal la contribución </w:t>
      </w:r>
      <w:proofErr w:type="gramStart"/>
      <w:r>
        <w:t>nacional</w:t>
      </w:r>
      <w:proofErr w:type="gramEnd"/>
      <w:r>
        <w:t xml:space="preserve"> aunque uno de los socios no sea una empresa que ejerza una actividad económica?</w:t>
      </w:r>
    </w:p>
    <w:p w:rsidR="00786B3E" w:rsidRDefault="00786B3E" w:rsidP="00786B3E"/>
    <w:p w:rsidR="00786B3E" w:rsidRDefault="00786B3E" w:rsidP="00786B3E">
      <w:pPr>
        <w:pStyle w:val="P68B1DB1-Normal1"/>
      </w:pPr>
      <w:r>
        <w:t>Respuesta.</w:t>
      </w:r>
    </w:p>
    <w:p w:rsidR="00786B3E" w:rsidRDefault="00786B3E" w:rsidP="00786B3E">
      <w:r>
        <w:t>Por lo que se refiere a su proyecto de nota, tenga en cuenta que, en principio, el momento pertinente para el análisis jurídico es el momento en que se notifica el régimen de ayudas estatales a la Comisión. A este respecto, la Comisión evalúa medidas de ayuda concretas y no está en condiciones de respaldar o comentar documentos de orientación generales.</w:t>
      </w:r>
    </w:p>
    <w:p w:rsidR="00786B3E" w:rsidRDefault="00786B3E" w:rsidP="00786B3E">
      <w:r>
        <w:t>El artículo</w:t>
      </w:r>
      <w:r>
        <w:rPr>
          <w:i/>
        </w:rPr>
        <w:t xml:space="preserve"> </w:t>
      </w:r>
      <w:r>
        <w:rPr>
          <w:b/>
          <w:i/>
          <w:u w:val="single"/>
        </w:rPr>
        <w:t>42 del TFUE se aplica «a la producción y al comercio de productos agrícolas únicamente</w:t>
      </w:r>
      <w:r>
        <w:rPr>
          <w:b/>
          <w:i/>
        </w:rPr>
        <w:t xml:space="preserve"> </w:t>
      </w:r>
      <w:r>
        <w:rPr>
          <w:i/>
        </w:rPr>
        <w:t xml:space="preserve">en la medida determinada por el Parlamento Europeo y el Consejo en el marco del artículo 43, apartado 2, y de conformidad con el procedimiento establecido en el mismo, teniendo en cuenta los objetivos enunciados en </w:t>
      </w:r>
      <w:proofErr w:type="spellStart"/>
      <w:r>
        <w:rPr>
          <w:i/>
        </w:rPr>
        <w:t>el</w:t>
      </w:r>
      <w:r>
        <w:t>artículo</w:t>
      </w:r>
      <w:proofErr w:type="spellEnd"/>
      <w:r>
        <w:t> 39».</w:t>
      </w:r>
    </w:p>
    <w:p w:rsidR="00786B3E" w:rsidRDefault="00786B3E" w:rsidP="00786B3E">
      <w:r>
        <w:t>Por lo tanto, el apoyo a cualquier actividad relacionada con la producción o el comercio de productos agrícolas (y de la pesca) emprendida por pescadores, productores acuícolas y transformadores de productos de la pesca y de la acuicultura no requiere la aprobación de las ayudas estatales cuando sean subvencionables en virtud del artículo 12 del Reglamento FEMPA e incluidas en el programa FEMPA.</w:t>
      </w:r>
    </w:p>
    <w:p w:rsidR="00786B3E" w:rsidRDefault="00786B3E" w:rsidP="00786B3E">
      <w:r>
        <w:t xml:space="preserve">Corresponde al Estado miembro comprobar caso por caso si se cumplen estas condiciones. En caso contrario, la medida está sujeta al control de las ayudas estatales. A fin de comprobar la compatibilidad de una medida de ayuda estatal con el mercado interior, los Estados miembros pueden verificar si se aplica el Reglamento general </w:t>
      </w:r>
      <w:r>
        <w:rPr>
          <w:i/>
        </w:rPr>
        <w:t>de minimis</w:t>
      </w:r>
      <w:r>
        <w:t xml:space="preserve"> [es decir, el Reglamento (UE) n.º 1407/2013 [</w:t>
      </w:r>
      <w:hyperlink w:anchor="scroll-bookmark-677" w:history="1">
        <w:r>
          <w:rPr>
            <w:rStyle w:val="Hipervnculo"/>
          </w:rPr>
          <w:t xml:space="preserve">1]] o </w:t>
        </w:r>
      </w:hyperlink>
      <w:r>
        <w:t>un reglamento de exención por categorías adoptado de conformidad con el artículo 108, apartado 4, del TFUE [por ejemplo, el Reglamento (UE) n.º 1388/2014</w:t>
      </w:r>
      <w:hyperlink w:anchor="scroll-bookmark-678" w:history="1">
        <w:r>
          <w:rPr>
            <w:rStyle w:val="Hipervnculo"/>
          </w:rPr>
          <w:t xml:space="preserve"> [2]]</w:t>
        </w:r>
      </w:hyperlink>
      <w:r>
        <w:t>. De no ser así, la medida debe notificarse a la Comisión, que, en principio, la evaluaría a la luz de las Directrices sobre ayudas estatales aplicables al sector de la pesca y la acuicultura</w:t>
      </w:r>
      <w:hyperlink w:anchor="scroll-bookmark-679" w:history="1">
        <w:r>
          <w:rPr>
            <w:rStyle w:val="Hipervnculo"/>
          </w:rPr>
          <w:t xml:space="preserve"> [3]</w:t>
        </w:r>
      </w:hyperlink>
      <w:r>
        <w:t>.</w:t>
      </w:r>
    </w:p>
    <w:p w:rsidR="00786B3E" w:rsidRDefault="00786B3E" w:rsidP="00786B3E"/>
    <w:p w:rsidR="00786B3E" w:rsidRDefault="00FC0FB1" w:rsidP="00786B3E">
      <w:hyperlink w:anchor="scroll-bookmark-680" w:history="1">
        <w:r w:rsidR="00786B3E">
          <w:rPr>
            <w:rStyle w:val="Hipervnculo"/>
          </w:rPr>
          <w:t xml:space="preserve">[1] </w:t>
        </w:r>
      </w:hyperlink>
      <w:r w:rsidR="00786B3E">
        <w:t xml:space="preserve"> Reglamento (UE) n.º 1407/2013 de la Comisión, de 18 de diciembre de 2013, relativo a la aplicación de los artículos 107 y 108 del Tratado de Funcionamiento de la Unión Europea a las ayudas de minimis (DO L 352 de 24.12.2013, p. 1).</w:t>
      </w:r>
    </w:p>
    <w:p w:rsidR="00786B3E" w:rsidRDefault="00FC0FB1" w:rsidP="00786B3E">
      <w:hyperlink w:anchor="scroll-bookmark-681" w:history="1">
        <w:r w:rsidR="00786B3E">
          <w:rPr>
            <w:rStyle w:val="Hipervnculo"/>
          </w:rPr>
          <w:t xml:space="preserve">[2] </w:t>
        </w:r>
      </w:hyperlink>
      <w:r w:rsidR="00786B3E">
        <w:t xml:space="preserve"> Reglamento (UE) n.º 1388/2014 de la Comisión, de 16 de diciembre de 2014, por el que se declaran determinadas categorías de ayudas a empresas dedicadas a la producción, transformación y comercialización de productos de la pesca y de la acuicultura compatibles con el mercado interior en aplicación de los artículos 107 y 108 del Tratado de Funcionamiento de la Unión Europea.</w:t>
      </w:r>
    </w:p>
    <w:p w:rsidR="00786B3E" w:rsidRDefault="00FC0FB1" w:rsidP="00786B3E">
      <w:hyperlink w:anchor="scroll-bookmark-682" w:history="1">
        <w:r w:rsidR="00786B3E">
          <w:rPr>
            <w:rStyle w:val="Hipervnculo"/>
          </w:rPr>
          <w:t xml:space="preserve">[3] comunicación </w:t>
        </w:r>
      </w:hyperlink>
      <w:r w:rsidR="00786B3E">
        <w:t xml:space="preserve"> de la Comisión — Directrices para el examen de las ayudas estatales en el sector de la pesca y la acuicultura (2015/C 217/01), en su versión modificada.</w:t>
      </w:r>
    </w:p>
    <w:p w:rsidR="00786B3E" w:rsidRDefault="00786B3E" w:rsidP="00786B3E"/>
    <w:p w:rsidR="00786B3E" w:rsidRDefault="00786B3E" w:rsidP="00786B3E">
      <w:pPr>
        <w:pStyle w:val="P68B1DB1-Normal1"/>
      </w:pPr>
      <w:r>
        <w:t>NOTA:</w:t>
      </w:r>
    </w:p>
    <w:p w:rsidR="00786B3E" w:rsidRDefault="00786B3E" w:rsidP="00786B3E">
      <w:pPr>
        <w:pStyle w:val="P68B1DB1-Normal4"/>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78" w:name="scroll-bookmark-683"/>
      <w:bookmarkStart w:id="579" w:name="scroll-bookmark-684"/>
      <w:bookmarkEnd w:id="578"/>
      <w:r>
        <w:t>Operaciones/Aumento del arqueo bruto de un buque pesquero</w:t>
      </w:r>
      <w:bookmarkEnd w:id="579"/>
    </w:p>
    <w:p w:rsidR="00786B3E" w:rsidRDefault="00786B3E" w:rsidP="00786B3E">
      <w:r>
        <w:rPr>
          <w:noProof/>
          <w:lang w:val="es-ES"/>
        </w:rPr>
        <w:drawing>
          <wp:inline distT="0" distB="0" distL="0" distR="0" wp14:anchorId="6410CCE9" wp14:editId="7391EF77">
            <wp:extent cx="152435" cy="152435"/>
            <wp:effectExtent l="0" t="0" r="0" b="0"/>
            <wp:docPr id="101163" name="Imagen 1011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i/>
        </w:rPr>
        <w:t>Artículo 13 del Reglamento FEMPA</w:t>
      </w:r>
    </w:p>
    <w:p w:rsidR="00786B3E" w:rsidRDefault="00786B3E" w:rsidP="00786B3E">
      <w:r>
        <w:rPr>
          <w:noProof/>
          <w:lang w:val="es-ES"/>
        </w:rPr>
        <w:drawing>
          <wp:inline distT="0" distB="0" distL="0" distR="0" wp14:anchorId="409CACDB" wp14:editId="55A01484">
            <wp:extent cx="152435" cy="152435"/>
            <wp:effectExtent l="0" t="0" r="0" b="0"/>
            <wp:docPr id="101165" name="Imagen 1011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pPr>
        <w:pStyle w:val="P68B1DB1-Normal9"/>
      </w:pPr>
      <w:r>
        <w:t>Artículo 13</w:t>
      </w:r>
    </w:p>
    <w:p w:rsidR="00786B3E" w:rsidRDefault="00786B3E" w:rsidP="00786B3E">
      <w:r>
        <w:t>La cuestión se refiere a la interpretación del artículo 13, letra b), «la adquisición de equipos que aumenten la capacidad de un buque para encontrar pescado». El origen de nuestra pregunta se refiere al seguimiento de una auditoría del Tribunal de Cuentas de la UE, que tuvo lugar en 2012. Esta auditoría había dado lugar a un plan de recuperación en aquel momento para apartarse del derecho a ayudar a un determinado número de inversiones a bordo (en particular, sonares). El texto del FEP prohibía en aquel momento los equipos que podían aumentar la capacidad de captura de los buques. El FEMP, y posteriormente el FEMPA, ya no se refieren a la capacidad de captura, sino únicamente a la capacidad de encontrar pescado.</w:t>
      </w:r>
    </w:p>
    <w:p w:rsidR="00786B3E" w:rsidRDefault="00786B3E" w:rsidP="00786B3E">
      <w:r>
        <w:lastRenderedPageBreak/>
        <w:t>El aumento de la capacidad pesquera (definido con precisión en la PPC) sigue estando prohibido, pero la Comisión siempre ha establecido en sus comunicaciones una distinción clara entre la capacidad de captura y la capacidad pesquera. El artículo 13, letra a), se refiere a la capacidad pesquera (medida por arqueo y potencia) y no a la capacidad de captura que, como tal, ya no se menciona en el FEMPA. Las regiones desean ampliar en la medida de lo posible las capacidades de inversión en equipos que mejoren la seguridad, pero que podrían considerarse como una mejora de la capacidad de captura, como los artes de pesca (</w:t>
      </w:r>
      <w:proofErr w:type="spellStart"/>
      <w:r>
        <w:t>arrastrero</w:t>
      </w:r>
      <w:proofErr w:type="spellEnd"/>
      <w:r>
        <w:t xml:space="preserve"> de red, </w:t>
      </w:r>
      <w:proofErr w:type="spellStart"/>
      <w:r>
        <w:t>arrastrero</w:t>
      </w:r>
      <w:proofErr w:type="spellEnd"/>
      <w:r>
        <w:t xml:space="preserve"> de almadrabas, etc.), que se declararon no subvencionables en 2012, pero estas inversiones no mejoran la capacidad de encontrar pescado.</w:t>
      </w:r>
    </w:p>
    <w:p w:rsidR="00786B3E" w:rsidRDefault="00786B3E" w:rsidP="00786B3E">
      <w:r>
        <w:t>Así pues, nos gustaría saber si determinados equipos que mejorarán la seguridad pero que mejorarán objetivamente la capacidad de captura (tipo de transportista neto) siguen siendo inadmisibles en el marco actual.</w:t>
      </w:r>
    </w:p>
    <w:p w:rsidR="00786B3E" w:rsidRDefault="00786B3E" w:rsidP="00786B3E"/>
    <w:p w:rsidR="00786B3E" w:rsidRDefault="00786B3E" w:rsidP="00786B3E">
      <w:pPr>
        <w:pStyle w:val="P68B1DB1-Normal9"/>
      </w:pPr>
      <w:r>
        <w:t>Artículo 19</w:t>
      </w:r>
    </w:p>
    <w:p w:rsidR="00786B3E" w:rsidRDefault="00786B3E" w:rsidP="00786B3E">
      <w:r>
        <w:t>En relación con el artículo 19, ¿podría facilitarnos las siguientes aclaraciones:</w:t>
      </w:r>
    </w:p>
    <w:p w:rsidR="00786B3E" w:rsidRDefault="00786B3E" w:rsidP="00786B3E">
      <w:pPr>
        <w:numPr>
          <w:ilvl w:val="0"/>
          <w:numId w:val="258"/>
        </w:numPr>
      </w:pPr>
      <w:r>
        <w:t>Aclaración técnica sobre las inversiones en «sistemas integrados de puente destinados a mejorar la navegación o el control del motor», aclaración de los tipos de operaciones en cuestión.</w:t>
      </w:r>
    </w:p>
    <w:p w:rsidR="00786B3E" w:rsidRDefault="00786B3E" w:rsidP="00786B3E">
      <w:pPr>
        <w:numPr>
          <w:ilvl w:val="0"/>
          <w:numId w:val="258"/>
        </w:numPr>
      </w:pPr>
      <w:r>
        <w:t xml:space="preserve">¿Es posible financiar la creación de un arco bulbo? Se trata de un aumento del tonelaje que aumenta la eficiencia energética del buque, </w:t>
      </w:r>
      <w:r w:rsidR="002F3719">
        <w:t xml:space="preserve">ya que, </w:t>
      </w:r>
      <w:r>
        <w:t>el artículo solo se refiere a la «sustitución o renovación del arco bulbo».</w:t>
      </w:r>
    </w:p>
    <w:p w:rsidR="00786B3E" w:rsidRDefault="00786B3E" w:rsidP="00786B3E">
      <w:pPr>
        <w:numPr>
          <w:ilvl w:val="0"/>
          <w:numId w:val="258"/>
        </w:numPr>
      </w:pPr>
      <w:r>
        <w:t>Interpretación de una condición de admisibilidad, reasignación de capacidad.</w:t>
      </w:r>
    </w:p>
    <w:p w:rsidR="00786B3E" w:rsidRDefault="00786B3E" w:rsidP="00786B3E">
      <w:r>
        <w:t>Una de las condiciones para poder optar a esta financiación es «la entrada en la flota pesquera de nueva capacidad pesquera como consecuencia de la operación se compensa con la retirada previa, sin ayuda pública, de al menos una capacidad pesquera equivalente del mismo segmento de flota o de un segmento desequilibrado».</w:t>
      </w:r>
    </w:p>
    <w:p w:rsidR="00786B3E" w:rsidRDefault="00786B3E" w:rsidP="00786B3E">
      <w:r>
        <w:t>Esta condición implica un procedimiento específico para el solicitante que puede simplificarse del siguiente modo: solicitar a la Comisión Regional de Gestión de la Flota, antes de su solicitud de financiación, la capacidad adicional necesaria para aumentar su tonelaje. La Comisión, en función de su reserva de capacidad regional o de cualquier salida, decidirá sobre la posibilidad de asignar capacidad adicional al buque que solicite financiación.</w:t>
      </w:r>
    </w:p>
    <w:p w:rsidR="00786B3E" w:rsidRDefault="00786B3E" w:rsidP="00786B3E">
      <w:r>
        <w:t>Este procedimiento plantea dudas, en particular, sobre las condiciones de utilización de la reserva de capacidad regional, pero también más allá de la nacional. De hecho, durante un intercambio en una reunión del Consejo Consultivo del Mar del Norte (NSAC) de 11 de julio de 2022 sobre la descarbonización de los buques pesqueros, los representantes de la DG MARE, cuando se les preguntó sobre la cuestión de la esclusa de gálibo para permitir la modernización de los buques y su eficiencia energética, explicaron que los Estados miembros ya disponían de recursos para llevar a cabo la modernización y, en particular, las reservas de capacidad.</w:t>
      </w:r>
    </w:p>
    <w:p w:rsidR="00786B3E" w:rsidRDefault="00786B3E" w:rsidP="00786B3E"/>
    <w:p w:rsidR="00786B3E" w:rsidRDefault="00786B3E" w:rsidP="00786B3E">
      <w:pPr>
        <w:pStyle w:val="P68B1DB1-Normal1"/>
      </w:pPr>
      <w:r>
        <w:lastRenderedPageBreak/>
        <w:t>Respuesta.</w:t>
      </w:r>
    </w:p>
    <w:p w:rsidR="00786B3E" w:rsidRDefault="00786B3E" w:rsidP="00786B3E">
      <w:pPr>
        <w:pStyle w:val="P68B1DB1-Normal9"/>
      </w:pPr>
      <w:r>
        <w:t>Artículo 13</w:t>
      </w:r>
    </w:p>
    <w:p w:rsidR="00786B3E" w:rsidRDefault="00786B3E" w:rsidP="00786B3E">
      <w:r>
        <w:t>El artículo 13, letra b), establece que la adquisición de equipos que incrementen la capacidad de un buque pesquero para encontrar pescado no es admisible. Se refiere a tecnologías y equipos de búsqueda de peces, por ejemplo, sonar o dispositivos de concentración de peces, distintos de los utilizados con fines de investigación. Por lo tanto, independientemente de si el equipo en cuestión aumenta la «capacidad de captura», si aumenta la capacidad del buque para encontrar pescado, no sería subvencionable con arreglo al artículo 13, letra b).</w:t>
      </w:r>
    </w:p>
    <w:p w:rsidR="00786B3E" w:rsidRDefault="00786B3E" w:rsidP="00786B3E">
      <w:r>
        <w:t>Dependiendo de las características del equipo y con independencia de si aumenta la «capacidad de captura» del buque, también podría aumentar la capacidad pesquera, por ejemplo, porque aumenta su capacidad de carga, potencia del motor, capacidad del intervalo o competencias de la tripulación. En este caso, el equipo estaría cubierto por el artículo 13, letra a) (aumento de la capacidad pesquera). </w:t>
      </w:r>
    </w:p>
    <w:p w:rsidR="00786B3E" w:rsidRDefault="00786B3E" w:rsidP="00786B3E">
      <w:r>
        <w:t>El Reglamento PPC define la capacidad pesquera como el arqueo bruto de un buque y su potencia expresada en kW. En función de las características del equipo, podría aumentar la capacidad pesquera y, como tal, no sería subvencionable con arreglo al artículo 13, letra a), a menos que se cumplan las condiciones del artículo 19, apartado 1. Las condiciones del artículo 19, apartado 1, solo se cumplen si la operación aumenta el parámetro de arqueo bruto de la capacidad pesquera, no el parámetro de potencia. El aumento debe tener como único objetivo la mejora de la seguridad, las condiciones de trabajo o la eficiencia energética.</w:t>
      </w:r>
    </w:p>
    <w:p w:rsidR="00786B3E" w:rsidRDefault="00786B3E" w:rsidP="00786B3E">
      <w:r>
        <w:t>Sin embargo, con la información de que dispone la Comisión sobre los equipos, no es posible analizar claramente si ello conduciría efectivamente a: mayor capacidad de un buque pesquero para encontrar pescado [según lo establecido en el artículo 13, letra b),]; o a un aumento de la capacidad pesquera [según lo establecido en el artículo 13, letra a),]; o con el único fin de mejorar la seguridad, la eficiencia energética o las condiciones de trabajo (tal como se establece en el artículo 19, apartado 1,).</w:t>
      </w:r>
    </w:p>
    <w:p w:rsidR="00786B3E" w:rsidRDefault="00786B3E" w:rsidP="00786B3E"/>
    <w:p w:rsidR="00786B3E" w:rsidRDefault="00786B3E" w:rsidP="00786B3E">
      <w:pPr>
        <w:pStyle w:val="P68B1DB1-Normal9"/>
      </w:pPr>
      <w:r>
        <w:t>Artículo 19</w:t>
      </w:r>
    </w:p>
    <w:p w:rsidR="00786B3E" w:rsidRDefault="00786B3E" w:rsidP="00786B3E">
      <w:pPr>
        <w:numPr>
          <w:ilvl w:val="0"/>
          <w:numId w:val="259"/>
        </w:numPr>
      </w:pPr>
      <w:r>
        <w:t xml:space="preserve">Sistemas integrados de puente destinados a mejorar la navegación o el control del motor (art. 19 (3) c)). La Organización Marítima Internacional (OMI) define un sistema integrado de puentes como «una combinación de sistemas interconectados para permitir el acceso centralizado a la información de sensores o al mando/control desde los puestos de trabajo, a fin de «aumentar la seguridad y la eficiencia de la gestión de los buques». </w:t>
      </w:r>
      <w:hyperlink r:id="rId524" w:history="1">
        <w:r>
          <w:rPr>
            <w:rStyle w:val="Hipervnculo"/>
          </w:rPr>
          <w:t>Sistema integrado de puente (IBS) (imo.org)</w:t>
        </w:r>
      </w:hyperlink>
    </w:p>
    <w:p w:rsidR="00786B3E" w:rsidRDefault="00786B3E" w:rsidP="00786B3E">
      <w:pPr>
        <w:numPr>
          <w:ilvl w:val="0"/>
          <w:numId w:val="259"/>
        </w:numPr>
      </w:pPr>
      <w:r>
        <w:t>El artículo 19, apartado 3, letra e), no permite apoyar la creación, sino únicamente la sustitución o renovación de bombillas existentes, aunque la creación tenga por efecto aumentar la eficiencia energética del buque.</w:t>
      </w:r>
    </w:p>
    <w:p w:rsidR="00786B3E" w:rsidRDefault="00786B3E" w:rsidP="00786B3E">
      <w:pPr>
        <w:numPr>
          <w:ilvl w:val="0"/>
          <w:numId w:val="259"/>
        </w:numPr>
      </w:pPr>
      <w:r>
        <w:t xml:space="preserve">La letra d) del artículo 19, apartado 2, debe aplicarse siguiendo una lógica de segmentos y a nivel nacional. Esta disposición se basa en la lógica del régimen de entrada y salida del artículo 23 del Reglamento sobre la PPC: todo aumento de </w:t>
      </w:r>
      <w:r>
        <w:lastRenderedPageBreak/>
        <w:t>la capacidad de un buque debe compensarse con la reducción correspondiente de otro buque de la misma flota nacional, a fin de garantizar que la capacidad global de la flota no aumente.</w:t>
      </w:r>
    </w:p>
    <w:p w:rsidR="00786B3E" w:rsidRDefault="00786B3E" w:rsidP="00786B3E">
      <w:r>
        <w:t xml:space="preserve">Sin embargo, este apartado va más allá del régimen de entrada y salida, </w:t>
      </w:r>
      <w:r w:rsidR="002F3719">
        <w:t xml:space="preserve">ya que, </w:t>
      </w:r>
      <w:r>
        <w:t>establece que la retirada de capacidad debe proceder del mismo segmento de la flota que el buque que se beneficia de un aumento, o de un segmento de la flota declarado desequilibrado de conformidad con el artículo 22 del Reglamento PPC (en el régimen de entrada y salida, puede proceder de cualquier segmento).</w:t>
      </w:r>
    </w:p>
    <w:p w:rsidR="00786B3E" w:rsidRDefault="00786B3E" w:rsidP="00786B3E">
      <w:r>
        <w:t>La retirada de la capacidad pesquera debe tener lugar antes de la inscripción oficial en el registro de la flota de la Unión, indicando el arqueo bruto adicional del buque beneficiario de la ayuda.</w:t>
      </w:r>
    </w:p>
    <w:p w:rsidR="00786B3E" w:rsidRDefault="00786B3E" w:rsidP="00786B3E">
      <w:r>
        <w:t>Los Estados miembros pueden utilizar la capacidad pesquera no asignada que tienen en la reserva de anteriores retiradas (de conformidad con el régimen de entradas y salidas). Sin embargo, deben demostrar que esta capacidad de reserva se ha tomado del mismo segmento de flota que el buque subvencionado, o de un segmento de flota desequilibrado.</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80" w:name="scroll-bookmark-685"/>
      <w:bookmarkStart w:id="581" w:name="scroll-bookmark-686"/>
      <w:bookmarkEnd w:id="580"/>
      <w:r>
        <w:t>QA661 EMFAFНIQ sobre los puntos 15, 14, 7 y 4 del anexo III del Reglamento (CE) no 2021/1139</w:t>
      </w:r>
      <w:bookmarkEnd w:id="581"/>
    </w:p>
    <w:p w:rsidR="00786B3E" w:rsidRDefault="00786B3E" w:rsidP="00786B3E">
      <w:r>
        <w:rPr>
          <w:noProof/>
          <w:lang w:val="es-ES"/>
        </w:rPr>
        <w:drawing>
          <wp:inline distT="0" distB="0" distL="0" distR="0" wp14:anchorId="793FE650" wp14:editId="23738D84">
            <wp:extent cx="152435" cy="152435"/>
            <wp:effectExtent l="0" t="0" r="0" b="0"/>
            <wp:docPr id="101167" name="Imagen 1011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Puntos 15, 14, 7 y 4 del anexo III del Reglamento (CE) no 2021/1139 </w:t>
      </w:r>
    </w:p>
    <w:p w:rsidR="00786B3E" w:rsidRDefault="00786B3E" w:rsidP="00786B3E">
      <w:r>
        <w:rPr>
          <w:noProof/>
          <w:lang w:val="es-ES"/>
        </w:rPr>
        <w:drawing>
          <wp:inline distT="0" distB="0" distL="0" distR="0" wp14:anchorId="2308BD92" wp14:editId="215D61DB">
            <wp:extent cx="152435" cy="152435"/>
            <wp:effectExtent l="0" t="0" r="0" b="0"/>
            <wp:docPr id="101169" name="Imagen 1011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España</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En España, algunos organismos intermedios ya están planificando la base para futuras convocatorias del FEMPA. A este respecto, la AG española tiene dudas sobre los planes de producción.</w:t>
      </w:r>
    </w:p>
    <w:p w:rsidR="00786B3E" w:rsidRDefault="00786B3E" w:rsidP="00786B3E">
      <w:r>
        <w:t>En la actualidad, de conformidad con el anexo III del Reglamento FEMPA, la intensidad de ayuda de los planes de producción y gestión de las organizaciones de productores se establece en la línea 15 (75 %) y, si es aplicable, en la línea 14 (100 %).</w:t>
      </w:r>
    </w:p>
    <w:p w:rsidR="00786B3E" w:rsidRDefault="00786B3E" w:rsidP="00786B3E">
      <w:r>
        <w:t>No obstante, España desea saber si la intensidad de ayuda mencionada en la línea 7 (100 %) podría aplicarse a estas operaciones en relación con las acciones de los planes de los OPE que se refieren exclusivamente a la pesca costera artesanal o si se trata de planes OPE de las Islas Canarias, se aplicaría por defecto la línea 4 (85 %).</w:t>
      </w:r>
    </w:p>
    <w:p w:rsidR="00786B3E" w:rsidRDefault="00786B3E" w:rsidP="00786B3E">
      <w:r>
        <w:t> </w:t>
      </w:r>
    </w:p>
    <w:p w:rsidR="00786B3E" w:rsidRDefault="00786B3E" w:rsidP="00786B3E"/>
    <w:p w:rsidR="00786B3E" w:rsidRDefault="00786B3E" w:rsidP="00786B3E">
      <w:pPr>
        <w:pStyle w:val="P68B1DB1-Normal1"/>
      </w:pPr>
      <w:r>
        <w:t>Respuesta.</w:t>
      </w:r>
    </w:p>
    <w:p w:rsidR="00786B3E" w:rsidRDefault="00786B3E" w:rsidP="00786B3E">
      <w:r>
        <w:t xml:space="preserve">De conformidad con el artículo 41, apartado 1, del Reglamento FEMPA, los Estados miembros aplicarán un porcentaje máximo de intensidad de ayuda del 50 % del gasto total subvencionable de cualquier operación. No </w:t>
      </w:r>
      <w:proofErr w:type="gramStart"/>
      <w:r>
        <w:t>obstante</w:t>
      </w:r>
      <w:proofErr w:type="gramEnd"/>
      <w:r>
        <w:t xml:space="preserve"> lo dispuesto en el apartado 1, en el anexo III del Reglamento FEMPA se establecen porcentajes máximos específicos de intensidad de la ayuda.</w:t>
      </w:r>
    </w:p>
    <w:p w:rsidR="00786B3E" w:rsidRDefault="00786B3E" w:rsidP="00786B3E">
      <w:r>
        <w:t>En virtud del punto 15 del anexo III del Reglamento FEMPA, los Estados miembros pueden elevar el porcentaje de intensidad de la ayuda hasta un máximo del 75 % en el caso de las operaciones ejecutadas por organizaciones de productores, asociaciones de organizaciones de productores u organizaciones interprofesionales.</w:t>
      </w:r>
    </w:p>
    <w:p w:rsidR="00786B3E" w:rsidRDefault="00786B3E" w:rsidP="00786B3E">
      <w:r>
        <w:t>Además, en virtud del punto 7 del anexo III del Reglamento FEMPA, el porcentaje de intensidad de ayuda puede aumentarse hasta un máximo del 100 % en el caso de las operaciones relacionadas con la pesca costera artesanal y, en virtud del punto 4, hasta un máximo del 85 % en el caso de las operaciones ubicadas en las regiones ultraperiféricas.</w:t>
      </w:r>
    </w:p>
    <w:p w:rsidR="00786B3E" w:rsidRDefault="00786B3E" w:rsidP="00786B3E">
      <w:r>
        <w:t>De conformidad con el artículo 41, apartado 3, del Reglamento FEMPA, cuando una operación entre en varias de las filas 2 a 19 del anexo III, se aplicará el porcentaje máximo de intensidad de ayuda más elevado.</w:t>
      </w:r>
    </w:p>
    <w:p w:rsidR="00786B3E" w:rsidRDefault="00786B3E" w:rsidP="00786B3E">
      <w:r>
        <w:t>Por lo tanto, puede concluirse que las operaciones ejecutadas por organizaciones de productores, asociaciones de organizaciones de productores u organizaciones interprofesionales pueden beneficiarse de un porcentaje de intensidad de ayuda de hasta el 85 % o el 100 % en caso de que estén situadas en las regiones ultraperiféricas o estén relacionadas con la pesca costera artesanal, respectivamente. En el caso de las operaciones ejecutadas por organizaciones de productores, asociaciones de organizaciones de productores u organizaciones interprofesionales situadas en las regiones ultraperiféricas y relacionadas con la pesca costera artesanal, se aplicará el porcentaje máximo de intensidad de ayuda más elevado, es decir, el 100 %.</w:t>
      </w:r>
    </w:p>
    <w:p w:rsidR="00786B3E" w:rsidRDefault="00786B3E" w:rsidP="00786B3E"/>
    <w:p w:rsidR="00786B3E" w:rsidRDefault="00786B3E" w:rsidP="00786B3E"/>
    <w:p w:rsidR="00786B3E" w:rsidRDefault="00786B3E" w:rsidP="00786B3E">
      <w:r>
        <w:t>N.B.</w:t>
      </w:r>
    </w:p>
    <w:p w:rsidR="00786B3E" w:rsidRDefault="00786B3E" w:rsidP="00786B3E">
      <w:r>
        <w:t> </w:t>
      </w: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82" w:name="scroll-bookmark-687"/>
      <w:bookmarkStart w:id="583" w:name="scroll-bookmark-688"/>
      <w:bookmarkEnd w:id="582"/>
      <w:r>
        <w:t xml:space="preserve">QA662 </w:t>
      </w:r>
      <w:r w:rsidR="00DF0906">
        <w:t>EMFAF</w:t>
      </w:r>
      <w:r>
        <w:t xml:space="preserve"> Eligibilidad de la inversión en buques</w:t>
      </w:r>
      <w:bookmarkEnd w:id="583"/>
    </w:p>
    <w:p w:rsidR="00786B3E" w:rsidRDefault="00786B3E" w:rsidP="00786B3E">
      <w:r>
        <w:t>Respuesta</w:t>
      </w:r>
    </w:p>
    <w:p w:rsidR="00786B3E" w:rsidRDefault="00786B3E" w:rsidP="00786B3E">
      <w:r>
        <w:rPr>
          <w:noProof/>
          <w:lang w:val="es-ES"/>
        </w:rPr>
        <w:drawing>
          <wp:inline distT="0" distB="0" distL="0" distR="0" wp14:anchorId="167FE3E8" wp14:editId="4356EA7C">
            <wp:extent cx="152435" cy="152435"/>
            <wp:effectExtent l="0" t="0" r="0" b="0"/>
            <wp:docPr id="101171" name="Imagen 1011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FEMPA</w:t>
      </w:r>
    </w:p>
    <w:p w:rsidR="00786B3E" w:rsidRDefault="00786B3E" w:rsidP="00786B3E">
      <w:r>
        <w:rPr>
          <w:noProof/>
          <w:lang w:val="es-ES"/>
        </w:rPr>
        <w:drawing>
          <wp:inline distT="0" distB="0" distL="0" distR="0" wp14:anchorId="786E8184" wp14:editId="426BA96D">
            <wp:extent cx="152435" cy="152435"/>
            <wp:effectExtent l="0" t="0" r="0" b="0"/>
            <wp:docPr id="101173" name="Imagen 1011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Dinamarca</w:t>
      </w:r>
    </w:p>
    <w:p w:rsidR="00786B3E" w:rsidRDefault="00786B3E" w:rsidP="00786B3E"/>
    <w:p w:rsidR="00786B3E" w:rsidRDefault="00786B3E" w:rsidP="00786B3E">
      <w:pPr>
        <w:pStyle w:val="P68B1DB1-Normal1"/>
      </w:pPr>
      <w:r>
        <w:br/>
        <w:t>Preguntas:</w:t>
      </w:r>
    </w:p>
    <w:p w:rsidR="00786B3E" w:rsidRDefault="00786B3E" w:rsidP="00786B3E">
      <w:r>
        <w:rPr>
          <w:b/>
        </w:rPr>
        <w:t>Pregunta 1</w:t>
      </w:r>
      <w:r>
        <w:t>: En el artículo 13, apartado 1, letra l), ¿significa «60 días en los dos años naturales...» que el buque pesquero debe haber llevado a cabo actividades pesqueras durante 60 días en total durante los dos años civiles o durante 60 días en cada uno de los dos años civiles? En la traducción danesa del FEMPA, menciona específicamente 60 días al año en los dos años civiles, mientras que la versión inglesa y otras traducciones no lo especifican. Parece que existe una discrepancia en la versión danesa del Reglamento.</w:t>
      </w:r>
    </w:p>
    <w:p w:rsidR="00786B3E" w:rsidRDefault="00786B3E" w:rsidP="00786B3E">
      <w:r>
        <w:rPr>
          <w:b/>
        </w:rPr>
        <w:t>Pregunta 2</w:t>
      </w:r>
      <w:r>
        <w:t>: Las organizaciones de productores han destacado que algunos pescadores podrían no estar en condiciones de cumplir la condición de 60 días debido a la COVID-19 y a cuestiones relacionadas con el mar Báltico, especialmente en 2020. Tenemos previsto abrir el régimen de ayudas este año, por lo que los dos años naturales serían 2020 y 2021. ¿Sería posible utilizar otros años como referencia, por ejemplo, excluir 2020 o incluir 2022?</w:t>
      </w:r>
    </w:p>
    <w:p w:rsidR="00786B3E" w:rsidRDefault="00786B3E" w:rsidP="00786B3E">
      <w:r>
        <w:rPr>
          <w:b/>
        </w:rPr>
        <w:t>Pregunta 3</w:t>
      </w:r>
      <w:r>
        <w:t>: Si un buque nuevo ha sido comprado en 2020 o 2021 y no es capaz de cumplir la condición de 60 días, ¿quedará excluido de la ayuda en el marco del FEMPA, o será posible utilizar otro período de referencia para dichos buques?</w:t>
      </w:r>
    </w:p>
    <w:p w:rsidR="00786B3E" w:rsidRDefault="00786B3E" w:rsidP="00786B3E">
      <w:r>
        <w:rPr>
          <w:b/>
        </w:rPr>
        <w:t>Pregunta 4</w:t>
      </w:r>
      <w:r>
        <w:t xml:space="preserve">: En el caso de los pescadores costeros que utilizan artes de pesca pasivos, el día en el mar suele ser más corto, por lo que los pescadores tienen menos días en el mar </w:t>
      </w:r>
      <w:r>
        <w:lastRenderedPageBreak/>
        <w:t>que los pescadores que utilizan artes de pesca activos. Del mismo modo, los pescadores que utilizan almadrabas suelen utilizar varios buques para orientarse a sus almadrabas, y es posible que no puedan cumplir el requisito mínimo de 60 días en el mar. ¿Sería posible establecer una excepción para este tipo de pesca con artes pasivos?</w:t>
      </w:r>
    </w:p>
    <w:p w:rsidR="00786B3E" w:rsidRDefault="00786B3E" w:rsidP="00786B3E"/>
    <w:p w:rsidR="00786B3E" w:rsidRDefault="00786B3E" w:rsidP="00786B3E">
      <w:pPr>
        <w:pStyle w:val="P68B1DB1-Normal1"/>
      </w:pPr>
      <w:r>
        <w:t>Respuestas:</w:t>
      </w:r>
    </w:p>
    <w:p w:rsidR="00786B3E" w:rsidRDefault="00786B3E" w:rsidP="00786B3E">
      <w:r>
        <w:rPr>
          <w:b/>
        </w:rPr>
        <w:t>Respuesta 1</w:t>
      </w:r>
      <w:r>
        <w:t>: A la espera de una corrección de errores de traducción en la versión DK del Reglamento FEMPA, le aconsejamos que haga referencia a la versión EN publicada en el Diario Oficial de la UE. En su opinión, el número total de días de actividad pesquera debe ser de al menos 60 días a lo largo del período de dos años (en total), independientemente de la distribución de dichos días a lo largo de dicho período.</w:t>
      </w:r>
    </w:p>
    <w:p w:rsidR="00786B3E" w:rsidRDefault="00786B3E" w:rsidP="00786B3E">
      <w:r>
        <w:rPr>
          <w:b/>
        </w:rPr>
        <w:t>Respuesta 2</w:t>
      </w:r>
      <w:r>
        <w:t>: De conformidad con el artículo 13, letra l), del Reglamento FEMPA, el período de referencia será el de los dos años civiles anteriores a la presentación de la solicitud. Si se presenta una solicitud en 2022, se trata de los años 2020 y 2021.</w:t>
      </w:r>
    </w:p>
    <w:p w:rsidR="00786B3E" w:rsidRDefault="00786B3E" w:rsidP="00786B3E">
      <w:r>
        <w:rPr>
          <w:b/>
        </w:rPr>
        <w:t>Respuesta 3</w:t>
      </w:r>
      <w:r>
        <w:t>: Se aplican las mismas consideraciones a la pregunta 2, en particular, deben ser los dos años civiles anteriores a la presentación de la solicitud. Si se presenta una solicitud en 2022, se trata de los años 2020 y 2021. No puede hacerse ninguna excepción a los buques nuevos o de segunda mano que se compren en 2020 o 2021. (El Reglamento FEMPA vincula el requisito de 60 días al buque, no al propietario, y no especifica la ubicación de la pesca). </w:t>
      </w:r>
    </w:p>
    <w:p w:rsidR="00786B3E" w:rsidRDefault="00786B3E" w:rsidP="00786B3E">
      <w:r>
        <w:rPr>
          <w:b/>
        </w:rPr>
        <w:t>Respuesta 4</w:t>
      </w:r>
      <w:r>
        <w:t xml:space="preserve">: </w:t>
      </w:r>
      <w:r>
        <w:rPr>
          <w:color w:val="000000"/>
        </w:rPr>
        <w:t>El requisito de 60 días se refiere a los días en que el buque se encontraba en el mar, independientemente del tipo de arte que se lleve a bordo.</w:t>
      </w:r>
    </w:p>
    <w:p w:rsidR="00786B3E" w:rsidRDefault="00786B3E" w:rsidP="00786B3E"/>
    <w:p w:rsidR="00786B3E" w:rsidRDefault="00786B3E" w:rsidP="00786B3E"/>
    <w:p w:rsidR="00786B3E" w:rsidRDefault="00786B3E" w:rsidP="00786B3E">
      <w:r>
        <w:t>NOTA:</w:t>
      </w:r>
    </w:p>
    <w:p w:rsidR="00786B3E" w:rsidRDefault="00786B3E" w:rsidP="00786B3E">
      <w:r>
        <w:t> </w:t>
      </w: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84" w:name="scroll-bookmark-689"/>
      <w:bookmarkStart w:id="585" w:name="scroll-bookmark-690"/>
      <w:bookmarkEnd w:id="584"/>
      <w:r>
        <w:t xml:space="preserve">PA665 </w:t>
      </w:r>
      <w:r w:rsidR="00DF0906">
        <w:t>EMFAF</w:t>
      </w:r>
      <w:r>
        <w:t xml:space="preserve"> Ayuda estatal/FEMPA</w:t>
      </w:r>
      <w:bookmarkEnd w:id="585"/>
    </w:p>
    <w:p w:rsidR="00786B3E" w:rsidRDefault="00786B3E" w:rsidP="00786B3E">
      <w:r>
        <w:rPr>
          <w:noProof/>
          <w:lang w:val="es-ES"/>
        </w:rPr>
        <w:drawing>
          <wp:inline distT="0" distB="0" distL="0" distR="0" wp14:anchorId="374F99D5" wp14:editId="03CD550D">
            <wp:extent cx="152435" cy="152435"/>
            <wp:effectExtent l="0" t="0" r="0" b="0"/>
            <wp:docPr id="101175" name="Imagen 1011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10 del Reglamento FEMPA  </w:t>
      </w:r>
    </w:p>
    <w:p w:rsidR="00786B3E" w:rsidRDefault="00786B3E" w:rsidP="00786B3E">
      <w:r>
        <w:rPr>
          <w:noProof/>
          <w:lang w:val="es-ES"/>
        </w:rPr>
        <w:lastRenderedPageBreak/>
        <w:drawing>
          <wp:inline distT="0" distB="0" distL="0" distR="0" wp14:anchorId="774490F0" wp14:editId="1C793064">
            <wp:extent cx="152435" cy="152435"/>
            <wp:effectExtent l="0" t="0" r="0" b="0"/>
            <wp:docPr id="101177" name="Imagen 1011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Francia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Consideramos que la definición del sector pesquero, incluidas las actividades de «transformación y comercialización», que incluye «todas las operaciones de la cadena de manipulación, transformación, producción y distribución que se producen entre el momento de la captura o el desembarque y la fase del producto», — mayoristas (mayoristas que no manipulan el producto), puertos pesqueros, que prestan servicios portuarios antes y después de la comercialización del pescado (aunque nunca sean propietarios del pescado), — mercados de pescados, que participan en la venta y manipulación del producto (aunque nunca </w:t>
      </w:r>
      <w:r>
        <w:rPr>
          <w:u w:val="single"/>
        </w:rPr>
        <w:t>sean propietarios del pescado), forman parte de la industria (el «</w:t>
      </w:r>
      <w:proofErr w:type="spellStart"/>
      <w:r>
        <w:rPr>
          <w:u w:val="single"/>
        </w:rPr>
        <w:t>secteur</w:t>
      </w:r>
      <w:proofErr w:type="spellEnd"/>
      <w:r>
        <w:rPr>
          <w:u w:val="single"/>
        </w:rPr>
        <w:t>»)</w:t>
      </w:r>
      <w:r>
        <w:t>.</w:t>
      </w:r>
    </w:p>
    <w:p w:rsidR="00786B3E" w:rsidRDefault="00786B3E" w:rsidP="00786B3E">
      <w:r>
        <w:t>Sin embargo, su primera respuesta solo menciona «pescadores, acuicultura y transformación».</w:t>
      </w:r>
    </w:p>
    <w:p w:rsidR="00786B3E" w:rsidRDefault="00786B3E" w:rsidP="00786B3E">
      <w:r>
        <w:t>Por otro lado, también se plantea la cuestión de la inclusión en el sector pesquero de las organizaciones profesionales e interprofesionales, y no de los propietarios de los productos, que representan a las empresas de los distintos vínculos del sector. Consideramos que forman parte de la industria, al igual que todas las empresas individuales de dicho sector.</w:t>
      </w:r>
    </w:p>
    <w:p w:rsidR="00786B3E" w:rsidRDefault="00786B3E" w:rsidP="00786B3E">
      <w:r>
        <w:t>En particular, estos: — organizaciones de productores y asociaciones de organizaciones de productores reconocidas en virtud de la organización común de mercados 1379/2013 — organizaciones interprofesionales reconocidas o no en virtud del Reglamento (CE) n.º 1379/2013, — organizaciones representativas de pescadores reconocidas por la legislación nacional (comités de pesca cuyos miembros sean pescadores y otros agentes del sector), — asociaciones profesionales y sindicatos de la pesca, el comercio de pescado, la acuicultura, la transformación, etc.</w:t>
      </w:r>
    </w:p>
    <w:p w:rsidR="00786B3E" w:rsidRDefault="00786B3E" w:rsidP="00786B3E">
      <w:r>
        <w:t>¿Podría confirmar que nuestro análisis es correcto y que su primera respuesta no es exclusiva? Se adjunta del mismo modo una nota elaborada por las regiones sobre este tema.</w:t>
      </w:r>
    </w:p>
    <w:p w:rsidR="00786B3E" w:rsidRDefault="00786B3E" w:rsidP="00786B3E"/>
    <w:p w:rsidR="00786B3E" w:rsidRDefault="00786B3E" w:rsidP="00786B3E">
      <w:pPr>
        <w:pStyle w:val="P68B1DB1-Normal1"/>
      </w:pPr>
      <w:r>
        <w:t>Respuesta.</w:t>
      </w:r>
    </w:p>
    <w:p w:rsidR="00786B3E" w:rsidRDefault="00786B3E" w:rsidP="00786B3E">
      <w:r>
        <w:t>Como se indicó en nuestra respuesta anterior, el apoyo a cualquier actividad relacionada con la producción o el comercio de productos agrícolas (y de la pesca) emprendida por pescadores, productores acuícolas y la transformación de productos de la pesca y la acuicultura no requiere la aprobación de las ayudas estatales cuando sean subvencionables en virtud del artículo 12 del Reglamento FEMPA e incluidas en el programa FEMPA.</w:t>
      </w:r>
    </w:p>
    <w:p w:rsidR="00786B3E" w:rsidRDefault="00786B3E" w:rsidP="00786B3E">
      <w:r>
        <w:t>Esta definición abarca los casos mencionados en su pregunta anterior. Así pues, confirmamos su análisis.</w:t>
      </w:r>
    </w:p>
    <w:p w:rsidR="00786B3E" w:rsidRDefault="00786B3E" w:rsidP="00786B3E"/>
    <w:p w:rsidR="00786B3E" w:rsidRDefault="00786B3E" w:rsidP="00786B3E"/>
    <w:p w:rsidR="00786B3E" w:rsidRDefault="00786B3E" w:rsidP="00786B3E">
      <w:r>
        <w:lastRenderedPageBreak/>
        <w:t>NOTA:</w:t>
      </w:r>
    </w:p>
    <w:p w:rsidR="00786B3E" w:rsidRDefault="00786B3E" w:rsidP="00786B3E">
      <w:r>
        <w:t> </w:t>
      </w: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586" w:name="scroll-bookmark-691"/>
      <w:bookmarkStart w:id="587" w:name="scroll-bookmark-692"/>
      <w:bookmarkEnd w:id="586"/>
      <w:r>
        <w:t xml:space="preserve">QA670: </w:t>
      </w:r>
      <w:r w:rsidR="00DF0906">
        <w:t>EMFAF</w:t>
      </w:r>
      <w:r>
        <w:t xml:space="preserve"> artículo 28, Reglamento (CE) no 2021/1139</w:t>
      </w:r>
      <w:bookmarkEnd w:id="587"/>
    </w:p>
    <w:p w:rsidR="00786B3E" w:rsidRDefault="00786B3E" w:rsidP="00786B3E">
      <w:r>
        <w:rPr>
          <w:noProof/>
          <w:lang w:val="es-ES"/>
        </w:rPr>
        <w:drawing>
          <wp:inline distT="0" distB="0" distL="0" distR="0" wp14:anchorId="704220B3" wp14:editId="33ED71F5">
            <wp:extent cx="152435" cy="152435"/>
            <wp:effectExtent l="0" t="0" r="0" b="0"/>
            <wp:docPr id="101179" name="Imagen 1011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28 del Reglamento FEMPA</w:t>
      </w:r>
    </w:p>
    <w:p w:rsidR="00786B3E" w:rsidRDefault="00786B3E" w:rsidP="00786B3E">
      <w:r>
        <w:rPr>
          <w:noProof/>
          <w:lang w:val="es-ES"/>
        </w:rPr>
        <w:drawing>
          <wp:inline distT="0" distB="0" distL="0" distR="0" wp14:anchorId="37399274" wp14:editId="36B44CCD">
            <wp:extent cx="152435" cy="152435"/>
            <wp:effectExtent l="0" t="0" r="0" b="0"/>
            <wp:docPr id="101181" name="Imagen 1011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ESPAÑA</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El artículo 28 del Reglamento (UE) 2021/1139 establece expresamente: «Para alcanzar el objetivo específico a que se refiere el artículo 26, apartado 1, letra b), del presente Reglamento en lo que respecta a la transformación de los productos de la pesca y la acuicultura, el apoyo a empresas distintas de las pymes solo se concederá a través de los instrumentos financieros previstos en el artículo 58 del Reglamento (UE) 2021/1060 o a través de InvestEU, de conformidad con el artículo 10 del Reglamento (UE) 2021/523».</w:t>
      </w:r>
    </w:p>
    <w:p w:rsidR="00786B3E" w:rsidRDefault="00786B3E" w:rsidP="00786B3E">
      <w:r>
        <w:t>A este respecto, se refiere específicamente a «en lo que respecta a la transformación de los productos de la pesca y la acuicultura», es decir, el apoyo a las grandes empresas de transformación para mejorar sus líneas de producción o para incluir nuevas líneas de productos debe ser objeto de instrumentos financieros. Sin embargo, existe una necesidad importante en las empresas de transformación de llevar a cabo acciones destinadas a la eficiencia energética, como paneles solares, aislamiento adecuado, etc., y todas estas acciones no nos parecen directamente relacionadas con la transformación de los productos de la pesca.</w:t>
      </w:r>
    </w:p>
    <w:p w:rsidR="00786B3E" w:rsidRDefault="00786B3E" w:rsidP="00786B3E">
      <w:r>
        <w:t>Por lo tanto, queríamos confirmar con la DG MARE si las inversiones en eficiencia energética en el ámbito de las grandes empresas pueden apoyarse mediante subvenciones además de los instrumentos financieros en el marco del FEMPA.</w:t>
      </w:r>
    </w:p>
    <w:p w:rsidR="00786B3E" w:rsidRDefault="00786B3E" w:rsidP="00786B3E">
      <w:r>
        <w:lastRenderedPageBreak/>
        <w:t>Ahora, es importante que todos los sectores reduzcan el consumo de energía y los costes de la energía, por lo que sería importante que nuestra interpretación sea correcta y permita subvencionar este tipo de acciones a todas las empresas independientemente de su tamaño.</w:t>
      </w:r>
    </w:p>
    <w:p w:rsidR="00786B3E" w:rsidRDefault="00786B3E" w:rsidP="00786B3E"/>
    <w:p w:rsidR="00786B3E" w:rsidRDefault="00786B3E" w:rsidP="00786B3E">
      <w:pPr>
        <w:pStyle w:val="P68B1DB1-Normal1"/>
      </w:pPr>
      <w:r>
        <w:t>Respuesta.</w:t>
      </w:r>
    </w:p>
    <w:p w:rsidR="00786B3E" w:rsidRDefault="00786B3E" w:rsidP="00786B3E">
      <w:r>
        <w:t>Tal como se establece en el artículo 28 del Reglamento FEMPA, el apoyo a empresas distintas de las pymes solo se concederá a través de instrumentos financieros, tal como se establece en el artículo 58 del Reglamento (UE) 2021/1060, o a través de InvestEU, de conformidad con el artículo 10 del Reglamento (UE) 2021/523, y no mediante subvenciones.</w:t>
      </w:r>
    </w:p>
    <w:p w:rsidR="00786B3E" w:rsidRDefault="00786B3E" w:rsidP="00786B3E">
      <w:r>
        <w:t>El requisito de que las empresas que no sean pymes utilicen instrumentos financieros se extiende, por tanto, no solo a las actividades directas de transformación, sino también a cualquier inversión necesaria que permita la transformación.  Esto incluiría las citadas inversiones eficientes desde el punto de vista energético.</w:t>
      </w:r>
      <w:r>
        <w:rPr>
          <w:i/>
        </w:rPr>
        <w:t xml:space="preserve"> </w:t>
      </w:r>
      <w:r>
        <w:t>Todas las inversiones deben contribuir a la consecución del objetivo específico mencionado en el artículo 26, apartado 1, letra b), a saber</w:t>
      </w:r>
      <w:r>
        <w:rPr>
          <w:i/>
        </w:rPr>
        <w:t xml:space="preserve">, «promover la comercialización, la calidad y el valor añadido de los productos de la pesca y de la acuicultura, así como la transformación </w:t>
      </w:r>
      <w:proofErr w:type="spellStart"/>
      <w:r>
        <w:rPr>
          <w:i/>
        </w:rPr>
        <w:t>de</w:t>
      </w:r>
      <w:r>
        <w:t>dichos</w:t>
      </w:r>
      <w:proofErr w:type="spellEnd"/>
      <w:r>
        <w:t xml:space="preserve"> productos».</w:t>
      </w:r>
    </w:p>
    <w:p w:rsidR="00786B3E" w:rsidRDefault="00786B3E" w:rsidP="00786B3E">
      <w:r>
        <w:t>Cabe señalar que uno de los ejes de InvestEU se dedica a las infraestructuras sostenibles y, en particular, a las energías renovables, la eficiencia energética y los proyectos de renovación de edificios centrados en el ahorro de energía y la integración de los edificios en una fuente de energía conectada, el almacenamiento, el sistema digital y de transporte, mejorando los niveles de interconexión de las infraestructuras energéticas.</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88" w:name="scroll-bookmark-693"/>
      <w:bookmarkStart w:id="589" w:name="scroll-bookmark-694"/>
      <w:bookmarkEnd w:id="588"/>
      <w:r>
        <w:lastRenderedPageBreak/>
        <w:t xml:space="preserve">QA677: </w:t>
      </w:r>
      <w:r w:rsidR="00DF0906">
        <w:t>EMFAF</w:t>
      </w:r>
      <w:r>
        <w:t xml:space="preserve"> Inversiones a bordo de buques pesqueros</w:t>
      </w:r>
      <w:bookmarkEnd w:id="589"/>
    </w:p>
    <w:p w:rsidR="00786B3E" w:rsidRDefault="00786B3E" w:rsidP="00786B3E">
      <w:r>
        <w:rPr>
          <w:noProof/>
          <w:lang w:val="es-ES"/>
        </w:rPr>
        <w:drawing>
          <wp:inline distT="0" distB="0" distL="0" distR="0" wp14:anchorId="3DF31416" wp14:editId="31567200">
            <wp:extent cx="152435" cy="152435"/>
            <wp:effectExtent l="0" t="0" r="0" b="0"/>
            <wp:docPr id="101183" name="Imagen 1011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letra l), del Reglamento (UE) 2021/1139.</w:t>
      </w:r>
    </w:p>
    <w:p w:rsidR="00786B3E" w:rsidRDefault="00786B3E" w:rsidP="00786B3E">
      <w:r>
        <w:rPr>
          <w:noProof/>
          <w:lang w:val="es-ES"/>
        </w:rPr>
        <w:drawing>
          <wp:inline distT="0" distB="0" distL="0" distR="0" wp14:anchorId="5C6033F4" wp14:editId="71B5FC31">
            <wp:extent cx="152435" cy="152435"/>
            <wp:effectExtent l="0" t="0" r="0" b="0"/>
            <wp:docPr id="101185" name="Imagen 1011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Agradeceríamos que se aclare la aplicación del artículo 13, letra l), del Reglamento (CE) no 2021/1139, que establece lo siguiente:</w:t>
      </w:r>
    </w:p>
    <w:p w:rsidR="00786B3E" w:rsidRDefault="00786B3E" w:rsidP="00786B3E">
      <w:pPr>
        <w:pStyle w:val="P68B1DB1-Normal4"/>
      </w:pPr>
      <w:r>
        <w:t>Las siguientes operaciones o gastos no podrán optar a ayudas con cargo al FEMPA:</w:t>
      </w:r>
    </w:p>
    <w:p w:rsidR="00786B3E" w:rsidRDefault="00786B3E" w:rsidP="00786B3E">
      <w:pPr>
        <w:pStyle w:val="P68B1DB1-Normal4"/>
      </w:pPr>
      <w:r>
        <w:t>L) Inversiones a bordo de buques pesqueros que hayan llevado a cabo actividades pesqueras durante menos de 60 días en los dos años civiles anteriores al año de presentación de la solicitud de ayuda.</w:t>
      </w:r>
    </w:p>
    <w:p w:rsidR="00786B3E" w:rsidRDefault="00786B3E" w:rsidP="00786B3E">
      <w:r>
        <w:t>Como ustedes saben, hemos previsto apoyar la adquisición de derechos de pesca para determinados tipos de pesca en el marco de un régimen excepcional (régimen de recompras). Tal como se define en nuestro programa, esta ayuda está prevista como una compensación para los pescadores por sus derechos de pesca con la intención de eliminar gradualmente las pesquerías respectivas en el marco de un régimen excepcional. Además, como saben, este régimen es bastante específico y está relacionado con tipos específicos de pesca que están sujetos a restricciones en el contexto de la actividad pesquera. </w:t>
      </w:r>
    </w:p>
    <w:p w:rsidR="00786B3E" w:rsidRDefault="00786B3E" w:rsidP="00786B3E">
      <w:r>
        <w:t>Por lo tanto, entendemos que la disposición del artículo 13, letra l), no debe aplicarse en este caso/este tipo de acción teniendo en cuenta que las operaciones que se van a apoyar no son inversiones a bordo de buques pesqueros. No obstante, para estar en un lado seguro, le agradeceríamos que confirmara nuestra comprensión sobre la aplicabilidad del artículo 13, letra l), para este tipo de acción.  </w:t>
      </w:r>
    </w:p>
    <w:p w:rsidR="00786B3E" w:rsidRDefault="00786B3E" w:rsidP="00786B3E"/>
    <w:p w:rsidR="00786B3E" w:rsidRDefault="00786B3E" w:rsidP="00786B3E">
      <w:pPr>
        <w:pStyle w:val="P68B1DB1-Normal1"/>
      </w:pPr>
      <w:r>
        <w:t>Respuesta.</w:t>
      </w:r>
    </w:p>
    <w:p w:rsidR="00786B3E" w:rsidRDefault="00786B3E" w:rsidP="00786B3E">
      <w:r>
        <w:t>De conformidad con el artículo 13, letra l), del Reglamento (UE) 2021/1139, la ayuda para la compra de derechos de pesca no es una inversión a bordo de buques pesqueros, por lo que los operadores no necesitan demostrar que han llevado a cabo actividades pesqueras durante menos de 60 días en los dos años civiles anteriores al año de presentación de la solicitud de ayuda.</w:t>
      </w:r>
    </w:p>
    <w:p w:rsidR="00786B3E" w:rsidRDefault="00786B3E" w:rsidP="00786B3E"/>
    <w:p w:rsidR="00786B3E" w:rsidRDefault="00786B3E" w:rsidP="00786B3E"/>
    <w:p w:rsidR="00786B3E" w:rsidRDefault="00786B3E" w:rsidP="00786B3E"/>
    <w:p w:rsidR="00786B3E" w:rsidRDefault="00786B3E" w:rsidP="00786B3E">
      <w:pPr>
        <w:pStyle w:val="Ttulo1"/>
      </w:pPr>
      <w:bookmarkStart w:id="590" w:name="scroll-bookmark-695"/>
      <w:bookmarkStart w:id="591" w:name="scroll-bookmark-696"/>
      <w:bookmarkEnd w:id="590"/>
      <w:r>
        <w:lastRenderedPageBreak/>
        <w:t xml:space="preserve">QA679: </w:t>
      </w:r>
      <w:r w:rsidR="00DF0906">
        <w:t>EMFAF</w:t>
      </w:r>
      <w:r>
        <w:t xml:space="preserve"> Estado de avance de las operaciones en INFOSYS</w:t>
      </w:r>
      <w:bookmarkEnd w:id="591"/>
    </w:p>
    <w:p w:rsidR="00786B3E" w:rsidRDefault="00786B3E" w:rsidP="00786B3E">
      <w:r>
        <w:rPr>
          <w:noProof/>
          <w:lang w:val="es-ES"/>
        </w:rPr>
        <w:drawing>
          <wp:inline distT="0" distB="0" distL="0" distR="0" wp14:anchorId="6D98DADC" wp14:editId="1C111BE4">
            <wp:extent cx="152435" cy="152435"/>
            <wp:effectExtent l="0" t="0" r="0" b="0"/>
            <wp:docPr id="101187" name="Imagen 1011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Reglamento de Ejecución (UE) 2022/79 de la Comisión; </w:t>
      </w:r>
      <w:r>
        <w:rPr>
          <w:i/>
        </w:rPr>
        <w:t>Artículo 46 del Reglamento FEMPA</w:t>
      </w:r>
    </w:p>
    <w:p w:rsidR="00786B3E" w:rsidRDefault="00786B3E" w:rsidP="00786B3E"/>
    <w:p w:rsidR="00786B3E" w:rsidRDefault="00786B3E" w:rsidP="00786B3E">
      <w:r>
        <w:rPr>
          <w:noProof/>
          <w:lang w:val="es-ES"/>
        </w:rPr>
        <w:drawing>
          <wp:inline distT="0" distB="0" distL="0" distR="0" wp14:anchorId="5767B7F1" wp14:editId="410888A5">
            <wp:extent cx="152435" cy="152435"/>
            <wp:effectExtent l="0" t="0" r="0" b="0"/>
            <wp:docPr id="101189" name="Imagen 1011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En el Reglamento de Ejecución (UE) 2022/79 de la Comisión; anexo II; en el cuadro 6 se enumeran los distintos estados de progreso. El número 3 de los Estados ha planteado algunas preguntas. Una propuesta de interpretación sería:</w:t>
      </w:r>
    </w:p>
    <w:p w:rsidR="00786B3E" w:rsidRDefault="00786B3E" w:rsidP="00786B3E">
      <w:r>
        <w:t>Pago final concedido, pero los costes totales acaban siendo inferiores a lo previsto o algunos costes se rechazan durante las solicitudes de pago. ¿Qué se entiende por Estado 3?</w:t>
      </w:r>
    </w:p>
    <w:p w:rsidR="00786B3E" w:rsidRDefault="00786B3E" w:rsidP="00786B3E">
      <w:r>
        <w:t>(«03. Operación plenamente ejecutada (pero para la cual no se han pagado necesariamente todos los gastos al beneficiario)</w:t>
      </w:r>
    </w:p>
    <w:p w:rsidR="00786B3E" w:rsidRDefault="00786B3E" w:rsidP="00786B3E"/>
    <w:p w:rsidR="00786B3E" w:rsidRDefault="00786B3E" w:rsidP="00786B3E">
      <w:pPr>
        <w:pStyle w:val="P68B1DB1-Normal1"/>
      </w:pPr>
      <w:r>
        <w:t>Respuesta.</w:t>
      </w:r>
    </w:p>
    <w:p w:rsidR="00786B3E" w:rsidRDefault="00786B3E" w:rsidP="00786B3E">
      <w:r>
        <w:t>El RCDI (UE) 2022/79 establece normas para el registro de los datos de aplicación a nivel de operación (</w:t>
      </w:r>
      <w:proofErr w:type="spellStart"/>
      <w:r>
        <w:t>Infosys</w:t>
      </w:r>
      <w:proofErr w:type="spellEnd"/>
      <w:r>
        <w:t>). En el campo 16, las autoridades de gestión deben notificar el estado de la operación. Existen cinco opciones posibles (cuadro 6 del anexo II del Reglamento (UE) 2022/79).</w:t>
      </w:r>
    </w:p>
    <w:p w:rsidR="00786B3E" w:rsidRDefault="00786B3E" w:rsidP="00786B3E"/>
    <w:p w:rsidR="00786B3E" w:rsidRDefault="00786B3E" w:rsidP="00786B3E">
      <w:r>
        <w:t xml:space="preserve">El código 03 corresponde a «Operación plenamente ejecutada (pero para la cual no se han pagado necesariamente todos los gastos al beneficiario). La experiencia con el FEP y el FEMP puso de manifiesto que, en algunos casos, hay retrasos significativos entre la finalización física de una operación y el pago final al beneficiario. Este reto se abordó mediante la introducción del código 03. El código 03 permite contabilizar como ejecutada también una operación que se ha completado físicamente, pero que aún no se ha pagado </w:t>
      </w:r>
      <w:proofErr w:type="gramStart"/>
      <w:r>
        <w:t>toda la ayuda debido</w:t>
      </w:r>
      <w:proofErr w:type="gramEnd"/>
      <w:r>
        <w:t>, por ejemplo, a procedimientos administrativos. El código 03, junto con el código 04 (operación completada), permite una precisión más precisa:</w:t>
      </w:r>
    </w:p>
    <w:p w:rsidR="00786B3E" w:rsidRDefault="00786B3E" w:rsidP="00786B3E">
      <w:pPr>
        <w:numPr>
          <w:ilvl w:val="0"/>
          <w:numId w:val="260"/>
        </w:numPr>
      </w:pPr>
      <w:r>
        <w:t xml:space="preserve">Datos agregados de aplicación del FEMPA </w:t>
      </w:r>
      <w:proofErr w:type="spellStart"/>
      <w:r>
        <w:t>Infosys</w:t>
      </w:r>
      <w:proofErr w:type="spellEnd"/>
    </w:p>
    <w:p w:rsidR="00786B3E" w:rsidRDefault="00786B3E" w:rsidP="00786B3E">
      <w:pPr>
        <w:numPr>
          <w:ilvl w:val="0"/>
          <w:numId w:val="260"/>
        </w:numPr>
      </w:pPr>
      <w:r>
        <w:t xml:space="preserve">valor de notificación del indicador de realización «Operaciones ejecutadas» del cuadro 5 del anexo VII del RDC; se contabilizarán ambas operaciones con los códigos </w:t>
      </w:r>
      <w:proofErr w:type="spellStart"/>
      <w:r>
        <w:t>Infosys</w:t>
      </w:r>
      <w:proofErr w:type="spellEnd"/>
      <w:r>
        <w:t xml:space="preserve"> 03 y 04.</w:t>
      </w:r>
    </w:p>
    <w:p w:rsidR="00786B3E" w:rsidRDefault="00786B3E" w:rsidP="00786B3E"/>
    <w:p w:rsidR="00786B3E" w:rsidRDefault="00786B3E" w:rsidP="00786B3E">
      <w:r>
        <w:lastRenderedPageBreak/>
        <w:t>La elección del estado de avance de la operación no está vinculada a la relación entre los pagos totales al beneficiario y el importe de la subvención aprobado (fondos comprometidos). En otras palabras, el objetivo del código 03 no es distinguir las operaciones en las que el pago total es inferior al compromiso (en su ejemplo, debido a costes inferiores a lo esperado o a algunos costes rechazados).</w:t>
      </w:r>
    </w:p>
    <w:p w:rsidR="00786B3E" w:rsidRDefault="00786B3E" w:rsidP="00786B3E"/>
    <w:p w:rsidR="00786B3E" w:rsidRDefault="00786B3E" w:rsidP="00786B3E">
      <w:pPr>
        <w:pStyle w:val="P68B1DB1-Normal4"/>
      </w:pPr>
      <w:r>
        <w:t>NOTA:</w:t>
      </w:r>
    </w:p>
    <w:p w:rsidR="00786B3E" w:rsidRDefault="00786B3E" w:rsidP="00786B3E">
      <w:r>
        <w:t> </w:t>
      </w: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92" w:name="scroll-bookmark-697"/>
      <w:bookmarkStart w:id="593" w:name="scroll-bookmark-698"/>
      <w:bookmarkEnd w:id="592"/>
      <w:r>
        <w:t xml:space="preserve">PA680 </w:t>
      </w:r>
      <w:r w:rsidR="00DF0906">
        <w:t>EMFAF</w:t>
      </w:r>
      <w:r>
        <w:t xml:space="preserve"> EMFAF/Ayuda estatal</w:t>
      </w:r>
      <w:bookmarkEnd w:id="593"/>
    </w:p>
    <w:p w:rsidR="00786B3E" w:rsidRDefault="00786B3E" w:rsidP="00786B3E">
      <w:r>
        <w:rPr>
          <w:noProof/>
          <w:lang w:val="es-ES"/>
        </w:rPr>
        <w:drawing>
          <wp:inline distT="0" distB="0" distL="0" distR="0" wp14:anchorId="7F6EF196" wp14:editId="5E370AEA">
            <wp:extent cx="152435" cy="152435"/>
            <wp:effectExtent l="0" t="0" r="0" b="0"/>
            <wp:docPr id="101191" name="Imagen 1011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10 del Reglamento FEMPA</w:t>
      </w:r>
    </w:p>
    <w:p w:rsidR="00786B3E" w:rsidRDefault="00786B3E" w:rsidP="00786B3E">
      <w:r>
        <w:rPr>
          <w:noProof/>
          <w:lang w:val="es-ES"/>
        </w:rPr>
        <w:drawing>
          <wp:inline distT="0" distB="0" distL="0" distR="0" wp14:anchorId="00AAA3EE" wp14:editId="2D5F8AAC">
            <wp:extent cx="152435" cy="152435"/>
            <wp:effectExtent l="0" t="0" r="0" b="0"/>
            <wp:docPr id="101193" name="Imagen 1011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FI</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De conformidad con el artículo 10, apartado 2, del Reglamento FEMPA, las normas sobre ayudas estatales no se aplican a los pagos de los programas operativos nacionales del FEMPA si entran en el ámbito de aplicación del artículo 42 del TFUE. Lo hemos interpretado de manera que los productos enumerados en el anexo 1 (lista mencionada en el artículo 38 del Tratado de Funcionamiento de la Unión Europea) están exentos de las normas sobre ayudas estatales.</w:t>
      </w:r>
    </w:p>
    <w:p w:rsidR="00786B3E" w:rsidRDefault="00786B3E" w:rsidP="00786B3E"/>
    <w:p w:rsidR="00786B3E" w:rsidRDefault="00786B3E" w:rsidP="00786B3E">
      <w:r>
        <w:t>El anexo 1 reconoce los siguientes productos acuáticos:</w:t>
      </w:r>
    </w:p>
    <w:p w:rsidR="00786B3E" w:rsidRDefault="00786B3E" w:rsidP="00786B3E">
      <w:r>
        <w:t>— Capítulo 1: Capítulo</w:t>
      </w:r>
    </w:p>
    <w:p w:rsidR="00786B3E" w:rsidRDefault="00786B3E" w:rsidP="00786B3E">
      <w:r>
        <w:t>— Capítulo 3: Pescados, crustáceos y moluscos</w:t>
      </w:r>
    </w:p>
    <w:p w:rsidR="00786B3E" w:rsidRDefault="00786B3E" w:rsidP="00786B3E">
      <w:r>
        <w:t>— 05.15: Productos de origen animal no expresados ni comprendidos en otra parte. Animales muertos de los capítulos 1 o 3 impropios para la alimentación humana</w:t>
      </w:r>
    </w:p>
    <w:p w:rsidR="00786B3E" w:rsidRDefault="00786B3E" w:rsidP="00786B3E">
      <w:r>
        <w:lastRenderedPageBreak/>
        <w:t>— 15.04: Grasas y aceites de pescado y mamíferos marinos, incluso refinados</w:t>
      </w:r>
    </w:p>
    <w:p w:rsidR="00786B3E" w:rsidRDefault="00786B3E" w:rsidP="00786B3E">
      <w:r>
        <w:t>— Capítulo 16: Preparaciones de carne, pescado, crustáceos o moluscos</w:t>
      </w:r>
    </w:p>
    <w:p w:rsidR="00786B3E" w:rsidRDefault="00786B3E" w:rsidP="00786B3E">
      <w:r>
        <w:t>— Capítulo 23: Residuos y desperdicios de las industrias alimenticias; forrajes preparados para animales</w:t>
      </w:r>
    </w:p>
    <w:p w:rsidR="00786B3E" w:rsidRDefault="00786B3E" w:rsidP="00786B3E"/>
    <w:p w:rsidR="00786B3E" w:rsidRDefault="00786B3E" w:rsidP="00786B3E">
      <w:r>
        <w:t xml:space="preserve">El anexo 1 no reconoce directamente las algas. Sin embargo, interpretamos que las </w:t>
      </w:r>
      <w:proofErr w:type="spellStart"/>
      <w:r>
        <w:t>macroalgas</w:t>
      </w:r>
      <w:proofErr w:type="spellEnd"/>
      <w:r>
        <w:t xml:space="preserve"> entran en el capítulo 6 («Capítulo 6: Plantas vivas, bulbos, raíces y similares; flores cortadas y follaje ornamental») y puede apoyarse en el FEMPA. O, ¿deberían los Estados miembros seguir las normas sobre ayudas estatales si desean apoyar el cultivo de algas en el marco de los programas operativos del FEMPA?</w:t>
      </w:r>
    </w:p>
    <w:p w:rsidR="00786B3E" w:rsidRDefault="00786B3E" w:rsidP="00786B3E"/>
    <w:p w:rsidR="00786B3E" w:rsidRDefault="00786B3E" w:rsidP="00786B3E">
      <w:r>
        <w:t>Además, es necesaria una interpretación en relación con los productos de alto valor. Uno de los objetivos del programa del FEMPA finlandés es aumentar el grado de transformación de los peces y los flujos secundarios. En la actualidad, los estudios piloto demuestran que puede ser posible y viable utilizar flujos secundarios de la industria de transformación del pescado, así como peces infrautilizados o de escaso valor, y producir productos de alto valor (como gelatina, minerales, enzimas, complementos dietéticos o medicamentos). Estos tipos de productos no figuran en el anexo 1. Si deben aplicarse las normas sobre ayudas estatales, ¿deberíamos seguir las normas sobre ayudas estatales en el sector pesquero o las normas generales sobre ayudas estatales relativas a la transformación de productos de alto valor?</w:t>
      </w:r>
    </w:p>
    <w:p w:rsidR="00786B3E" w:rsidRDefault="00786B3E" w:rsidP="00786B3E"/>
    <w:p w:rsidR="00786B3E" w:rsidRDefault="00786B3E" w:rsidP="00786B3E">
      <w:pPr>
        <w:pStyle w:val="P68B1DB1-Normal1"/>
      </w:pPr>
      <w:r>
        <w:t>Respuesta.</w:t>
      </w:r>
    </w:p>
    <w:p w:rsidR="00786B3E" w:rsidRDefault="00786B3E" w:rsidP="00786B3E">
      <w:r>
        <w:t xml:space="preserve">La interpretación del artículo 10, apartado 2, es correcta. El artículo 10, apartado 2, del FEMPA establece que las normas sobre ayudas estatales no se aplican a los pagos efectuados por los Estados miembros en virtud del </w:t>
      </w:r>
      <w:r>
        <w:rPr>
          <w:u w:val="single"/>
        </w:rPr>
        <w:t>Reglamento</w:t>
      </w:r>
      <w:r>
        <w:t xml:space="preserve"> FEMPA y que entran en el ámbito de aplicación del artículo 42 del TFUE.</w:t>
      </w:r>
    </w:p>
    <w:p w:rsidR="00786B3E" w:rsidRDefault="00786B3E" w:rsidP="00786B3E"/>
    <w:p w:rsidR="00786B3E" w:rsidRDefault="00786B3E" w:rsidP="00786B3E">
      <w:r>
        <w:t xml:space="preserve">Sin embargo, cuando las ayudas se conceden </w:t>
      </w:r>
      <w:r>
        <w:rPr>
          <w:u w:val="single"/>
        </w:rPr>
        <w:t>al</w:t>
      </w:r>
      <w:r>
        <w:t xml:space="preserve"> margen del Reglamento FEMPA (es decir, solo financiación nacional), siempre se aplican las normas sobre ayudas estatales. Por consiguiente, las ayudas relativas a los productos enumerados en el anexo I del TFUE no están exentas de las normas sobre ayudas estatales si se conceden al margen del Reglamento FEMPA.</w:t>
      </w:r>
    </w:p>
    <w:p w:rsidR="00786B3E" w:rsidRDefault="00786B3E" w:rsidP="00786B3E"/>
    <w:p w:rsidR="00786B3E" w:rsidRDefault="00786B3E" w:rsidP="00786B3E">
      <w:r>
        <w:t>Por otra parte, las normas sobre ayudas estatales siempre se aplican a las ayudas concedidas dentro o fuera del Reglamento FEMPA, cuando la ayuda queda fuera del ámbito de aplicación del artículo 42 del TFUE.</w:t>
      </w:r>
    </w:p>
    <w:p w:rsidR="00786B3E" w:rsidRDefault="00786B3E" w:rsidP="00786B3E"/>
    <w:p w:rsidR="00786B3E" w:rsidRDefault="00786B3E" w:rsidP="00786B3E">
      <w:r>
        <w:t xml:space="preserve">Por lo que se refiere a las algas, la interpretación del FI no es correcta. Las algas no entran en el capítulo 6, sino en el capítulo 12 de la Nomenclatura de Bruselas, tal como se contempla en el anexo I del TFUE. El número arancelario del código aduanero (por </w:t>
      </w:r>
      <w:r>
        <w:lastRenderedPageBreak/>
        <w:t>ejemplo, el código TARIC) procede del Reglamento (CEE) n.º 2658/87 del Consejo, de 23 de julio de 1987, por el que se establece una nomenclatura, conocida como «nomenclatura combinada», basada en el Convenio Internacional del Sistema Armonizado de Designación y Codificación de Mercancías, conocida como «el Sistema Armonizado» o abreviada del «SA». Las algas tienen el código 1212 21 00, que figura en la partida 1212, por ejemplo, en el capítulo 12 «semillas y frutos oleaginosos; granos, semillas y frutos diversos; plantas industriales o medicinales; por lo tanto, la paja y los forrajes se tratan legalmente como «plantas».</w:t>
      </w:r>
    </w:p>
    <w:p w:rsidR="00786B3E" w:rsidRDefault="00786B3E" w:rsidP="00786B3E"/>
    <w:p w:rsidR="00786B3E" w:rsidRDefault="00786B3E" w:rsidP="00786B3E">
      <w:r>
        <w:t>Si los Estados miembros tienen la intención de apoyar el cultivo de algas en el marco del FEMPA, no se aplican las normas sobre ayudas estatales. Si los Estados miembros tienen la intención de apoyar la cría de algas fuera del FEMPA, la ayuda entra en el ámbito de aplicación del artículo 42 del TFUE y se aplican las normas sobre ayudas estatales en el sector pesquero. El Reglamento de la OCM de la pesca incluye las algas como parte de los productos de la pesca y de la acuicultura (anexo I del Reglamento (CE) no 1379/2013, que hace referencia al código NC 1212 20 00 «</w:t>
      </w:r>
      <w:proofErr w:type="spellStart"/>
      <w:r>
        <w:t>Seaweds</w:t>
      </w:r>
      <w:proofErr w:type="spellEnd"/>
      <w:r>
        <w:t xml:space="preserve"> y otras algas»).</w:t>
      </w:r>
    </w:p>
    <w:p w:rsidR="00786B3E" w:rsidRDefault="00786B3E" w:rsidP="00786B3E"/>
    <w:p w:rsidR="00786B3E" w:rsidRDefault="00786B3E" w:rsidP="00786B3E">
      <w:r>
        <w:t>En cuanto a la cuestión de la clasificación de productos como la gelatina, los minerales, las enzimas, los complementos dietéticos o los medicamentos, dado que la descripción es muy general, es difícil determinar dónde se clasificarían los productos. Sin información detallada sobre un producto específico no podemos dar una respuesta definitiva.</w:t>
      </w:r>
    </w:p>
    <w:p w:rsidR="00786B3E" w:rsidRDefault="00786B3E" w:rsidP="00786B3E"/>
    <w:p w:rsidR="00786B3E" w:rsidRDefault="00786B3E" w:rsidP="00786B3E">
      <w:r>
        <w:t>No obstante, podemos informarle de que:</w:t>
      </w:r>
    </w:p>
    <w:p w:rsidR="00786B3E" w:rsidRDefault="00786B3E" w:rsidP="00786B3E"/>
    <w:p w:rsidR="00786B3E" w:rsidRDefault="00786B3E" w:rsidP="00786B3E">
      <w:pPr>
        <w:numPr>
          <w:ilvl w:val="0"/>
          <w:numId w:val="261"/>
        </w:numPr>
      </w:pPr>
      <w:r>
        <w:t>La gelatina se clasifica principalmente en el código NC 3503 00 10 [gelatina (incluida la gelatina en hojas cuadradas o rectangulares, incluso trabajada en la superficie o coloreada) y sus derivados] o en el código NC 9602 00 00 [gelatina sin endurecer trabajada (excepto la de la partida 3503)].</w:t>
      </w:r>
    </w:p>
    <w:p w:rsidR="00786B3E" w:rsidRDefault="00786B3E" w:rsidP="00786B3E">
      <w:pPr>
        <w:numPr>
          <w:ilvl w:val="0"/>
          <w:numId w:val="262"/>
        </w:numPr>
      </w:pPr>
      <w:r>
        <w:t>Por lo general, los minerales están cubiertos por los capítulos 25 o 28.</w:t>
      </w:r>
    </w:p>
    <w:p w:rsidR="00786B3E" w:rsidRDefault="00786B3E" w:rsidP="00786B3E">
      <w:pPr>
        <w:numPr>
          <w:ilvl w:val="0"/>
          <w:numId w:val="263"/>
        </w:numPr>
      </w:pPr>
      <w:r>
        <w:t>Las enzimas se clasifican generalmente en la partida 3507.</w:t>
      </w:r>
    </w:p>
    <w:p w:rsidR="00786B3E" w:rsidRDefault="00786B3E" w:rsidP="00786B3E">
      <w:pPr>
        <w:numPr>
          <w:ilvl w:val="0"/>
          <w:numId w:val="264"/>
        </w:numPr>
      </w:pPr>
      <w:r>
        <w:t>Los complementos dietéticos deben clasificarse según la composición y los procesos de producción y, por tanto, pueden clasificarse, por ejemplo, en los capítulos 12, 15, 16, 21 o 22. Por lo que se refiere, por ejemplo, a los complementos a base de cápsulas de aceite de pescado, la mayoría de los casos se clasifican en la partida 2106 o en la partida 3004, en función de su composición, dosificación y forma de presentación.</w:t>
      </w:r>
    </w:p>
    <w:p w:rsidR="00786B3E" w:rsidRDefault="00786B3E" w:rsidP="00786B3E">
      <w:pPr>
        <w:numPr>
          <w:ilvl w:val="0"/>
          <w:numId w:val="265"/>
        </w:numPr>
      </w:pPr>
      <w:r>
        <w:t>Los medicamentos pueden clasificarse en los capítulos 21, 30, 22 o 33 en función de la composición, la transformación, la forma en que se presenten, cuando proceda, etc.</w:t>
      </w:r>
    </w:p>
    <w:p w:rsidR="00786B3E" w:rsidRDefault="00786B3E" w:rsidP="00786B3E"/>
    <w:p w:rsidR="00786B3E" w:rsidRDefault="00786B3E" w:rsidP="00786B3E">
      <w:r>
        <w:lastRenderedPageBreak/>
        <w:t>En general, podría concluirse, por tanto, que las categorías de productos 1 a 3 quedan fuera del ámbito de aplicación del anexo I del TFUE. Sin embargo, como se ha indicado anteriormente, se requiere información detallada sobre productos específicos para proporcionar una respuesta definitiva, y la respuesta anterior no es más que una orientación.</w:t>
      </w:r>
    </w:p>
    <w:p w:rsidR="00786B3E" w:rsidRDefault="00786B3E" w:rsidP="00786B3E"/>
    <w:p w:rsidR="00786B3E" w:rsidRDefault="00786B3E" w:rsidP="00786B3E">
      <w:r>
        <w:t>Por lo que se refiere a las categorías de productos 4 a 5, la clasificación en la nomenclatura combinada solo puede evaluarse caso por caso teniendo en cuenta todas las características de un producto específico (por ejemplo, cápsulas de aceite de pescado con información sobre la composición y la forma en que se presentan).</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94" w:name="scroll-bookmark-699"/>
      <w:bookmarkStart w:id="595" w:name="scroll-bookmark-700"/>
      <w:bookmarkEnd w:id="594"/>
      <w:r>
        <w:t xml:space="preserve">QA687 </w:t>
      </w:r>
      <w:r w:rsidR="00DF0906">
        <w:t>EMFAF</w:t>
      </w:r>
      <w:r>
        <w:t xml:space="preserve"> Beneficiarios colectivos — empresarios acuícolas</w:t>
      </w:r>
      <w:bookmarkEnd w:id="595"/>
    </w:p>
    <w:p w:rsidR="00786B3E" w:rsidRDefault="00786B3E" w:rsidP="00786B3E">
      <w:r>
        <w:rPr>
          <w:noProof/>
          <w:lang w:val="es-ES"/>
        </w:rPr>
        <w:drawing>
          <wp:inline distT="0" distB="0" distL="0" distR="0" wp14:anchorId="4557BE94" wp14:editId="52370DCB">
            <wp:extent cx="152435" cy="152435"/>
            <wp:effectExtent l="0" t="0" r="0" b="0"/>
            <wp:docPr id="101195" name="Imagen 1011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III FEMPA </w:t>
      </w:r>
    </w:p>
    <w:p w:rsidR="00786B3E" w:rsidRDefault="00786B3E" w:rsidP="00786B3E">
      <w:r>
        <w:rPr>
          <w:noProof/>
          <w:lang w:val="es-ES"/>
        </w:rPr>
        <w:drawing>
          <wp:inline distT="0" distB="0" distL="0" distR="0" wp14:anchorId="2518F49F" wp14:editId="496D435D">
            <wp:extent cx="152435" cy="152435"/>
            <wp:effectExtent l="0" t="0" r="0" b="0"/>
            <wp:docPr id="101197" name="Imagen 1011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786B3E" w:rsidRDefault="00786B3E" w:rsidP="00786B3E"/>
    <w:p w:rsidR="00786B3E" w:rsidRDefault="00786B3E" w:rsidP="00786B3E">
      <w:pPr>
        <w:pStyle w:val="P68B1DB1-Normal1"/>
      </w:pPr>
      <w:r>
        <w:br/>
        <w:t>Preguntas (incluidos los hechos y la información pertinentes):</w:t>
      </w:r>
    </w:p>
    <w:p w:rsidR="00786B3E" w:rsidRDefault="00786B3E" w:rsidP="00786B3E">
      <w:pPr>
        <w:numPr>
          <w:ilvl w:val="0"/>
          <w:numId w:val="266"/>
        </w:numPr>
      </w:pPr>
      <w:r>
        <w:t>¿Es una cooperativa de empresarios acuícolas un «beneficiario colectivo» en el sentido del anexo III del Reglamento FEMPA?</w:t>
      </w:r>
    </w:p>
    <w:p w:rsidR="00786B3E" w:rsidRDefault="00786B3E" w:rsidP="00786B3E">
      <w:pPr>
        <w:numPr>
          <w:ilvl w:val="0"/>
          <w:numId w:val="266"/>
        </w:numPr>
      </w:pPr>
      <w:r>
        <w:t xml:space="preserve">¿Puede una «sociedad anónima», una sociedad anónima o una sociedad anónima (capital social) (die </w:t>
      </w:r>
      <w:proofErr w:type="spellStart"/>
      <w:r>
        <w:t>Aktiengon</w:t>
      </w:r>
      <w:proofErr w:type="spellEnd"/>
      <w:r>
        <w:t xml:space="preserve"> </w:t>
      </w:r>
      <w:proofErr w:type="spellStart"/>
      <w:r>
        <w:t>schaft</w:t>
      </w:r>
      <w:proofErr w:type="spellEnd"/>
      <w:r>
        <w:t>-AG) ser también un «beneficiario colectivo» en el sentido del anexo III del Reglamento FEMPA?</w:t>
      </w:r>
    </w:p>
    <w:p w:rsidR="00786B3E" w:rsidRDefault="00786B3E" w:rsidP="00786B3E">
      <w:pPr>
        <w:numPr>
          <w:ilvl w:val="0"/>
          <w:numId w:val="266"/>
        </w:numPr>
      </w:pPr>
      <w:r>
        <w:t xml:space="preserve">¿Sigue siendo la cooperativa o la sociedad anónima un «beneficiario colectivo» en el sentido del anexo III del Reglamento </w:t>
      </w:r>
      <w:proofErr w:type="gramStart"/>
      <w:r>
        <w:t>FEMPA</w:t>
      </w:r>
      <w:proofErr w:type="gramEnd"/>
      <w:r>
        <w:t xml:space="preserve"> aunque uno o varios socios o </w:t>
      </w:r>
      <w:r>
        <w:lastRenderedPageBreak/>
        <w:t>accionistas dejen de ser trabajadores por cuenta propia como empresarios del sector de la acuicultura?</w:t>
      </w:r>
    </w:p>
    <w:p w:rsidR="00786B3E" w:rsidRDefault="00786B3E" w:rsidP="00786B3E">
      <w:pPr>
        <w:numPr>
          <w:ilvl w:val="0"/>
          <w:numId w:val="266"/>
        </w:numPr>
      </w:pPr>
      <w:r>
        <w:t xml:space="preserve">¿Sigue siendo la cooperativa o la sociedad anónima un «beneficiario colectivo» en el sentido del anexo III del Reglamento </w:t>
      </w:r>
      <w:proofErr w:type="gramStart"/>
      <w:r>
        <w:t>FEMPA</w:t>
      </w:r>
      <w:proofErr w:type="gramEnd"/>
      <w:r>
        <w:t xml:space="preserve"> aunque uno o varios socios o accionistas no cesen su actividad por cuenta propia como empresarios acuícolas?</w:t>
      </w:r>
    </w:p>
    <w:p w:rsidR="00786B3E" w:rsidRDefault="00786B3E" w:rsidP="00786B3E"/>
    <w:p w:rsidR="00786B3E" w:rsidRDefault="00786B3E" w:rsidP="00786B3E">
      <w:pPr>
        <w:pStyle w:val="P68B1DB1-Normal1"/>
      </w:pPr>
      <w:r>
        <w:t>Respuestas:</w:t>
      </w:r>
    </w:p>
    <w:p w:rsidR="00786B3E" w:rsidRDefault="00786B3E" w:rsidP="00786B3E">
      <w:pPr>
        <w:numPr>
          <w:ilvl w:val="0"/>
          <w:numId w:val="267"/>
        </w:numPr>
      </w:pPr>
      <w:r>
        <w:t>El término «beneficiario colectivo», utilizado en el anexo III del Reglamento FEMPA (en lo sucesivo, «el anexo III del FEMPA»), debe entenderse referido a una organización reconocida por la autoridad responsable como representante de los intereses de sus miembros, de un grupo de partes interesadas o del público en general. Es responsabilidad de las autoridades de los Estados miembros verificar que una cooperativa de empresas acuícolas a que se refiere la legislación nacional se ajusta a la definición antes mencionada en relación con el anexo III del FEMPA. El beneficiario es siempre la propia organización colectiva y no sus miembros.</w:t>
      </w:r>
    </w:p>
    <w:p w:rsidR="00786B3E" w:rsidRDefault="00786B3E" w:rsidP="00786B3E">
      <w:pPr>
        <w:numPr>
          <w:ilvl w:val="0"/>
          <w:numId w:val="267"/>
        </w:numPr>
      </w:pPr>
      <w:r>
        <w:t>El Reglamento FEMPA no especifica la forma jurídica de beneficiario colectivo. Es responsabilidad de las autoridades de los Estados miembros verificar que el posible beneficiario colectivo se ajusta a la definición dada en la respuesta 1. Asimismo, las autoridades de los Estados miembros velarán por que las acciones colectivas no se utilicen para aprovechar indebidamente las disposiciones más favorables para los beneficiarios colectivos.</w:t>
      </w:r>
    </w:p>
    <w:p w:rsidR="00786B3E" w:rsidRDefault="00786B3E" w:rsidP="00786B3E">
      <w:pPr>
        <w:numPr>
          <w:ilvl w:val="0"/>
          <w:numId w:val="267"/>
        </w:numPr>
      </w:pPr>
      <w:r>
        <w:t>El beneficiario colectivo a que se refiere el anexo III del FEMPA es siempre la propia organización colectiva y no sus miembros. Por lo tanto, los miembros de la cooperativa no son beneficiarios directos de la ayuda. Corresponde al organismo que representa al beneficiario colectivo decidir cómo abordar el cambio de estatuto de uno o varios de sus miembros. Sin embargo, si todos sus miembros, salvo uno, ya no son empresarios acuícolas, el beneficiario colectivo dejaría de cumplir la definición con respecto al anexo III del FEMPA y, por tanto, ya no podría beneficiarse de las condiciones preferenciales para los beneficiarios colectivos.</w:t>
      </w:r>
    </w:p>
    <w:p w:rsidR="00786B3E" w:rsidRDefault="00786B3E" w:rsidP="00786B3E">
      <w:pPr>
        <w:numPr>
          <w:ilvl w:val="0"/>
          <w:numId w:val="267"/>
        </w:numPr>
      </w:pPr>
      <w:r>
        <w:t>El beneficiario es siempre la propia organización colectiva y no sus miembros, por lo que los miembros de la cooperativa no son beneficiarios de la ayuda. Sus actividades fuera de la cooperativa no deben influir en la cooperativa a la que pertenecen. No obstante, estas actividades externas no deben entrar en conflicto con el interés colectivo de la cooperativa a la que pertenecen.</w:t>
      </w:r>
    </w:p>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lastRenderedPageBreak/>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596" w:name="scroll-bookmark-701"/>
      <w:bookmarkStart w:id="597" w:name="scroll-bookmark-702"/>
      <w:bookmarkEnd w:id="596"/>
      <w:r>
        <w:t xml:space="preserve">QA688 </w:t>
      </w:r>
      <w:r w:rsidR="00DF0906">
        <w:t>EMFAF</w:t>
      </w:r>
      <w:r>
        <w:t xml:space="preserve"> Ayuda estatal</w:t>
      </w:r>
      <w:bookmarkEnd w:id="597"/>
    </w:p>
    <w:p w:rsidR="00786B3E" w:rsidRDefault="00786B3E" w:rsidP="00786B3E">
      <w:r>
        <w:rPr>
          <w:noProof/>
          <w:lang w:val="es-ES"/>
        </w:rPr>
        <w:drawing>
          <wp:inline distT="0" distB="0" distL="0" distR="0" wp14:anchorId="7FBE2B2F" wp14:editId="3D8BB990">
            <wp:extent cx="152435" cy="152435"/>
            <wp:effectExtent l="0" t="0" r="0" b="0"/>
            <wp:docPr id="101199" name="Imagen 1011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del Reglamento FEMPA</w:t>
      </w:r>
    </w:p>
    <w:p w:rsidR="00786B3E" w:rsidRDefault="00786B3E" w:rsidP="00786B3E">
      <w:r>
        <w:rPr>
          <w:noProof/>
          <w:lang w:val="es-ES"/>
        </w:rPr>
        <w:drawing>
          <wp:inline distT="0" distB="0" distL="0" distR="0" wp14:anchorId="345A9D29" wp14:editId="134BEB30">
            <wp:extent cx="152435" cy="152435"/>
            <wp:effectExtent l="0" t="0" r="0" b="0"/>
            <wp:docPr id="101201" name="Imagen 1012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SER</w:t>
      </w:r>
    </w:p>
    <w:p w:rsidR="00786B3E" w:rsidRDefault="00786B3E" w:rsidP="00786B3E"/>
    <w:p w:rsidR="00786B3E" w:rsidRDefault="00786B3E" w:rsidP="00786B3E">
      <w:pPr>
        <w:pStyle w:val="P68B1DB1-Normal1"/>
      </w:pPr>
      <w:r>
        <w:t>Pregunta (incluidos los hechos y la información pertinentes):</w:t>
      </w:r>
    </w:p>
    <w:p w:rsidR="00786B3E" w:rsidRDefault="00786B3E" w:rsidP="00786B3E">
      <w:r>
        <w:t xml:space="preserve">Entre las operaciones o gastos identificados como no subvencionables por el FEMPA, el artículo 13 del Reglamento (UE) 2021/1139 es «g) the transfer of </w:t>
      </w:r>
      <w:proofErr w:type="spellStart"/>
      <w:r>
        <w:t>ownership</w:t>
      </w:r>
      <w:proofErr w:type="spellEnd"/>
      <w:r>
        <w:t xml:space="preserve"> of an </w:t>
      </w:r>
      <w:proofErr w:type="spellStart"/>
      <w:r>
        <w:t>enterprise</w:t>
      </w:r>
      <w:proofErr w:type="spellEnd"/>
      <w:r>
        <w:t>;» (en inglés: «g) la transmisión de la propiedad de una empresa;»)</w:t>
      </w:r>
    </w:p>
    <w:p w:rsidR="00786B3E" w:rsidRDefault="00786B3E" w:rsidP="00786B3E"/>
    <w:p w:rsidR="00786B3E" w:rsidRDefault="00786B3E" w:rsidP="00786B3E">
      <w:r>
        <w:t>Dado que el artículo 13 se refiere a las operaciones O gastos, debe determinarse en primer lugar si se trata de una no subvencionabilidad</w:t>
      </w:r>
    </w:p>
    <w:p w:rsidR="00786B3E" w:rsidRDefault="00786B3E" w:rsidP="00786B3E">
      <w:r>
        <w:t>a) A los gastos directamente ocasionados por la transmisión de la propiedad de una empresa, tales como los gastos notariales y los gastos de registro,</w:t>
      </w:r>
    </w:p>
    <w:p w:rsidR="00786B3E" w:rsidRDefault="00786B3E" w:rsidP="00786B3E">
      <w:r>
        <w:t>o</w:t>
      </w:r>
    </w:p>
    <w:p w:rsidR="00786B3E" w:rsidRDefault="00786B3E" w:rsidP="00786B3E">
      <w:r>
        <w:t>b) A la operación de transmisión de empresas y, por consiguiente, de todos los gastos incurridos en este contexto (los gastos en cuestión también pueden referirse a aspectos relacionados indirectamente con la transmisión de la propiedad, como diversas evaluaciones periciales necesarias para el comprador).</w:t>
      </w:r>
    </w:p>
    <w:p w:rsidR="00786B3E" w:rsidRDefault="00786B3E" w:rsidP="00786B3E"/>
    <w:p w:rsidR="00786B3E" w:rsidRDefault="00786B3E" w:rsidP="00786B3E">
      <w:r>
        <w:t>Suponemos que la no subvencionabilidad se refiere a la operación b). Le agradeceríamos que nos lo confirmase.</w:t>
      </w:r>
    </w:p>
    <w:p w:rsidR="00786B3E" w:rsidRDefault="00786B3E" w:rsidP="00786B3E">
      <w:r>
        <w:t>A continuación, es necesario identificar los casos concretos que deben asimilarse (o no) a una «transmisión de la propiedad de una empresa». Dado que este tipo de operación (no subvencionable) no está definida ni explicada en la normativa, consideramos que esta no subvencionabilidad se refiere a la transmisión de la propiedad de una marca comercial, de un nombre de empresa, de su fondo de comercio o de acciones en una empresa.</w:t>
      </w:r>
    </w:p>
    <w:p w:rsidR="00786B3E" w:rsidRDefault="00786B3E" w:rsidP="00786B3E"/>
    <w:p w:rsidR="00786B3E" w:rsidRDefault="00786B3E" w:rsidP="00786B3E">
      <w:r>
        <w:t xml:space="preserve">Por otra parte, consideramos que el artículo 13, letra g), no excluye la transmisión de la propiedad de los activos de una sociedad. La transferencia de la propiedad de terrenos </w:t>
      </w:r>
      <w:r>
        <w:lastRenderedPageBreak/>
        <w:t>o edificios (bienes), equipos, materiales o bienes muebles podría ser subvencionable incluso si dichos elementos pertenecían a una empresa.</w:t>
      </w:r>
    </w:p>
    <w:p w:rsidR="00786B3E" w:rsidRDefault="00786B3E" w:rsidP="00786B3E">
      <w:r>
        <w:t>La validez de nuestra interpretación del artículo 13, letra g), se ve corroborada por el artículo 17, apartado 7, del Reglamento (UE) 2021/1139, que especifica que la compra de un buque pesquero no debe considerarse una transmisión de la propiedad de una empresa en el sentido del artículo 13, letra g).</w:t>
      </w:r>
    </w:p>
    <w:p w:rsidR="00786B3E" w:rsidRDefault="00786B3E" w:rsidP="00786B3E"/>
    <w:p w:rsidR="00786B3E" w:rsidRDefault="00786B3E" w:rsidP="00786B3E">
      <w:r>
        <w:t>Le agradeceríamos que confirmara que esta interpretación del artículo 13, letra g), es correcta. Si su respuesta requiere más aclaraciones o explicaciones, le agradeceríamos que nos las enviara en francés.</w:t>
      </w:r>
    </w:p>
    <w:p w:rsidR="00786B3E" w:rsidRDefault="00786B3E" w:rsidP="00786B3E"/>
    <w:p w:rsidR="00786B3E" w:rsidRDefault="00786B3E" w:rsidP="00786B3E">
      <w:pPr>
        <w:pStyle w:val="P68B1DB1-Normal1"/>
      </w:pPr>
      <w:r>
        <w:t>Respuesta.</w:t>
      </w:r>
    </w:p>
    <w:p w:rsidR="00786B3E" w:rsidRDefault="00786B3E" w:rsidP="00786B3E">
      <w:r>
        <w:t>El artículo 13, letra g), del Reglamento FEMPA se refiere no solo a las transacciones, sino también a todos los gastos relacionados con la transferencia de la propiedad de una empresa. Por lo tanto, esto incluye también todos los gastos relacionados indirectamente con la transmisión de la propiedad, como diversas valoraciones exigidas por el comprador. Confirmamos por la presente que la no subvencionabilidad se aplica a todos los costes relacionados con la transferencia de propiedad descrita en la letra b).</w:t>
      </w:r>
    </w:p>
    <w:p w:rsidR="00786B3E" w:rsidRDefault="00786B3E" w:rsidP="00786B3E"/>
    <w:p w:rsidR="00786B3E" w:rsidRDefault="00786B3E" w:rsidP="00786B3E">
      <w:r>
        <w:t>El artículo 13, letra g), del Reglamento FEMPA se refiere a la propiedad de una entidad jurídica, no de un buque o activo. La transferencia de la propiedad de terrenos o edificios (bienes inmuebles), equipos o bienes muebles podría ser subvencionable incluso si estos elementos pertenecían a una empresa. Se trata de una transmisión de la propiedad de un activo, no de una empresa (es decir, una entidad jurídica).</w:t>
      </w:r>
    </w:p>
    <w:p w:rsidR="00786B3E" w:rsidRDefault="00786B3E" w:rsidP="00786B3E"/>
    <w:p w:rsidR="00786B3E" w:rsidRDefault="00786B3E" w:rsidP="00786B3E">
      <w:r>
        <w:t xml:space="preserve">Si la operación incluye la adquisición de tierras, los gastos solo podrían optar a la ayuda del FEMPA por un importe no superior al 10 % del gasto total subvencionable de la operación de que se trate, de conformidad con el artículo 64, apartado 1, letra b), del Reglamento (UE) 2021/1060, únicamente si la autoridad de gestión puede demostrar que no corresponde a una transferencia de propiedad de una empresa acuícola, </w:t>
      </w:r>
      <w:r w:rsidR="002F3719">
        <w:t xml:space="preserve">ya que, </w:t>
      </w:r>
      <w:r>
        <w:t>el artículo 13, letra g), del FEMPA excluye la ayuda para dicha transferencia.</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proporcionada las deficiencias del mercado o las situaciones de inversión subóptimas, </w:t>
      </w:r>
      <w:r>
        <w:lastRenderedPageBreak/>
        <w:t>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598" w:name="scroll-bookmark-703"/>
      <w:bookmarkStart w:id="599" w:name="scroll-bookmark-704"/>
      <w:bookmarkEnd w:id="598"/>
      <w:r>
        <w:t xml:space="preserve">QA689 </w:t>
      </w:r>
      <w:r w:rsidR="00DF0906">
        <w:t>EMFAF</w:t>
      </w:r>
      <w:r>
        <w:t xml:space="preserve"> Eligibilidad de la instalación de paneles solares en plantas acuícolas</w:t>
      </w:r>
      <w:bookmarkEnd w:id="599"/>
    </w:p>
    <w:p w:rsidR="00786B3E" w:rsidRDefault="00786B3E" w:rsidP="00786B3E">
      <w:r>
        <w:rPr>
          <w:noProof/>
          <w:lang w:val="es-ES"/>
        </w:rPr>
        <w:drawing>
          <wp:inline distT="0" distB="0" distL="0" distR="0" wp14:anchorId="628A5A3D" wp14:editId="70B4D323">
            <wp:extent cx="152435" cy="152435"/>
            <wp:effectExtent l="0" t="0" r="0" b="0"/>
            <wp:docPr id="101203" name="Imagen 1012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26 del Reglamento FEMPA</w:t>
      </w:r>
    </w:p>
    <w:p w:rsidR="00786B3E" w:rsidRDefault="00786B3E" w:rsidP="00786B3E">
      <w:r>
        <w:rPr>
          <w:noProof/>
          <w:lang w:val="es-ES"/>
        </w:rPr>
        <w:drawing>
          <wp:inline distT="0" distB="0" distL="0" distR="0" wp14:anchorId="6414E504" wp14:editId="10A2BBAC">
            <wp:extent cx="152435" cy="152435"/>
            <wp:effectExtent l="0" t="0" r="0" b="0"/>
            <wp:docPr id="101205" name="Imagen 1012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Tenemos una pregunta relacionada con la financiación de inversiones en fuentes de energía renovables en el marco del FEMPA, más concretamente inversiones en fuentes de energía renovables (plantas solares) en explotaciones acuícolas.</w:t>
      </w:r>
    </w:p>
    <w:p w:rsidR="00786B3E" w:rsidRDefault="00786B3E" w:rsidP="00786B3E">
      <w:r>
        <w:t>En concreto, el artículo 12 del Reglamento (UE) 2021/1139 establece que los Estados miembros podrán seleccionar para recibir ayuda las operaciones que entren en el ámbito de aplicación de las prioridades y los objetivos específicos establecidos en el artículo 8, apartado 2, no sean subvencionables con arreglo al artículo 13 y sean conformes con el Derecho de la Unión aplicable.</w:t>
      </w:r>
    </w:p>
    <w:p w:rsidR="00786B3E" w:rsidRDefault="00786B3E" w:rsidP="00786B3E">
      <w:r>
        <w:t>El artículo 26, apartado 1, letra a), define que la ayuda cubrirá las intervenciones que contribuyan a la consecución de los objetivos de la PPC establecidos en el artículo 2 del Reglamento (UE) n.º 1380/2013, mediante el fomento de actividades acuícolas sostenibles, en particular reforzando la competitividad de la producción acuícola, garantizando al mismo tiempo que las actividades sean medioambientalmente sostenibles a largo plazo.</w:t>
      </w:r>
    </w:p>
    <w:p w:rsidR="00786B3E" w:rsidRDefault="00786B3E" w:rsidP="00786B3E">
      <w:r>
        <w:t xml:space="preserve">Entendemos que, dentro del tipo de acción destinada a las inversiones productivas en acuicultura, las inversiones en fuentes de energía renovables en explotaciones acuícolas pueden ser subvencionables si contribuyen al objetivo específico establecido en el artículo 26, apartado 1, letra a), del Reglamento (CE) n.º 2021/1139 y si tales inversiones no dan lugar a la cuestión de la acuicultura en sí, es decir, si no se pone en peligro la producción de organismos acuícolas ni la finalidad básica de la explotación acuícola. Si nuestra interpretación es correcta, esto significaría que las fuentes de energía renovables pueden financiarse en el marco del FEMPA, pero para las necesidades de la acuicultura, mientras que invertir en una producción de energía que supere las necesidades de la explotación no cumple lo dispuesto en el artículo 12, apartado 1, letra a), del Reglamento (CE) n.º 2021/1139. Por ejemplo, si la inversión está relacionada con paneles solares y la instalación asociada, y la producción de energía prevista es superior </w:t>
      </w:r>
      <w:r>
        <w:lastRenderedPageBreak/>
        <w:t>a la producción necesaria para la acuicultura (mayor de lo necesario para la producción acuícola y el funcionamiento de la explotación que se prevé suministrar con la energía producida), el beneficiario podrá obtener ayuda en el marco del FEMPA por una parte proporcional del importe del gasto total subvencionable de la inversión, que corresponde a la cuota de consumo de energía de la explotación en relación con la energía total producida en la instalación objeto de la inversión. En otras palabras, entendemos que es posible financiar la parte de la inversión que entra en el ámbito de aplicación del objetivo especial del artículo 26, apartado 1, letra a), mientras que la parte de la inversión que produciría energía para otros fines y no para la acuicultura no está sujeta a ayudas en el marco del FEMPA.</w:t>
      </w:r>
    </w:p>
    <w:p w:rsidR="00786B3E" w:rsidRDefault="00786B3E" w:rsidP="00786B3E">
      <w:r>
        <w:t>Le rogamos que aclare si nuestra interpretación es correcta, es decir, información sobre la admisibilidad de la financiación de la inversión a partir del ejemplo descrito anteriormente.</w:t>
      </w:r>
    </w:p>
    <w:p w:rsidR="00786B3E" w:rsidRDefault="00786B3E" w:rsidP="00786B3E"/>
    <w:p w:rsidR="00786B3E" w:rsidRDefault="00786B3E" w:rsidP="00786B3E">
      <w:pPr>
        <w:pStyle w:val="P68B1DB1-Normal1"/>
      </w:pPr>
      <w:r>
        <w:t>Respuesta.</w:t>
      </w:r>
    </w:p>
    <w:p w:rsidR="00786B3E" w:rsidRDefault="00786B3E" w:rsidP="00786B3E">
      <w:r>
        <w:t>De conformidad con el artículo 26, apartado 1, letra a), del Reglamento FEMPA, el FEMPA puede apoyar intervenciones destinadas a promover actividades acuícolas sostenibles, especialmente reforzando la competitividad de la producción acuícola, garantizando al mismo tiempo que las actividades sean medioambientalmente sostenibles a largo plazo.</w:t>
      </w:r>
    </w:p>
    <w:p w:rsidR="00786B3E" w:rsidRDefault="00786B3E" w:rsidP="00786B3E">
      <w:r>
        <w:t>Nos gustaría recordarle que, de conformidad con el artículo 63, apartado 1, del Reglamento sobre disposiciones comunes, la subvencionabilidad de los gastos se determina sobre la base de normas nacionales, excepto cuando en el RDC o en los Reglamentos específicos de los Fondos se establezcan normas específicas. </w:t>
      </w:r>
    </w:p>
    <w:p w:rsidR="00786B3E" w:rsidRDefault="00786B3E" w:rsidP="00786B3E">
      <w:r>
        <w:t>En general, la financiación de la instalación de paneles solares puede considerarse subvencionable siempre que contribuya al ámbito de aplicación y a los objetivos establecidos en el artículo 26, apartado 1, letra a), del Reglamento FEMPA, al programa FEMPA croata y al plan estratégico nacional para la acuicultura.</w:t>
      </w:r>
    </w:p>
    <w:p w:rsidR="00786B3E" w:rsidRDefault="00786B3E" w:rsidP="00786B3E"/>
    <w:p w:rsidR="00786B3E" w:rsidRDefault="00786B3E" w:rsidP="00786B3E">
      <w:r>
        <w:t>No obstante, las autoridades nacionales deben prestar atención a que la energía producida con la ayuda de los paneles solares de nueva instalación no da lugar a un exceso de producción que se venda a la red o se utilice para fines distintos de las actividades acuícolas.</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 xml:space="preserve">De conformidad con el considerando 7 del Reglamento FEMPA, el apoyo debe tener un claro valor añadido europeo, entre otras cosas abordando de manera </w:t>
      </w:r>
      <w:r>
        <w:lastRenderedPageBreak/>
        <w:t>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600" w:name="scroll-bookmark-705"/>
      <w:bookmarkStart w:id="601" w:name="scroll-bookmark-706"/>
      <w:bookmarkEnd w:id="600"/>
      <w:r>
        <w:t>QA691 Eficiencia energética</w:t>
      </w:r>
      <w:bookmarkEnd w:id="601"/>
    </w:p>
    <w:p w:rsidR="00786B3E" w:rsidRDefault="00786B3E" w:rsidP="00786B3E">
      <w:r>
        <w:rPr>
          <w:noProof/>
          <w:lang w:val="es-ES"/>
        </w:rPr>
        <w:drawing>
          <wp:inline distT="0" distB="0" distL="0" distR="0" wp14:anchorId="4E067A91" wp14:editId="6998F8A5">
            <wp:extent cx="152435" cy="152435"/>
            <wp:effectExtent l="0" t="0" r="0" b="0"/>
            <wp:docPr id="101207" name="Imagen 1012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50505"/>
        </w:rPr>
        <w:t>Artículo 12, apartado 14,18, del Reglamento FEMPA.</w:t>
      </w:r>
    </w:p>
    <w:p w:rsidR="00786B3E" w:rsidRDefault="00786B3E" w:rsidP="00786B3E">
      <w:r>
        <w:rPr>
          <w:noProof/>
          <w:lang w:val="es-ES"/>
        </w:rPr>
        <w:drawing>
          <wp:inline distT="0" distB="0" distL="0" distR="0" wp14:anchorId="2C87C854" wp14:editId="701D180D">
            <wp:extent cx="152435" cy="152435"/>
            <wp:effectExtent l="0" t="0" r="0" b="0"/>
            <wp:docPr id="101209" name="Imagen 1012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CY</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Preguntas relativas a la subvencionabilidad de las inversiones relacionadas con la promoción de la eficiencia energética, la mitigación del cambio climático y la reducción de las emisiones de carbono en el marco del Programa FEMPA.</w:t>
      </w:r>
    </w:p>
    <w:p w:rsidR="00786B3E" w:rsidRDefault="00786B3E" w:rsidP="00786B3E">
      <w:r>
        <w:t>Al igual que en el período 2014-2020 (FEMP), CY aplicará un régimen para la inversión en buques pesqueros que incluya acciones para inversiones en la mejora del sistema de propulsión del buque que se financiarán a través del Programa FEMPA.  En aras de la claridad y la garantía de que las acciones serán subvencionables, el CY ha incluido en el nuevo régimen del período 2021-2027 los costes subvencionables con arreglo al artículo 14 del Reglamento Delegado de la Comisión (UE) 2015/531 utilizados durante el período 2014-2020.</w:t>
      </w:r>
    </w:p>
    <w:p w:rsidR="00786B3E" w:rsidRDefault="00786B3E" w:rsidP="00786B3E">
      <w:r>
        <w:t>Artículo 14</w:t>
      </w:r>
    </w:p>
    <w:p w:rsidR="00786B3E" w:rsidRDefault="00786B3E" w:rsidP="00786B3E">
      <w:r>
        <w:t>Costes subvencionables relacionados con la mejora del sistema de propulsión de los buques</w:t>
      </w:r>
    </w:p>
    <w:p w:rsidR="00786B3E" w:rsidRDefault="00786B3E" w:rsidP="00786B3E">
      <w:r>
        <w:t>En el caso de las operaciones destinadas a mejorar el sistema de propulsión del buque de conformidad con el artículo 41, apartado 1, letra a), del Reglamento (UE) n.º 508/2014, serán subvencionables los costes relacionados con la adquisición y, en caso necesario, la instalación de los siguientes elementos:</w:t>
      </w:r>
    </w:p>
    <w:p w:rsidR="00786B3E" w:rsidRDefault="00786B3E" w:rsidP="00786B3E">
      <w:r>
        <w:t>a) hélices eficientes desde el punto de vista energético, incluidos los pozos de transmisión;</w:t>
      </w:r>
    </w:p>
    <w:p w:rsidR="00786B3E" w:rsidRDefault="00786B3E" w:rsidP="00786B3E">
      <w:r>
        <w:t>b) catalizadores;</w:t>
      </w:r>
    </w:p>
    <w:p w:rsidR="00786B3E" w:rsidRDefault="00786B3E" w:rsidP="00786B3E">
      <w:r>
        <w:t>C) generadores eficientes desde el punto de vista energético, como los que utilizan hidrógeno o gas natural;</w:t>
      </w:r>
    </w:p>
    <w:p w:rsidR="00786B3E" w:rsidRDefault="00786B3E" w:rsidP="00786B3E">
      <w:r>
        <w:t>d) los elementos de propulsión con energías renovables, como velas, cocinas, molinos de viento, turbinas o paneles solares;</w:t>
      </w:r>
    </w:p>
    <w:p w:rsidR="00786B3E" w:rsidRDefault="00786B3E" w:rsidP="00786B3E">
      <w:r>
        <w:t>e) propulsores proa;</w:t>
      </w:r>
    </w:p>
    <w:p w:rsidR="00786B3E" w:rsidRDefault="00786B3E" w:rsidP="00786B3E">
      <w:r>
        <w:lastRenderedPageBreak/>
        <w:t xml:space="preserve">f) conversión de motores para funcionar con </w:t>
      </w:r>
      <w:proofErr w:type="spellStart"/>
      <w:r>
        <w:t>biocarburantes</w:t>
      </w:r>
      <w:proofErr w:type="spellEnd"/>
      <w:r>
        <w:t>;</w:t>
      </w:r>
    </w:p>
    <w:p w:rsidR="00786B3E" w:rsidRDefault="00786B3E" w:rsidP="00786B3E">
      <w:r>
        <w:t>g) economizadores, sistemas de gestión del combustible y sistemas de seguimiento;</w:t>
      </w:r>
    </w:p>
    <w:p w:rsidR="00786B3E" w:rsidRDefault="00786B3E" w:rsidP="00786B3E">
      <w:r>
        <w:t>h) inversiones en toberas que mejoren el sistema de propulsión.</w:t>
      </w:r>
    </w:p>
    <w:p w:rsidR="00786B3E" w:rsidRDefault="00786B3E" w:rsidP="00786B3E"/>
    <w:p w:rsidR="00786B3E" w:rsidRDefault="00786B3E" w:rsidP="00786B3E">
      <w:r>
        <w:t>En relación con el punto d) «d) elementos de propulsión de energía renovable como velas, cocinas, molinos de viento, turbinas o paneles solares», un beneficiario potencial nos ha pedido la admisibilidad de las hélices eléctricas y los motores utilizados cuando sea posible para la propulsión en lugar del motor diésel del buque.  El folleto pertinente puede consultarse en los enlaces que figuran a continuación.</w:t>
      </w:r>
    </w:p>
    <w:p w:rsidR="00786B3E" w:rsidRDefault="00786B3E" w:rsidP="00786B3E"/>
    <w:p w:rsidR="00786B3E" w:rsidRDefault="00786B3E" w:rsidP="00786B3E">
      <w:r>
        <w:rPr>
          <w:b/>
          <w:u w:val="single"/>
        </w:rPr>
        <w:t>Pregunta 1</w:t>
      </w:r>
      <w:r>
        <w:rPr>
          <w:u w:val="single"/>
        </w:rPr>
        <w:t>.</w:t>
      </w:r>
      <w:r>
        <w:t>        </w:t>
      </w:r>
      <w:proofErr w:type="gramStart"/>
      <w:r>
        <w:t>En</w:t>
      </w:r>
      <w:r>
        <w:rPr>
          <w:b/>
        </w:rPr>
        <w:t xml:space="preserve"> cuanto a los motores eléctricos de energía renovable, queremos saber si tal caso puede considerarse admisible sin entrar en conflicto con las disposiciones sobre sustitución de motores del Reglamento FEMPA?</w:t>
      </w:r>
      <w:proofErr w:type="gramEnd"/>
      <w:r>
        <w:rPr>
          <w:b/>
        </w:rPr>
        <w:t>  Nota: Esta acción consiste en modernizar los buques para mejorar la eficiencia energética y no confundirse con la sustitución de motores del FEMPA con arreglo al artículo 18.</w:t>
      </w:r>
    </w:p>
    <w:p w:rsidR="00786B3E" w:rsidRDefault="00786B3E" w:rsidP="00786B3E"/>
    <w:p w:rsidR="00786B3E" w:rsidRDefault="00786B3E" w:rsidP="00786B3E">
      <w:r>
        <w:t>Motores eléctricos con fuentes de energía renovables y baterías</w:t>
      </w:r>
    </w:p>
    <w:p w:rsidR="00786B3E" w:rsidRDefault="00FC0FB1" w:rsidP="00786B3E">
      <w:hyperlink r:id="rId525" w:history="1">
        <w:r w:rsidR="00786B3E">
          <w:rPr>
            <w:rStyle w:val="Hipervnculo"/>
          </w:rPr>
          <w:t>httpson//iliofos.gr/en/</w:t>
        </w:r>
        <w:proofErr w:type="spellStart"/>
        <w:r w:rsidR="00786B3E">
          <w:rPr>
            <w:rStyle w:val="Hipervnculo"/>
          </w:rPr>
          <w:t>hybrid</w:t>
        </w:r>
        <w:proofErr w:type="spellEnd"/>
        <w:r w:rsidR="00786B3E">
          <w:rPr>
            <w:rStyle w:val="Hipervnculo"/>
          </w:rPr>
          <w:t>-</w:t>
        </w:r>
        <w:proofErr w:type="spellStart"/>
        <w:r w:rsidR="00786B3E">
          <w:rPr>
            <w:rStyle w:val="Hipervnculo"/>
          </w:rPr>
          <w:t>propulsion</w:t>
        </w:r>
        <w:proofErr w:type="spellEnd"/>
        <w:r w:rsidR="00786B3E">
          <w:rPr>
            <w:rStyle w:val="Hipervnculo"/>
          </w:rPr>
          <w:t>-marine</w:t>
        </w:r>
      </w:hyperlink>
    </w:p>
    <w:p w:rsidR="00786B3E" w:rsidRDefault="00FC0FB1" w:rsidP="00786B3E">
      <w:hyperlink r:id="rId526" w:history="1">
        <w:r w:rsidR="00786B3E">
          <w:rPr>
            <w:rStyle w:val="Hipervnculo"/>
          </w:rPr>
          <w:t>httpson//iliofos.gr/en/</w:t>
        </w:r>
        <w:proofErr w:type="spellStart"/>
        <w:r w:rsidR="00786B3E">
          <w:rPr>
            <w:rStyle w:val="Hipervnculo"/>
          </w:rPr>
          <w:t>hybrid</w:t>
        </w:r>
        <w:proofErr w:type="spellEnd"/>
        <w:r w:rsidR="00786B3E">
          <w:rPr>
            <w:rStyle w:val="Hipervnculo"/>
          </w:rPr>
          <w:t>-modules/htm700</w:t>
        </w:r>
      </w:hyperlink>
    </w:p>
    <w:p w:rsidR="00786B3E" w:rsidRDefault="00786B3E" w:rsidP="00786B3E"/>
    <w:p w:rsidR="00786B3E" w:rsidRDefault="00786B3E" w:rsidP="00786B3E">
      <w:r>
        <w:rPr>
          <w:b/>
          <w:u w:val="single"/>
        </w:rPr>
        <w:t>Pregunta 2.</w:t>
      </w:r>
      <w:r>
        <w:rPr>
          <w:b/>
        </w:rPr>
        <w:t>  En</w:t>
      </w:r>
      <w:r>
        <w:t xml:space="preserve"> </w:t>
      </w:r>
      <w:r>
        <w:rPr>
          <w:b/>
        </w:rPr>
        <w:t xml:space="preserve">cuanto a las hélices eléctricas con recursos renovables, queremos saber si tal caso puede considerarse admisible sin entrar en conflicto con las disposiciones sobre sustitución de motores del Reglamento FEMPA.  </w:t>
      </w:r>
      <w:proofErr w:type="gramStart"/>
      <w:r>
        <w:rPr>
          <w:b/>
        </w:rPr>
        <w:t xml:space="preserve">En este caso, parece que estas hélices podrían considerarse equipos similares a los propulsores </w:t>
      </w:r>
      <w:proofErr w:type="spellStart"/>
      <w:r>
        <w:rPr>
          <w:b/>
        </w:rPr>
        <w:t>propulsores</w:t>
      </w:r>
      <w:proofErr w:type="spellEnd"/>
      <w:r>
        <w:rPr>
          <w:b/>
        </w:rPr>
        <w:t xml:space="preserve"> que, en virtud del Reglamento del FEMP, son subvencionables?</w:t>
      </w:r>
      <w:proofErr w:type="gramEnd"/>
      <w:r>
        <w:rPr>
          <w:b/>
        </w:rPr>
        <w:t xml:space="preserve"> N.B. Esta acción consiste en modernizar los buques para mejorar la eficiencia energética y no confundirse con la sustitución del motor del FEMPA con arreglo al artículo 18</w:t>
      </w:r>
    </w:p>
    <w:p w:rsidR="00786B3E" w:rsidRDefault="00786B3E" w:rsidP="00786B3E"/>
    <w:p w:rsidR="00786B3E" w:rsidRDefault="00786B3E" w:rsidP="00786B3E">
      <w:r>
        <w:t>Hélices eléctricas con recursos energéticos renovables y baterías</w:t>
      </w:r>
    </w:p>
    <w:p w:rsidR="00786B3E" w:rsidRDefault="00FC0FB1" w:rsidP="00786B3E">
      <w:hyperlink r:id="rId527" w:history="1">
        <w:r w:rsidR="00786B3E">
          <w:rPr>
            <w:rStyle w:val="Hipervnculo"/>
          </w:rPr>
          <w:t>httpson//iliofos.gr/en/</w:t>
        </w:r>
        <w:proofErr w:type="spellStart"/>
        <w:r w:rsidR="00786B3E">
          <w:rPr>
            <w:rStyle w:val="Hipervnculo"/>
          </w:rPr>
          <w:t>hybrid</w:t>
        </w:r>
        <w:proofErr w:type="spellEnd"/>
        <w:r w:rsidR="00786B3E">
          <w:rPr>
            <w:rStyle w:val="Hipervnculo"/>
          </w:rPr>
          <w:t>-modules/htm700</w:t>
        </w:r>
      </w:hyperlink>
    </w:p>
    <w:p w:rsidR="00786B3E" w:rsidRDefault="00FC0FB1" w:rsidP="00786B3E">
      <w:hyperlink r:id="rId528" w:history="1">
        <w:r w:rsidR="00786B3E">
          <w:rPr>
            <w:rStyle w:val="Hipervnculo"/>
          </w:rPr>
          <w:t>httpson//www.youtube.com/watch?v=Ir-8uKPJtn4</w:t>
        </w:r>
      </w:hyperlink>
      <w:r w:rsidR="00786B3E">
        <w:t>     </w:t>
      </w:r>
    </w:p>
    <w:p w:rsidR="00786B3E" w:rsidRDefault="00786B3E" w:rsidP="00786B3E"/>
    <w:p w:rsidR="00786B3E" w:rsidRDefault="00786B3E" w:rsidP="00786B3E">
      <w:pPr>
        <w:pStyle w:val="P68B1DB1-Normal1"/>
      </w:pPr>
      <w:r>
        <w:t>Respuesta 1:</w:t>
      </w:r>
    </w:p>
    <w:p w:rsidR="00786B3E" w:rsidRDefault="00786B3E" w:rsidP="00786B3E">
      <w:r>
        <w:t>En el caso del FEMPA, el Reglamento FEMPA no especifica los tipos específicos de inversiones que contribuyen a la eficiencia energética de la pesca. Sin embargo, el artículo 18 del Reglamento FEMPA define claramente las condiciones de admisibilidad para la sustitución o modernización de un motor principal o auxiliar.</w:t>
      </w:r>
    </w:p>
    <w:p w:rsidR="00786B3E" w:rsidRDefault="00786B3E" w:rsidP="00786B3E">
      <w:r>
        <w:t xml:space="preserve">En el caso del FEMP, el tipo específico de inversiones que contribuyen a la eficiencia energética de los buques pesqueros se definió específicamente en el artículo 41, </w:t>
      </w:r>
      <w:r>
        <w:lastRenderedPageBreak/>
        <w:t>apartado 1, letra a), del FEMP «para mejorar la eficiencia energética de los buques pesqueros, el FEMP podrá conceder ayuda destinada a inversiones en equipos o a bordo destinadas a reducir las emisiones de contaminantes de gases de efecto invernadero e incrementar la eficiencia energética de los buques pesqueros [...]». En el artículo 14 del Reglamento Delegado (UE) 2015/531 se detallan los costes subvencionables de conformidad con el artículo 41, apartado 1, letra a), del FEMP. A este respecto, serán subvencionables los «costes relacionados con la compra y, en su caso, la instalación de los siguientes elementos: d) elementos de propulsión con energía renovable, como velas, cocinas, molinos de viento, turbinas o paneles solares.».</w:t>
      </w:r>
    </w:p>
    <w:p w:rsidR="00786B3E" w:rsidRDefault="00786B3E" w:rsidP="00786B3E">
      <w:r>
        <w:t>Del mismo modo, el tipo específico de inversiones que contribuyan a la eficiencia energética de los buques pesqueros establecido en el Reglamento del FEMP también podrá considerarse subvencionable en virtud del Reglamento FEMPA con los siguientes requisitos:  </w:t>
      </w:r>
    </w:p>
    <w:p w:rsidR="00786B3E" w:rsidRDefault="00786B3E" w:rsidP="00786B3E">
      <w:pPr>
        <w:pStyle w:val="P68B1DB1-Normal6"/>
      </w:pPr>
      <w:r>
        <w:t xml:space="preserve">Las inversiones no deben dar lugar a un aumento de la potencia del motor, </w:t>
      </w:r>
      <w:r w:rsidR="002F3719">
        <w:t xml:space="preserve">ya que, </w:t>
      </w:r>
      <w:r>
        <w:t>el alcance de la inversión es el aumento de la eficiencia de los buques pesqueros.</w:t>
      </w:r>
    </w:p>
    <w:p w:rsidR="00786B3E" w:rsidRDefault="00786B3E" w:rsidP="00786B3E">
      <w:pPr>
        <w:pStyle w:val="P68B1DB1-Normal6"/>
      </w:pPr>
      <w:r>
        <w:t>Las inversiones deben tener por objeto reducir el consumo del motor.</w:t>
      </w:r>
    </w:p>
    <w:p w:rsidR="00786B3E" w:rsidRDefault="00786B3E" w:rsidP="00786B3E">
      <w:pPr>
        <w:pStyle w:val="P68B1DB1-Normal6"/>
      </w:pPr>
      <w:r>
        <w:t>Las inversiones no implican la sustitución o modernización del motor, tal como se establece en el artículo 18 del Reglamento FEMPA.</w:t>
      </w:r>
    </w:p>
    <w:p w:rsidR="00786B3E" w:rsidRDefault="00786B3E" w:rsidP="00786B3E">
      <w:proofErr w:type="spellStart"/>
      <w:r>
        <w:t>El</w:t>
      </w:r>
      <w:r>
        <w:rPr>
          <w:u w:val="single"/>
        </w:rPr>
        <w:t>Programa</w:t>
      </w:r>
      <w:proofErr w:type="spellEnd"/>
      <w:r>
        <w:rPr>
          <w:u w:val="single"/>
        </w:rPr>
        <w:t xml:space="preserve"> FEMPA ha descrito en tipos de acciones del objetivo específico 1.1 acciones destinadas a contribuir a la eficiencia energética de los buques pesqueros no relacionadas con la sustitución del </w:t>
      </w:r>
      <w:r>
        <w:t>motor principal o auxiliar (que se rigen por el artículo 18 del FEMPA y se establecen en el objetivo específico 1.2</w:t>
      </w:r>
      <w:r>
        <w:rPr>
          <w:u w:val="single"/>
        </w:rPr>
        <w:t>).  </w:t>
      </w:r>
    </w:p>
    <w:p w:rsidR="00786B3E" w:rsidRDefault="00786B3E" w:rsidP="00786B3E">
      <w:r>
        <w:t>Las inversiones en motores eléctricos con fuentes de energía renovables y baterías están sujetas a la sustitución de motores principales o auxiliares y, por tanto, se rigen por las disposiciones del artículo 18 del FEMPA. </w:t>
      </w:r>
    </w:p>
    <w:p w:rsidR="00786B3E" w:rsidRDefault="00786B3E" w:rsidP="00786B3E">
      <w:pPr>
        <w:pStyle w:val="P68B1DB1-Normal1"/>
      </w:pPr>
      <w:r>
        <w:t>Respuesta 2:</w:t>
      </w:r>
    </w:p>
    <w:p w:rsidR="00786B3E" w:rsidRDefault="00786B3E" w:rsidP="00786B3E">
      <w:r>
        <w:t>Como se indica en la pregunta 1, el Reglamento FEMPA no especifica los tipos específicos de inversiones que contribuyen a la eficiencia energética de los buques pesqueros, incluida la forma jurídica de las inversiones relacionadas con las hélices eléctricas con recursos renovables. Sin embargo, el artículo 18 del Reglamento FEMPA define las condiciones de admisibilidad para la sustitución o modernización de un motor principal o auxiliar.</w:t>
      </w:r>
    </w:p>
    <w:p w:rsidR="00786B3E" w:rsidRDefault="00786B3E" w:rsidP="00786B3E">
      <w:r>
        <w:t>En el caso del FEMP, el tipo específico de inversiones que contribuyen a la eficiencia energética de los buques pesqueros se definió específicamente en el artículo 41, apartado 1, letra a), del FEMP «para mejorar la eficiencia energética de los buques pesqueros, el FEMP podrá conceder ayuda destinada a inversiones en equipos o a bordo destinadas a reducir las emisiones de contaminantes de gases de efecto invernadero e incrementar la eficiencia energética de los buques pesqueros [...]». En el artículo 14 del Reglamento Delegado (UE) 2015/531 se detallan los costes subvencionables de conformidad con el artículo 41, apartado 1, letra a). A este respecto, serán subvencionables los «costes relacionados con la compra y, en su caso, la instalación de los siguientes elementos: e) propulsores de proa.»</w:t>
      </w:r>
    </w:p>
    <w:p w:rsidR="00786B3E" w:rsidRDefault="00786B3E" w:rsidP="00786B3E">
      <w:r>
        <w:lastRenderedPageBreak/>
        <w:t xml:space="preserve">En consonancia con lo anterior, las hélices eléctricas con recursos renovables pueden considerarse similares a </w:t>
      </w:r>
      <w:proofErr w:type="gramStart"/>
      <w:r>
        <w:t>las propulsores</w:t>
      </w:r>
      <w:proofErr w:type="gramEnd"/>
      <w:r>
        <w:t xml:space="preserve"> proa, por lo que pueden ser subvencionables en virtud del artículo 41, apartado 1, letra a), del Reglamento del FEMP. Sin embargo, no deben dar lugar a un aumento de la potencia del motor, </w:t>
      </w:r>
      <w:r w:rsidR="002F3719">
        <w:t xml:space="preserve">ya que, </w:t>
      </w:r>
      <w:r>
        <w:t>el alcance de la inversión es el aumento de la eficiencia de los buques pesqueros. Por consiguiente, la inversión debe tener por objeto reducir el consumo del motor.</w:t>
      </w:r>
    </w:p>
    <w:p w:rsidR="00786B3E" w:rsidRDefault="00786B3E" w:rsidP="00786B3E">
      <w:r>
        <w:t>Del mismo modo, el tipo específico de inversiones relacionadas con las hélices eléctricas con recursos renovables que contribuyen a la eficiencia energética de los buques pesqueros, tal como se establece en el Reglamento del FEMP, también podrán considerarse subvencionables en virtud del Reglamento FEMPA con los siguientes requisitos: </w:t>
      </w:r>
    </w:p>
    <w:p w:rsidR="00786B3E" w:rsidRDefault="00786B3E" w:rsidP="00786B3E">
      <w:r>
        <w:t xml:space="preserve">Las inversiones no deben dar lugar a un aumento de la potencia del motor, </w:t>
      </w:r>
      <w:r w:rsidR="002F3719">
        <w:t xml:space="preserve">ya que, </w:t>
      </w:r>
      <w:r>
        <w:t>el alcance de la inversión es el aumento de la eficiencia de los buques pesqueros.</w:t>
      </w:r>
    </w:p>
    <w:p w:rsidR="00786B3E" w:rsidRDefault="00786B3E" w:rsidP="00786B3E">
      <w:r>
        <w:t>La inversión debe tener por objeto reducir el consumo del motor.</w:t>
      </w:r>
    </w:p>
    <w:p w:rsidR="00786B3E" w:rsidRDefault="00786B3E" w:rsidP="00786B3E">
      <w:r>
        <w:rPr>
          <w:u w:val="single"/>
        </w:rPr>
        <w:t xml:space="preserve">El Programa FEMPA ha descrito, en tipos de acciones del objetivo específico 1.1, acciones destinadas a contribuir a la eficiencia energética de los buques pesqueros no relacionadas con la sustitución del </w:t>
      </w:r>
      <w:r>
        <w:t>motor principal o auxiliar.</w:t>
      </w:r>
    </w:p>
    <w:p w:rsidR="00786B3E" w:rsidRDefault="00786B3E" w:rsidP="00786B3E">
      <w:r>
        <w:t>Las inversiones no implican la sustitución o modernización del motor, tal como se establece en el artículo 18 del Reglamento FEMPA.</w:t>
      </w:r>
    </w:p>
    <w:p w:rsidR="00786B3E" w:rsidRDefault="00786B3E" w:rsidP="00786B3E"/>
    <w:p w:rsidR="00786B3E" w:rsidRDefault="00786B3E" w:rsidP="00786B3E">
      <w:pPr>
        <w:pStyle w:val="P68B1DB1-Normal4"/>
        <w:jc w:val="left"/>
      </w:pPr>
      <w:r>
        <w:t>NOTA:</w:t>
      </w:r>
    </w:p>
    <w:p w:rsidR="00786B3E" w:rsidRDefault="00786B3E" w:rsidP="00786B3E">
      <w:pPr>
        <w:pStyle w:val="P68B1DB1-Normal4"/>
        <w:jc w:val="left"/>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jc w:val="left"/>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602" w:name="scroll-bookmark-707"/>
      <w:bookmarkStart w:id="603" w:name="scroll-bookmark-708"/>
      <w:bookmarkEnd w:id="602"/>
      <w:r>
        <w:t xml:space="preserve">QA693: </w:t>
      </w:r>
      <w:r w:rsidR="00DF0906">
        <w:t>EMFAF</w:t>
      </w:r>
      <w:r>
        <w:t xml:space="preserve"> interpretación del artículo 11</w:t>
      </w:r>
      <w:bookmarkEnd w:id="603"/>
    </w:p>
    <w:p w:rsidR="00786B3E" w:rsidRDefault="00786B3E" w:rsidP="00786B3E">
      <w:r>
        <w:rPr>
          <w:noProof/>
          <w:lang w:val="es-ES"/>
        </w:rPr>
        <w:drawing>
          <wp:inline distT="0" distB="0" distL="0" distR="0" wp14:anchorId="2730AD40" wp14:editId="117333EA">
            <wp:extent cx="152435" cy="152435"/>
            <wp:effectExtent l="0" t="0" r="0" b="0"/>
            <wp:docPr id="101211" name="Imagen 1012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11 del FEMPA</w:t>
      </w:r>
    </w:p>
    <w:p w:rsidR="00786B3E" w:rsidRDefault="00786B3E" w:rsidP="00786B3E">
      <w:r>
        <w:rPr>
          <w:noProof/>
          <w:lang w:val="es-ES"/>
        </w:rPr>
        <w:drawing>
          <wp:inline distT="0" distB="0" distL="0" distR="0" wp14:anchorId="0B9B4C50" wp14:editId="5FCB444B">
            <wp:extent cx="152435" cy="152435"/>
            <wp:effectExtent l="0" t="0" r="0" b="0"/>
            <wp:docPr id="101213" name="Imagen 1012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lastRenderedPageBreak/>
        <w:br/>
        <w:t>Pregunta (incluidos los hechos y la información pertinentes):</w:t>
      </w:r>
    </w:p>
    <w:p w:rsidR="00786B3E" w:rsidRDefault="00786B3E" w:rsidP="00786B3E">
      <w:r>
        <w:t>Pregunta de España sobre la interpretación del artículo 11 del FEMPA.</w:t>
      </w:r>
    </w:p>
    <w:p w:rsidR="00786B3E" w:rsidRDefault="00786B3E" w:rsidP="00786B3E">
      <w:r>
        <w:t>En concreto, la cuestión se refiere a los armadores que son propietarios de varios buques y se refiere a la interpretación del tenor del artículo 8. (2) a) del Reglamento (CE) n.º 2022/2181 para el FEMPA, que coincide con la redacción del artículo 6, apartado 2, letra a), del Reglamento (CE) n.º 2015/288 para el FEMP.</w:t>
      </w:r>
    </w:p>
    <w:p w:rsidR="00786B3E" w:rsidRDefault="00786B3E" w:rsidP="00786B3E">
      <w:r>
        <w:t>En ambos casos se indica lo siguiente:</w:t>
      </w:r>
    </w:p>
    <w:p w:rsidR="00786B3E" w:rsidRDefault="00786B3E" w:rsidP="00786B3E">
      <w:pPr>
        <w:pStyle w:val="P68B1DB1-Normal12"/>
        <w:ind w:left="284"/>
      </w:pPr>
      <w:r>
        <w:t>Artículo 6, apartado 2, letra a), del Reglamento (CE) n.º 2015/288.</w:t>
      </w:r>
    </w:p>
    <w:p w:rsidR="00786B3E" w:rsidRDefault="00786B3E" w:rsidP="00786B3E">
      <w:pPr>
        <w:ind w:left="284"/>
      </w:pPr>
      <w:r>
        <w:t>(2) Sin embargo, las solicitudes de ayuda del FEMP de dicho operador tampoco serán admisibles:</w:t>
      </w:r>
    </w:p>
    <w:p w:rsidR="00786B3E" w:rsidRDefault="00786B3E" w:rsidP="00786B3E">
      <w:pPr>
        <w:ind w:left="284"/>
      </w:pPr>
      <w:r>
        <w:t>a) si las solicitudes relativas a más de la mitad de los buques pesqueros que sean propiedad o estén bajo el control de dicho operador sean inadmisibles para recibir ayuda del FEMP de conformidad con el artículo 3 y el artículo 4; o</w:t>
      </w:r>
    </w:p>
    <w:p w:rsidR="00786B3E" w:rsidRDefault="00786B3E" w:rsidP="00786B3E"/>
    <w:p w:rsidR="00786B3E" w:rsidRDefault="00786B3E" w:rsidP="00786B3E">
      <w:pPr>
        <w:pStyle w:val="P68B1DB1-Normal6"/>
        <w:ind w:left="284"/>
      </w:pPr>
      <w:r>
        <w:t>Artículo 8. (2) a) Reglamento (CE) n.º 2022/2181</w:t>
      </w:r>
    </w:p>
    <w:p w:rsidR="00786B3E" w:rsidRDefault="00786B3E" w:rsidP="00786B3E">
      <w:pPr>
        <w:ind w:left="284"/>
      </w:pPr>
      <w:r>
        <w:t>(2) Además, las solicitudes de ayuda de ese operador tampoco serán admisibles:</w:t>
      </w:r>
    </w:p>
    <w:p w:rsidR="00786B3E" w:rsidRDefault="00786B3E" w:rsidP="00786B3E">
      <w:pPr>
        <w:ind w:left="284"/>
      </w:pPr>
      <w:r>
        <w:t xml:space="preserve">a) </w:t>
      </w:r>
      <w:r>
        <w:rPr>
          <w:b/>
        </w:rPr>
        <w:t>si las solicitudes relativas</w:t>
      </w:r>
      <w:r>
        <w:t xml:space="preserve"> a más de la mitad de los buques pesqueros que sean propiedad o estén bajo el control de dicho operador sean inadmisibles para recibir ayuda en virtud del artículo 3 o del artículo 4; o</w:t>
      </w:r>
    </w:p>
    <w:p w:rsidR="00786B3E" w:rsidRDefault="00786B3E" w:rsidP="00786B3E"/>
    <w:p w:rsidR="00786B3E" w:rsidRDefault="00786B3E" w:rsidP="00786B3E">
      <w:r>
        <w:t>España planteó una cuestión relativa al artículo 8.2, letra a), durante la consulta de la Comisión sobre el proyecto de Reglamento (CE) n.º 2022/2181; la respuesta de la Comisión se compartió con los expertos del FEMP/FEMPA de los Estados miembros (véase el anexo). En su opinión, entendemos que los criterios para aceptar o denegar una solicitud de ayuda presentada por un armador con varios buques, cuando solicita ayuda para uno de sus buques con los que no ha cometido una infracción, es que más de la mitad de sus buques no deben ser objeto de una infracción grave o que no tiene un número de infracciones graves superior al número de buques de su propiedad, con independencia de que haya presentado una solicitud para todos o solo uno para los buques para los que no ha cometido ninguna infracción.</w:t>
      </w:r>
    </w:p>
    <w:p w:rsidR="00786B3E" w:rsidRDefault="00786B3E" w:rsidP="00786B3E"/>
    <w:p w:rsidR="00786B3E" w:rsidRDefault="00786B3E" w:rsidP="00786B3E">
      <w:r>
        <w:t>Véase la respuesta de la Comisión recibida en octubre de 2017.</w:t>
      </w:r>
    </w:p>
    <w:p w:rsidR="00786B3E" w:rsidRDefault="00786B3E" w:rsidP="00786B3E">
      <w:r>
        <w:t>Si un operador posee 2 buques y solo 1 buques incurren en infracciones, el segundo puede recibir ayuda (el 50 % no es superior a la mitad), excepto si el número medio de puntos por buque pesquero es igual o superior a siete puntos (por ejemplo, si el único buque con puntos tiene más de 14 puntos).</w:t>
      </w:r>
    </w:p>
    <w:p w:rsidR="00786B3E" w:rsidRDefault="00786B3E" w:rsidP="00786B3E">
      <w:r>
        <w:t xml:space="preserve">De acuerdo con esto y con las respuestas dadas a nuestras investigaciones durante el período 2014-2020, nuestra interpretación es </w:t>
      </w:r>
      <w:proofErr w:type="gramStart"/>
      <w:r>
        <w:t>que</w:t>
      </w:r>
      <w:proofErr w:type="gramEnd"/>
      <w:r>
        <w:t xml:space="preserve"> si un armador solicita ayudas para 1 de sus 2 buques para los que no tiene ninguna infracción grave, pero el propietario fue sancionado previamente por otro buque que entretanto ha vendido, el armador seguiría </w:t>
      </w:r>
      <w:r>
        <w:lastRenderedPageBreak/>
        <w:t>teniendo 1 infracciones graves que no se transfieren con la venta, aunque no tenga infracciones graves en relación con sus 2 buques actuales.</w:t>
      </w:r>
    </w:p>
    <w:p w:rsidR="00786B3E" w:rsidRDefault="00786B3E" w:rsidP="00786B3E">
      <w:r>
        <w:t>Por lo tanto, ¿podría el armador recibir ayuda para ambos buques actuales (</w:t>
      </w:r>
      <w:r w:rsidR="002F3719">
        <w:t xml:space="preserve">ya que, </w:t>
      </w:r>
      <w:r>
        <w:t>no tiene infracciones durante más de la mitad de sus buques), independientemente de que presente 1 o 2 solicitudes en el marco de la convocatoria pública correspondiente?</w:t>
      </w:r>
    </w:p>
    <w:p w:rsidR="00786B3E" w:rsidRDefault="00786B3E" w:rsidP="00786B3E"/>
    <w:p w:rsidR="00786B3E" w:rsidRDefault="00786B3E" w:rsidP="00786B3E">
      <w:r>
        <w:t>A modo de resumen: la cuestión que se plantea es si los criterios de concesión de la ayuda están vinculados a la situación del armador en lo que respecta al número de infracciones graves y al número de buques propiedad, y no al número de solicitudes de ayuda presentadas por el armador.</w:t>
      </w:r>
    </w:p>
    <w:p w:rsidR="00786B3E" w:rsidRDefault="00786B3E" w:rsidP="00786B3E"/>
    <w:p w:rsidR="00786B3E" w:rsidRDefault="00786B3E" w:rsidP="00786B3E">
      <w:pPr>
        <w:pStyle w:val="P68B1DB1-Normal1"/>
      </w:pPr>
      <w:r>
        <w:t>Respuesta.</w:t>
      </w:r>
    </w:p>
    <w:p w:rsidR="00786B3E" w:rsidRDefault="00786B3E" w:rsidP="00786B3E">
      <w:r>
        <w:t>Para garantizar un trato justo a los operadores que se convierten en nuevos propietarios, la inadmisibilidad sigue recayendo en el propietario inicial a pesar de la venta u otro tipo de transferencia de propiedad de un buque con infracciones graves, por lo que no se transfiere al nuevo armador (véase el artículo 9, apartado 1, del Reglamento Delegado 2022/2181 de la Comisión). Sin embargo, los puntos asignados previamente al operador titular de la licencia de pesca se transferirán al nuevo titular de la licencia de pesca, el nuevo propietario (véase el artículo 92, apartado 2, del Reglamento (CE) no 1224/2009).</w:t>
      </w:r>
    </w:p>
    <w:p w:rsidR="00786B3E" w:rsidRDefault="00786B3E" w:rsidP="00786B3E"/>
    <w:p w:rsidR="00786B3E" w:rsidRDefault="00786B3E" w:rsidP="00786B3E">
      <w:r>
        <w:t>De conformidad con el artículo 8 del Reglamento Delegado (UE) 2022/2181 de la Comisión, si un operador posee más de un buque pesquero, el período de inadmisibilidad de una solicitud de ayuda presentada por dicho operador se determinará por separado para cada buque pesquero. No obstante, el artículo 8, apartado 2, de dicho Reglamento establece que el operador también será inadmisible en las siguientes situaciones:</w:t>
      </w:r>
    </w:p>
    <w:p w:rsidR="00786B3E" w:rsidRDefault="00786B3E" w:rsidP="00786B3E"/>
    <w:p w:rsidR="00786B3E" w:rsidRDefault="00786B3E" w:rsidP="00786B3E">
      <w:pPr>
        <w:numPr>
          <w:ilvl w:val="0"/>
          <w:numId w:val="268"/>
        </w:numPr>
      </w:pPr>
      <w:r>
        <w:rPr>
          <w:b/>
        </w:rPr>
        <w:t>si las solicitudes en relación con más</w:t>
      </w:r>
      <w:r>
        <w:t xml:space="preserve"> </w:t>
      </w:r>
      <w:r>
        <w:rPr>
          <w:b/>
        </w:rPr>
        <w:t xml:space="preserve">de la mitad de los buques pesqueros </w:t>
      </w:r>
      <w:r>
        <w:t xml:space="preserve">que sean propiedad o estén bajo el control de ese operador </w:t>
      </w:r>
      <w:r>
        <w:rPr>
          <w:b/>
        </w:rPr>
        <w:t>son inadmisibles a efectos</w:t>
      </w:r>
      <w:r>
        <w:t xml:space="preserve"> de la ayuda con arreglo a lo dispuesto en el artículo 3 o en el artículo 4, o</w:t>
      </w:r>
    </w:p>
    <w:p w:rsidR="00786B3E" w:rsidRDefault="00786B3E" w:rsidP="00786B3E">
      <w:pPr>
        <w:numPr>
          <w:ilvl w:val="0"/>
          <w:numId w:val="268"/>
        </w:numPr>
      </w:pPr>
      <w:r>
        <w:t xml:space="preserve">cuando se hayan asignado puntos de infracción por infracciones graves de conformidad con el artículo 42, apartado 1, letra a), del Reglamento (CE) n.º 1005/2008 o el artículo 90, apartado 1, letra a), y letra c), del Reglamento (CE) n.o </w:t>
      </w:r>
      <w:r>
        <w:rPr>
          <w:b/>
        </w:rPr>
        <w:t>1224/2009, si el número medio de puntos de infracción asignados por buque pesquero que sea propiedad de dicho operador o esté bajo su control sea igual o superior a</w:t>
      </w:r>
      <w:r>
        <w:t xml:space="preserve"> 7 puntos.</w:t>
      </w:r>
    </w:p>
    <w:p w:rsidR="00786B3E" w:rsidRDefault="00786B3E" w:rsidP="00786B3E"/>
    <w:p w:rsidR="00786B3E" w:rsidRDefault="00786B3E" w:rsidP="00786B3E">
      <w:r>
        <w:t>Esto significa que, por ejemplo:</w:t>
      </w:r>
    </w:p>
    <w:p w:rsidR="00786B3E" w:rsidRDefault="00786B3E" w:rsidP="00786B3E"/>
    <w:p w:rsidR="00786B3E" w:rsidRDefault="00786B3E" w:rsidP="00786B3E">
      <w:r>
        <w:rPr>
          <w:b/>
        </w:rPr>
        <w:lastRenderedPageBreak/>
        <w:t>Si un operador posee 2 buques y solo 1 buque se ve afectado por el período de inadmisibilidad</w:t>
      </w:r>
      <w:r>
        <w:t>, el operador podría recibir ayuda para el buque que no se vea afectado por el período de inadmisibilidad [1/2 no es superior a la mitad, véase el artículo 8, apartado 2, letra a), del Reglamento Delegado de la Comisión], siempre que el número medio de puntos por buque pesquero no sea igual o superior a siete puntos (por ejemplo, si el único buque con puntos tiene menos de 14 puntos; o si entre ambos no superan la media de 7 puntos, por ejemplo, uno tiene 7 puntos y otro 6).</w:t>
      </w:r>
    </w:p>
    <w:p w:rsidR="00786B3E" w:rsidRDefault="00786B3E" w:rsidP="00786B3E"/>
    <w:p w:rsidR="00786B3E" w:rsidRDefault="00786B3E" w:rsidP="00786B3E">
      <w:r>
        <w:rPr>
          <w:b/>
        </w:rPr>
        <w:t>Si el operador posee 2 buques con respecto a los cuales no se ve afectado por el período de inadmisibilidad, pero el operador se vio afectado por un período de inadmisibilidad en otro buque que haya vendido entretanto, el operador también debe</w:t>
      </w:r>
      <w:r>
        <w:t xml:space="preserve"> cumplir la norma del 50 % mencionada anteriormente, teniendo en cuenta también el buque que anteriormente era propiedad mientras persista el período de inadmisibilidad relativo a dicho buque.</w:t>
      </w:r>
    </w:p>
    <w:p w:rsidR="00786B3E" w:rsidRDefault="00786B3E" w:rsidP="00786B3E"/>
    <w:p w:rsidR="00786B3E" w:rsidRDefault="00786B3E" w:rsidP="00786B3E">
      <w:r>
        <w:t>En tal caso, ambos buques serían admisibles para recibir ayuda en virtud de la norma del 50 % mencionada anteriormente (solo 1/3 buques se ven afectados por el período de inadmisibilidad) siempre que el número medio de puntos por buque pesquero de propiedad actual no sea igual o superior a siete puntos.</w:t>
      </w:r>
    </w:p>
    <w:p w:rsidR="00786B3E" w:rsidRDefault="00786B3E" w:rsidP="00786B3E"/>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604" w:name="scroll-bookmark-709"/>
      <w:bookmarkStart w:id="605" w:name="scroll-bookmark-710"/>
      <w:bookmarkEnd w:id="604"/>
      <w:r>
        <w:t xml:space="preserve">QA696: </w:t>
      </w:r>
      <w:r w:rsidR="00DF0906">
        <w:t>EMFAF</w:t>
      </w:r>
      <w:r>
        <w:t xml:space="preserve"> Intensidad máxima de la ayuda para los buques de pesca interior</w:t>
      </w:r>
      <w:bookmarkEnd w:id="605"/>
    </w:p>
    <w:p w:rsidR="00786B3E" w:rsidRDefault="00786B3E" w:rsidP="00786B3E">
      <w:r>
        <w:rPr>
          <w:noProof/>
          <w:lang w:val="es-ES"/>
        </w:rPr>
        <w:drawing>
          <wp:inline distT="0" distB="0" distL="0" distR="0" wp14:anchorId="1407EA09" wp14:editId="0EAA0741">
            <wp:extent cx="152435" cy="152435"/>
            <wp:effectExtent l="0" t="0" r="0" b="0"/>
            <wp:docPr id="101215" name="Imagen 1012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i/>
        </w:rPr>
        <w:t>Artículo 2 del Reglamento FEMPA</w:t>
      </w:r>
    </w:p>
    <w:p w:rsidR="00786B3E" w:rsidRDefault="00786B3E" w:rsidP="00786B3E">
      <w:r>
        <w:rPr>
          <w:noProof/>
          <w:lang w:val="es-ES"/>
        </w:rPr>
        <w:drawing>
          <wp:inline distT="0" distB="0" distL="0" distR="0" wp14:anchorId="2BE513FE" wp14:editId="0E3CC6C7">
            <wp:extent cx="152435" cy="152435"/>
            <wp:effectExtent l="0" t="0" r="0" b="0"/>
            <wp:docPr id="101217" name="Imagen 1012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t>Pregunta (incluidos los hechos y la información pertinentes):</w:t>
      </w:r>
    </w:p>
    <w:p w:rsidR="00786B3E" w:rsidRDefault="00786B3E" w:rsidP="00786B3E">
      <w:r>
        <w:t>Le rogamos nos ayude a aclarar las siguientes disposiciones del Reglamento (UE) n.º 1139/2021:</w:t>
      </w:r>
    </w:p>
    <w:p w:rsidR="00786B3E" w:rsidRDefault="00786B3E" w:rsidP="00786B3E"/>
    <w:p w:rsidR="00786B3E" w:rsidRDefault="00786B3E" w:rsidP="00786B3E">
      <w:pPr>
        <w:numPr>
          <w:ilvl w:val="0"/>
          <w:numId w:val="269"/>
        </w:numPr>
      </w:pPr>
      <w:r>
        <w:t>De conformidad con el artículo 2, apartado 2, punto (14), a efectos del Reglamento FEMPA, se entenderá por «</w:t>
      </w:r>
      <w:r>
        <w:rPr>
          <w:i/>
        </w:rPr>
        <w:t>pesca costera artesanal» las actividades pesqueras llevadas a cabo por: buques de pesca marítima e interior de eslora total inferior a 12 metros que no utilicen los artes de arrastre definidos en el artículo 2, punto (1), del Reglamento (CE) n.º 1967/2006 del Consejo (28); o pescadores a pie, incluidos los mariscadores;</w:t>
      </w:r>
      <w:r>
        <w:t>»</w:t>
      </w:r>
    </w:p>
    <w:p w:rsidR="00786B3E" w:rsidRDefault="00786B3E" w:rsidP="00786B3E">
      <w:pPr>
        <w:numPr>
          <w:ilvl w:val="0"/>
          <w:numId w:val="269"/>
        </w:numPr>
      </w:pPr>
      <w:r>
        <w:t xml:space="preserve"> De conformidad con el punto (6) del mismo artículo y </w:t>
      </w:r>
      <w:proofErr w:type="spellStart"/>
      <w:proofErr w:type="gramStart"/>
      <w:r>
        <w:t>apartado,</w:t>
      </w:r>
      <w:r>
        <w:rPr>
          <w:i/>
        </w:rPr>
        <w:t>por</w:t>
      </w:r>
      <w:proofErr w:type="spellEnd"/>
      <w:proofErr w:type="gramEnd"/>
      <w:r>
        <w:rPr>
          <w:i/>
        </w:rPr>
        <w:t xml:space="preserve"> «pesca interior» se entiende las actividades pesqueras realizadas con fines comerciales en aguas interiores por buques u otros dispositivos, incluidos los utilizados para la pesca en hielo</w:t>
      </w:r>
      <w:r>
        <w:t>».</w:t>
      </w:r>
    </w:p>
    <w:p w:rsidR="00786B3E" w:rsidRDefault="00786B3E" w:rsidP="00786B3E">
      <w:r>
        <w:t>La conclusión de estas dos definiciones es que, a efectos del Reglamento FEMPA, uno de los tipos de pesca costera artesanal</w:t>
      </w:r>
      <w:r>
        <w:rPr>
          <w:i/>
        </w:rPr>
        <w:t xml:space="preserve"> </w:t>
      </w:r>
      <w:r>
        <w:t>es la pesca interior realizada con fines comerciales en aguas interiores por buques de menos de 12 metros de eslora que no utilicen artes de arrastre, tal como se definen en el artículo 2, punto (1), del Reglamento (CE) n.º 1967/2006 del Consejo (28).</w:t>
      </w:r>
    </w:p>
    <w:p w:rsidR="00786B3E" w:rsidRDefault="00786B3E" w:rsidP="00786B3E">
      <w:pPr>
        <w:ind w:left="284"/>
      </w:pPr>
      <w:r>
        <w:t>(3) Según la fila 7 del anexo III del Reglamento FEMPA, «</w:t>
      </w:r>
      <w:r>
        <w:rPr>
          <w:i/>
        </w:rPr>
        <w:t>Operaciones relacionadas con la pesca costera artesanal</w:t>
      </w:r>
      <w:r>
        <w:t>» puede tener un porcentaje máximo de intensidad de ayuda del 100 %.</w:t>
      </w:r>
    </w:p>
    <w:p w:rsidR="00786B3E" w:rsidRDefault="00786B3E" w:rsidP="00786B3E">
      <w:r>
        <w:t>Teniendo en cuenta las definiciones a efectos del Reglamento FEMPA mencionadas anteriormente, dado que uno de los tipos de pesca costera artesanal consiste en la pesca interior realizada con fines comerciales en aguas interiores por buques de menos de 12 metros de eslora y que no utilizan artes de arrastre, tal como se definen en el artículo 2, punto (1), del Reglamento (CE) n.º 1967/2006 del Consejo (28), la conclusión debe ser que el porcentaje máximo de intensidad de ayuda establecido para las operaciones relacionadas con la pesca costera artesanal también puede aplicarse a las operaciones relacionadas con la pesca interior realizadas con fines comerciales en aguas interiores por buques de menos de 12 metros de eslora que no utilicen artes de arrastre, tal como se definen en el artículo 2, punto (1), del Reglamento (CE) n.º 1967/2006 del Consejo (28).</w:t>
      </w:r>
    </w:p>
    <w:p w:rsidR="00786B3E" w:rsidRDefault="00786B3E" w:rsidP="00786B3E">
      <w:r>
        <w:t>En otras palabras, las operaciones relacionadas con los buques de pesca comercial de aguas interiores, de menos de 12 metros y sin dichos artes de arrastre, pueden beneficiarse de un porcentaje máximo de intensidad de ayuda del 100 %.</w:t>
      </w:r>
    </w:p>
    <w:p w:rsidR="00786B3E" w:rsidRDefault="00786B3E" w:rsidP="00786B3E">
      <w:r>
        <w:t>Rogamos nos indiquen si esta interpretación de las disposiciones del FEMPA es correcta o, en caso negativo, por qué esta interpretación es errónea.</w:t>
      </w:r>
    </w:p>
    <w:p w:rsidR="00786B3E" w:rsidRDefault="00786B3E" w:rsidP="00786B3E"/>
    <w:p w:rsidR="00786B3E" w:rsidRDefault="00786B3E" w:rsidP="00786B3E">
      <w:pPr>
        <w:pStyle w:val="P68B1DB1-Normal1"/>
      </w:pPr>
      <w:r>
        <w:t>Respuesta.</w:t>
      </w:r>
    </w:p>
    <w:p w:rsidR="00786B3E" w:rsidRDefault="00786B3E" w:rsidP="00786B3E">
      <w:r>
        <w:lastRenderedPageBreak/>
        <w:t>A efectos del FEMPA, los buques de pesca interior de eslora total inferior a 12 metros que no utilicen artes de arrastre se consideran buques de pesca costera artesanal, por lo que pueden optar a la intensidad de ayuda del 100 % reservada a las operaciones relacionadas con la pesca costera artesanal de conformidad con la fila 7 del anexo III del Reglamento FEMPA.</w:t>
      </w:r>
    </w:p>
    <w:p w:rsidR="00786B3E" w:rsidRDefault="00786B3E" w:rsidP="00786B3E">
      <w:r>
        <w:t xml:space="preserve">De conformidad con el artículo 2, apartado 2, punto (6), del Reglamento </w:t>
      </w:r>
      <w:proofErr w:type="spellStart"/>
      <w:proofErr w:type="gramStart"/>
      <w:r>
        <w:t>FEMPA,</w:t>
      </w:r>
      <w:r>
        <w:rPr>
          <w:i/>
        </w:rPr>
        <w:t>por</w:t>
      </w:r>
      <w:proofErr w:type="spellEnd"/>
      <w:proofErr w:type="gramEnd"/>
      <w:r>
        <w:rPr>
          <w:i/>
        </w:rPr>
        <w:t xml:space="preserve"> «pesca interior» se entiende las actividades pesqueras realizadas con fines comerciales en aguas interiores por buques u otros dispositivos, incluidos los utilizados para la </w:t>
      </w:r>
      <w:proofErr w:type="spellStart"/>
      <w:r>
        <w:rPr>
          <w:i/>
        </w:rPr>
        <w:t>pesca</w:t>
      </w:r>
      <w:r>
        <w:t>en</w:t>
      </w:r>
      <w:proofErr w:type="spellEnd"/>
      <w:r>
        <w:t xml:space="preserve"> hielo».</w:t>
      </w:r>
    </w:p>
    <w:p w:rsidR="00786B3E" w:rsidRDefault="00786B3E" w:rsidP="00786B3E"/>
    <w:p w:rsidR="00786B3E" w:rsidRDefault="00786B3E" w:rsidP="00786B3E">
      <w:pPr>
        <w:pStyle w:val="P68B1DB1-Normal4"/>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606" w:name="scroll-bookmark-711"/>
      <w:bookmarkStart w:id="607" w:name="scroll-bookmark-712"/>
      <w:bookmarkEnd w:id="606"/>
      <w:proofErr w:type="spellStart"/>
      <w:r>
        <w:t>QAê</w:t>
      </w:r>
      <w:proofErr w:type="spellEnd"/>
      <w:r>
        <w:t xml:space="preserve"> FSE ± 001 — Definición de empresa social</w:t>
      </w:r>
      <w:bookmarkEnd w:id="607"/>
    </w:p>
    <w:p w:rsidR="00786B3E" w:rsidRDefault="00786B3E" w:rsidP="00786B3E">
      <w:r>
        <w:rPr>
          <w:noProof/>
          <w:lang w:val="es-ES"/>
        </w:rPr>
        <w:drawing>
          <wp:inline distT="0" distB="0" distL="0" distR="0" wp14:anchorId="4CA2690E" wp14:editId="0DA510BC">
            <wp:extent cx="152435" cy="152435"/>
            <wp:effectExtent l="0" t="0" r="0" b="0"/>
            <wp:docPr id="101219" name="Imagen 1012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del FSE +</w:t>
      </w:r>
    </w:p>
    <w:p w:rsidR="00786B3E" w:rsidRDefault="00786B3E" w:rsidP="00786B3E">
      <w:r>
        <w:rPr>
          <w:noProof/>
          <w:lang w:val="es-ES"/>
        </w:rPr>
        <w:drawing>
          <wp:inline distT="0" distB="0" distL="0" distR="0" wp14:anchorId="107FBD30" wp14:editId="0F899975">
            <wp:extent cx="152435" cy="152435"/>
            <wp:effectExtent l="0" t="0" r="0" b="0"/>
            <wp:docPr id="101221" name="Imagen 1012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 w:rsidR="00786B3E" w:rsidRDefault="00786B3E" w:rsidP="00786B3E">
      <w:r>
        <w:t>¿Prevalece la definición del Reglamento del FSE + sobre las empresas sociales sobre las ayudas nacionales en el marco de la gestión compartida del FSE +? </w:t>
      </w:r>
    </w:p>
    <w:p w:rsidR="00786B3E" w:rsidRDefault="00786B3E" w:rsidP="00786B3E">
      <w:pPr>
        <w:pStyle w:val="P68B1DB1-Normal1"/>
      </w:pPr>
      <w:r>
        <w:t>Respuesta.</w:t>
      </w:r>
    </w:p>
    <w:p w:rsidR="00786B3E" w:rsidRDefault="00786B3E" w:rsidP="00786B3E"/>
    <w:p w:rsidR="00786B3E" w:rsidRDefault="00786B3E" w:rsidP="00786B3E">
      <w:r>
        <w:t xml:space="preserve">La terminología sobre «empresa social» ya estaba definida y bien establecida en el antiguo programa </w:t>
      </w:r>
      <w:proofErr w:type="spellStart"/>
      <w:r>
        <w:t>EaSI</w:t>
      </w:r>
      <w:proofErr w:type="spellEnd"/>
      <w:r>
        <w:t xml:space="preserve"> 2014-2020 por el Reglamento (UE) n.º 1296/2013 y ahora esta </w:t>
      </w:r>
      <w:r>
        <w:lastRenderedPageBreak/>
        <w:t>terminología se perfecciona en el Reglamento del FSE + en virtud del artículo 2, apartado 1</w:t>
      </w:r>
      <w:r w:rsidR="0088115E">
        <w:t>, (</w:t>
      </w:r>
      <w:r>
        <w:t xml:space="preserve">15). La definición se aplica a ambos capítulos del programa del FSE +; sin embargo, en la práctica, esta definición es más pertinente para el capítulo de gestión directa e indirecta, </w:t>
      </w:r>
      <w:r w:rsidR="002F3719">
        <w:t xml:space="preserve">ya que, </w:t>
      </w:r>
      <w:r>
        <w:t xml:space="preserve">en el capítulo de gestión compartida este término solo se utiliza en el contexto del artículo 14 («acciones sociales innovadoras»). Como se indica en el considerando 29 del Reglamento del FSE +, la definición de «empresa de la economía social» debe estar en consonancia con las definiciones establecidas en la legislación nacional y las Conclusiones del Consejo, de 7 de diciembre de 2015, sobre la promoción de la economía social como motor clave del desarrollo económico y social en Europa. El considerando 36 aclara además que las «empresas de la economía social», cuando estén definidas con arreglo al Derecho nacional, deben considerarse empresas sociales en el contexto del capítulo </w:t>
      </w:r>
      <w:proofErr w:type="spellStart"/>
      <w:r>
        <w:t>EaSI</w:t>
      </w:r>
      <w:proofErr w:type="spellEnd"/>
      <w:r>
        <w:t>, independientemente de su estatuto jurídico, en la medida en que dichas empresas entren en la definición de «empresa social» establecida en el Reglamento del FSE +.</w:t>
      </w:r>
    </w:p>
    <w:p w:rsidR="00786B3E" w:rsidRDefault="00786B3E" w:rsidP="00786B3E"/>
    <w:p w:rsidR="00786B3E" w:rsidRDefault="00786B3E" w:rsidP="00786B3E"/>
    <w:p w:rsidR="00786B3E" w:rsidRDefault="00786B3E" w:rsidP="00786B3E">
      <w:pPr>
        <w:pStyle w:val="Ttulo1"/>
      </w:pPr>
      <w:bookmarkStart w:id="608" w:name="scroll-bookmark-713"/>
      <w:bookmarkStart w:id="609" w:name="scroll-bookmark-714"/>
      <w:bookmarkEnd w:id="608"/>
      <w:proofErr w:type="spellStart"/>
      <w:r>
        <w:t>Quáter</w:t>
      </w:r>
      <w:proofErr w:type="spellEnd"/>
      <w:r>
        <w:t xml:space="preserve"> FSE ± 002 — Relación entre los objetivos específicos (h) y (l)</w:t>
      </w:r>
      <w:bookmarkEnd w:id="609"/>
    </w:p>
    <w:p w:rsidR="00786B3E" w:rsidRDefault="00786B3E" w:rsidP="00786B3E">
      <w:r>
        <w:rPr>
          <w:noProof/>
          <w:lang w:val="es-ES"/>
        </w:rPr>
        <w:drawing>
          <wp:inline distT="0" distB="0" distL="0" distR="0" wp14:anchorId="2CD0C7C4" wp14:editId="608C6EC3">
            <wp:extent cx="152435" cy="152435"/>
            <wp:effectExtent l="0" t="0" r="0" b="0"/>
            <wp:docPr id="101223" name="Imagen 1012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 </w:t>
      </w:r>
    </w:p>
    <w:p w:rsidR="00786B3E" w:rsidRDefault="00786B3E" w:rsidP="00786B3E">
      <w:r>
        <w:rPr>
          <w:noProof/>
          <w:lang w:val="es-ES"/>
        </w:rPr>
        <w:drawing>
          <wp:inline distT="0" distB="0" distL="0" distR="0" wp14:anchorId="06821066" wp14:editId="46BBDF90">
            <wp:extent cx="152435" cy="152435"/>
            <wp:effectExtent l="0" t="0" r="0" b="0"/>
            <wp:docPr id="101225" name="Imagen 1012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¿Cuál es la relación o diferencia entre los objetivos específicos h) y l)? </w:t>
      </w:r>
    </w:p>
    <w:p w:rsidR="00786B3E" w:rsidRDefault="00786B3E" w:rsidP="00786B3E"/>
    <w:p w:rsidR="00786B3E" w:rsidRDefault="00786B3E" w:rsidP="00786B3E">
      <w:pPr>
        <w:pStyle w:val="P68B1DB1-Normal1"/>
      </w:pPr>
      <w:r>
        <w:t>Respuesta.</w:t>
      </w:r>
    </w:p>
    <w:p w:rsidR="00786B3E" w:rsidRDefault="00786B3E" w:rsidP="00786B3E">
      <w:r>
        <w:t xml:space="preserve">Así que h) requiere un vínculo con el mercado laboral, mientras que este no es el caso del </w:t>
      </w:r>
      <w:proofErr w:type="spellStart"/>
      <w:r>
        <w:t>ObE</w:t>
      </w:r>
      <w:proofErr w:type="spellEnd"/>
      <w:r>
        <w:t xml:space="preserve"> l), por lo que las medidas de activación social pueden programarse en el marco del </w:t>
      </w:r>
      <w:proofErr w:type="spellStart"/>
      <w:r>
        <w:t>ObE</w:t>
      </w:r>
      <w:proofErr w:type="spellEnd"/>
      <w:r>
        <w:t xml:space="preserve"> h). Por lo tanto, l) debería centrarse en las medidas de integración social, que no están vinculadas al mercado laboral. Este pliego de cargos se basa en el alcance de la ayuda proporcionada por el FEAD en 2014-2020 en el marco del PO II y también puede utilizarse para medidas de apoyo a la integración social de las personas más desfavorecidas, pero no se limita a este grupo destinatario. Por lo tanto, los Estados miembros tienen flexibilidad para programar medidas destinadas a promover la integración social de las personas en riesgo de pobreza o en situación de pobreza.  Es posible prestar apoyo a las medidas de integración social en el marco del </w:t>
      </w:r>
      <w:proofErr w:type="spellStart"/>
      <w:r>
        <w:t>ObE</w:t>
      </w:r>
      <w:proofErr w:type="spellEnd"/>
      <w:r>
        <w:t xml:space="preserve"> (l) que sean independientes del apoyo prestado en virtud de la letra m). Además, también es posible utilizar el </w:t>
      </w:r>
      <w:proofErr w:type="spellStart"/>
      <w:r>
        <w:t>ObE</w:t>
      </w:r>
      <w:proofErr w:type="spellEnd"/>
      <w:r>
        <w:t xml:space="preserve"> (l) para complementar el apoyo a las personas más desfavorecidas en virtud del </w:t>
      </w:r>
      <w:proofErr w:type="spellStart"/>
      <w:r>
        <w:t>ObE</w:t>
      </w:r>
      <w:proofErr w:type="spellEnd"/>
      <w:r>
        <w:t xml:space="preserve"> (m). El apoyo a las medidas de acompañamiento para las personas más desfavorecidas es obligatorio, pero pueden apoyarse en el </w:t>
      </w:r>
      <w:proofErr w:type="spellStart"/>
      <w:r>
        <w:t>ObE</w:t>
      </w:r>
      <w:proofErr w:type="spellEnd"/>
      <w:r>
        <w:t xml:space="preserve"> m) o en el </w:t>
      </w:r>
      <w:proofErr w:type="spellStart"/>
      <w:r>
        <w:t>ObE</w:t>
      </w:r>
      <w:proofErr w:type="spellEnd"/>
      <w:r>
        <w:t xml:space="preserve"> l) (como medidas de integración social). Por lo tanto, h) debe utilizarse en caso de que la </w:t>
      </w:r>
      <w:r>
        <w:lastRenderedPageBreak/>
        <w:t>activación social forme parte de un itinerario de integración hacia el mercado laboral para las personas en riesgo de pobreza y exclusión social.</w:t>
      </w:r>
    </w:p>
    <w:p w:rsidR="00786B3E" w:rsidRDefault="00786B3E" w:rsidP="00786B3E"/>
    <w:p w:rsidR="00786B3E" w:rsidRDefault="00786B3E" w:rsidP="00786B3E"/>
    <w:p w:rsidR="00786B3E" w:rsidRDefault="00786B3E" w:rsidP="00786B3E"/>
    <w:p w:rsidR="00786B3E" w:rsidRDefault="00786B3E" w:rsidP="00786B3E">
      <w:pPr>
        <w:pStyle w:val="Ttulo1"/>
      </w:pPr>
      <w:bookmarkStart w:id="610" w:name="scroll-bookmark-715"/>
      <w:bookmarkStart w:id="611" w:name="scroll-bookmark-716"/>
      <w:bookmarkEnd w:id="610"/>
      <w:proofErr w:type="spellStart"/>
      <w:r>
        <w:t>Quáter</w:t>
      </w:r>
      <w:proofErr w:type="spellEnd"/>
      <w:r>
        <w:t xml:space="preserve"> FSE ± 003 — Medidas temporales para el uso del FSE + a fin de responder a circunstancias excepcionales y excepcionales</w:t>
      </w:r>
      <w:bookmarkEnd w:id="611"/>
    </w:p>
    <w:p w:rsidR="00786B3E" w:rsidRDefault="00786B3E" w:rsidP="00786B3E">
      <w:r>
        <w:rPr>
          <w:noProof/>
          <w:lang w:val="es-ES"/>
        </w:rPr>
        <w:drawing>
          <wp:inline distT="0" distB="0" distL="0" distR="0" wp14:anchorId="307C6E3B" wp14:editId="309D9BE3">
            <wp:extent cx="152435" cy="152435"/>
            <wp:effectExtent l="0" t="0" r="0" b="0"/>
            <wp:docPr id="101227" name="Imagen 1012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 apartado 3,</w:t>
      </w:r>
    </w:p>
    <w:p w:rsidR="00786B3E" w:rsidRDefault="00786B3E" w:rsidP="00786B3E">
      <w:r>
        <w:rPr>
          <w:noProof/>
          <w:lang w:val="es-ES"/>
        </w:rPr>
        <w:drawing>
          <wp:inline distT="0" distB="0" distL="0" distR="0" wp14:anchorId="29720DC3" wp14:editId="1786B175">
            <wp:extent cx="152435" cy="152435"/>
            <wp:effectExtent l="0" t="0" r="0" b="0"/>
            <wp:docPr id="101229" name="Imagen 1012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¿Cómo funcionan en la práctica las medidas temporales para el uso del FSE + para responder a circunstancias excepcionales y excepcionales?</w:t>
      </w:r>
    </w:p>
    <w:p w:rsidR="00786B3E" w:rsidRDefault="00786B3E" w:rsidP="00786B3E"/>
    <w:p w:rsidR="00786B3E" w:rsidRDefault="00786B3E" w:rsidP="00786B3E">
      <w:pPr>
        <w:pStyle w:val="P68B1DB1-Normal1"/>
      </w:pPr>
      <w:r>
        <w:t>Respuesta.</w:t>
      </w:r>
    </w:p>
    <w:p w:rsidR="00786B3E" w:rsidRDefault="00786B3E" w:rsidP="00786B3E">
      <w:r>
        <w:t>Para extraer las lecciones de la crisis actual, es imperativo que el marco jurídico del FSE + prevea mecanismos que puedan invocarse rápidamente en caso de que surjan circunstancias excepcionales en la próxima década. Está vinculado al artículo 20 del RDC.</w:t>
      </w:r>
    </w:p>
    <w:p w:rsidR="00786B3E" w:rsidRDefault="00786B3E" w:rsidP="00786B3E">
      <w:r>
        <w:br/>
        <w:t>Por lo tanto, el FSE + está facultado para que la Comisión adopte medidas temporales para la utilización del FSE + en respuesta a circunstancias excepcionales e inusuales para determinados Estados miembros, a fin de garantizar que, en circunstancias limitadas y específicas, puedan concederse excepciones a determinadas normas para facilitar la respuesta a dichas circunstancias.</w:t>
      </w:r>
    </w:p>
    <w:p w:rsidR="00786B3E" w:rsidRDefault="00786B3E" w:rsidP="00786B3E">
      <w:r>
        <w:br/>
        <w:t>Entre ellas se incluye la posibilidad de ampliar el ámbito de aplicación del apoyo al FSE +, en particular para permitir la financiación de regímenes de reducción del tiempo de trabajo, que no se combinan con medidas activas, y el acceso a la asistencia sanitaria, también para las personas que no se encuentran en una situación de vulnerabilidad socioeconómica inmediata. Este plazo es de 18 meses.</w:t>
      </w:r>
    </w:p>
    <w:p w:rsidR="00786B3E" w:rsidRDefault="00786B3E" w:rsidP="00786B3E">
      <w:r>
        <w:br/>
        <w:t xml:space="preserve">La disposición también establece que, si se considera necesario, la Comisión puede proponer modificaciones del Reglamento. Esto puede incluir modificaciones de los requisitos de concentración temática, excepto los relacionados con la juventud y el apoyo a las personas más desfavorecidas, </w:t>
      </w:r>
      <w:r w:rsidR="002F3719">
        <w:t xml:space="preserve">ya que, </w:t>
      </w:r>
      <w:r>
        <w:t xml:space="preserve">estos grupos a menudo se ven más </w:t>
      </w:r>
      <w:r>
        <w:lastRenderedPageBreak/>
        <w:t>afectados por estas crisis y, en consecuencia, debe destinarse siempre una cantidad determinada de recursos a estos grupos.</w:t>
      </w:r>
    </w:p>
    <w:p w:rsidR="00786B3E" w:rsidRDefault="00786B3E" w:rsidP="00786B3E"/>
    <w:p w:rsidR="00786B3E" w:rsidRDefault="00786B3E" w:rsidP="00786B3E"/>
    <w:p w:rsidR="00786B3E" w:rsidRDefault="00786B3E" w:rsidP="00786B3E"/>
    <w:p w:rsidR="00786B3E" w:rsidRDefault="00786B3E" w:rsidP="00786B3E">
      <w:pPr>
        <w:pStyle w:val="Ttulo1"/>
      </w:pPr>
      <w:bookmarkStart w:id="612" w:name="scroll-bookmark-717"/>
      <w:bookmarkStart w:id="613" w:name="scroll-bookmark-718"/>
      <w:bookmarkEnd w:id="612"/>
      <w:proofErr w:type="spellStart"/>
      <w:r>
        <w:t>Quáter</w:t>
      </w:r>
      <w:proofErr w:type="spellEnd"/>
      <w:r>
        <w:t xml:space="preserve"> FSE ± 004 — Objetivos específicos del programa de apoyo a los migrantes laborales/miembros de comunidades marginadas</w:t>
      </w:r>
      <w:bookmarkEnd w:id="613"/>
    </w:p>
    <w:p w:rsidR="00786B3E" w:rsidRDefault="00786B3E" w:rsidP="00786B3E">
      <w:r>
        <w:rPr>
          <w:noProof/>
          <w:lang w:val="es-ES"/>
        </w:rPr>
        <w:drawing>
          <wp:inline distT="0" distB="0" distL="0" distR="0" wp14:anchorId="25529126" wp14:editId="6B9728C2">
            <wp:extent cx="152435" cy="152435"/>
            <wp:effectExtent l="0" t="0" r="0" b="0"/>
            <wp:docPr id="101231" name="Imagen 1012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w:t>
      </w:r>
    </w:p>
    <w:p w:rsidR="00786B3E" w:rsidRDefault="00786B3E" w:rsidP="00786B3E">
      <w:r>
        <w:rPr>
          <w:noProof/>
          <w:lang w:val="es-ES"/>
        </w:rPr>
        <w:drawing>
          <wp:inline distT="0" distB="0" distL="0" distR="0" wp14:anchorId="21037F08" wp14:editId="1E2D26C2">
            <wp:extent cx="152435" cy="152435"/>
            <wp:effectExtent l="0" t="0" r="0" b="0"/>
            <wp:docPr id="101233" name="Imagen 1012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¿Qué objetivos específicos deberían utilizarse para programar el apoyo a los migrantes laborales/miembros de comunidades marginadas?</w:t>
      </w:r>
    </w:p>
    <w:p w:rsidR="00786B3E" w:rsidRDefault="00786B3E" w:rsidP="00786B3E"/>
    <w:p w:rsidR="00786B3E" w:rsidRDefault="00786B3E" w:rsidP="00786B3E">
      <w:pPr>
        <w:pStyle w:val="P68B1DB1-Normal1"/>
      </w:pPr>
      <w:r>
        <w:t>Respuesta.</w:t>
      </w:r>
    </w:p>
    <w:p w:rsidR="00786B3E" w:rsidRDefault="00786B3E" w:rsidP="00786B3E">
      <w:r>
        <w:t>El objetivo específico h) tiene por objeto fomentar la inclusión activa de los grupos desfavorecidos en general, mientras que los objetivos específicos i) y j) proporcionan un apoyo específico para garantizar que las intervenciones del FSE + lleguen a nacionales de terceros países, incluidos los migrantes (i) y las comunidades marginadas, incluida la población gitana (j), que, de lo contrario, no podrían beneficiarse del apoyo general.</w:t>
      </w:r>
    </w:p>
    <w:p w:rsidR="00786B3E" w:rsidRDefault="00786B3E" w:rsidP="00786B3E">
      <w:r>
        <w:br/>
        <w:t>No obstante, el apoyo a estos grupos destinatarios puede prestarse en el marco de otros objetivos específicos, siempre que sean elegibles con arreglo a la legislación nacional. Deben utilizarse los indicadores de realización «nacionales de terceros países», «participantes de origen extranjero» y «minorías (incluidas las comunidades marginadas, como la población romaní)».</w:t>
      </w:r>
    </w:p>
    <w:p w:rsidR="00786B3E" w:rsidRDefault="00786B3E" w:rsidP="00786B3E"/>
    <w:p w:rsidR="00786B3E" w:rsidRDefault="00786B3E" w:rsidP="00786B3E"/>
    <w:p w:rsidR="00786B3E" w:rsidRDefault="00786B3E" w:rsidP="00786B3E"/>
    <w:p w:rsidR="00786B3E" w:rsidRDefault="00786B3E" w:rsidP="00786B3E">
      <w:pPr>
        <w:pStyle w:val="Ttulo1"/>
      </w:pPr>
      <w:bookmarkStart w:id="614" w:name="scroll-bookmark-719"/>
      <w:bookmarkStart w:id="615" w:name="scroll-bookmark-720"/>
      <w:bookmarkEnd w:id="614"/>
      <w:proofErr w:type="spellStart"/>
      <w:r>
        <w:lastRenderedPageBreak/>
        <w:t>Quáter</w:t>
      </w:r>
      <w:proofErr w:type="spellEnd"/>
      <w:r>
        <w:t xml:space="preserve"> FSE ± 005 — Vínculo entre el programa EU4Heath y el FSE +</w:t>
      </w:r>
      <w:bookmarkEnd w:id="615"/>
    </w:p>
    <w:p w:rsidR="00786B3E" w:rsidRDefault="00786B3E" w:rsidP="00786B3E">
      <w:r>
        <w:rPr>
          <w:noProof/>
          <w:lang w:val="es-ES"/>
        </w:rPr>
        <w:drawing>
          <wp:inline distT="0" distB="0" distL="0" distR="0" wp14:anchorId="45349394" wp14:editId="0D0E69F6">
            <wp:extent cx="152435" cy="152435"/>
            <wp:effectExtent l="0" t="0" r="0" b="0"/>
            <wp:docPr id="101235" name="Imagen 1012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drawing>
          <wp:inline distT="0" distB="0" distL="0" distR="0" wp14:anchorId="7D03C9FF" wp14:editId="15692E5B">
            <wp:extent cx="152435" cy="152435"/>
            <wp:effectExtent l="0" t="0" r="0" b="0"/>
            <wp:docPr id="101237" name="Imagen 1012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España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¿Cuál es el vínculo entre el programa EU4Heath y el FSE +? </w:t>
      </w:r>
    </w:p>
    <w:p w:rsidR="00786B3E" w:rsidRDefault="00786B3E" w:rsidP="00786B3E"/>
    <w:p w:rsidR="00786B3E" w:rsidRDefault="00786B3E" w:rsidP="00786B3E">
      <w:pPr>
        <w:pStyle w:val="P68B1DB1-Normal1"/>
      </w:pPr>
      <w:r>
        <w:t>Respuesta.</w:t>
      </w:r>
    </w:p>
    <w:p w:rsidR="00786B3E" w:rsidRDefault="00786B3E" w:rsidP="00786B3E">
      <w:r>
        <w:t>El programa EU4Health complementará las políticas sanitarias de los Estados miembros con el fin de mejorar la salud humana en toda la Unión. Contribuirá, en particular, a abordar las necesidades y los retos detectados en la crisis de la COVID-19. Así pues, su objetivo será impulsar la preparación de la UE ante las principales amenazas transfronterizas para la salud, reforzar los sistemas sanitarios para que puedan hacer frente a epidemias, así como a retos a largo plazo contra las enfermedades transmisibles y no transmisibles, y esforzarse por hacer que los medicamentos y los productos sanitarios estén más disponibles y sean más asequibles. El FSE + debe garantizar sinergias y complementariedades con el Programa EU4Health a través de acciones destinadas a facilitar el acceso a la asistencia sanitaria para las personas en situaciones vulnerables.</w:t>
      </w:r>
    </w:p>
    <w:p w:rsidR="00786B3E" w:rsidRDefault="00786B3E" w:rsidP="00786B3E"/>
    <w:p w:rsidR="00786B3E" w:rsidRDefault="00786B3E" w:rsidP="00786B3E"/>
    <w:p w:rsidR="00786B3E" w:rsidRDefault="00786B3E" w:rsidP="00786B3E"/>
    <w:p w:rsidR="00786B3E" w:rsidRDefault="00786B3E" w:rsidP="00786B3E">
      <w:pPr>
        <w:pStyle w:val="Ttulo1"/>
      </w:pPr>
      <w:bookmarkStart w:id="616" w:name="scroll-bookmark-721"/>
      <w:bookmarkStart w:id="617" w:name="scroll-bookmark-722"/>
      <w:bookmarkEnd w:id="616"/>
      <w:r>
        <w:t>FSE + 0063 % para el apoyo a las personas más desfavorecidas, además del 25 % para la inclusión social</w:t>
      </w:r>
      <w:bookmarkEnd w:id="617"/>
    </w:p>
    <w:p w:rsidR="00786B3E" w:rsidRDefault="00786B3E" w:rsidP="00786B3E">
      <w:r>
        <w:rPr>
          <w:noProof/>
          <w:lang w:val="es-ES"/>
        </w:rPr>
        <w:drawing>
          <wp:inline distT="0" distB="0" distL="0" distR="0" wp14:anchorId="7F241021" wp14:editId="258BAF3C">
            <wp:extent cx="152435" cy="152435"/>
            <wp:effectExtent l="0" t="0" r="0" b="0"/>
            <wp:docPr id="101239" name="Imagen 1012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drawing>
          <wp:inline distT="0" distB="0" distL="0" distR="0" wp14:anchorId="7ACE6457" wp14:editId="5AEC4BC0">
            <wp:extent cx="152435" cy="152435"/>
            <wp:effectExtent l="0" t="0" r="0" b="0"/>
            <wp:docPr id="101241" name="Imagen 1012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¿Por qué el 3 % para el apoyo a las personas más desfavorecidas, además del 25 % para la inclusión social?</w:t>
      </w:r>
    </w:p>
    <w:p w:rsidR="00786B3E" w:rsidRDefault="00786B3E" w:rsidP="00786B3E"/>
    <w:p w:rsidR="00786B3E" w:rsidRDefault="00786B3E" w:rsidP="00786B3E">
      <w:pPr>
        <w:pStyle w:val="P68B1DB1-Normal1"/>
      </w:pPr>
      <w:r>
        <w:t>Respuesta.</w:t>
      </w:r>
    </w:p>
    <w:p w:rsidR="00786B3E" w:rsidRDefault="00786B3E" w:rsidP="00786B3E">
      <w:r>
        <w:lastRenderedPageBreak/>
        <w:t>El 25 % + 3 % fue el punto más importante para el Parlamento Europeo y, debido a la crisis actual, la concentración temática del 25 % para la inclusión social y del 3 % para el apoyo a las personas más desfavorecidas está plenamente justificada y necesaria. Estudios recientes muestran que los efectos a corto y medio plazo de la COVID-19 serán especialmente graves para los más desfavorecidos y corren el riesgo de agravar las diferencias socioeconómicas existentes. Los Estados miembros deben apoyar a las personas más vulnerables mediante una respuesta política amplia y coordinada que incluya el refuerzo de la protección social, la educación, la atención sanitaria e intervenciones específicas para mejorar la seguridad personal de las mujeres y los niños, así como acciones de apoyo a los trabajadores vulnerables que se han quedado atrás.</w:t>
      </w:r>
    </w:p>
    <w:p w:rsidR="00786B3E" w:rsidRDefault="00786B3E" w:rsidP="00786B3E">
      <w:r>
        <w:br/>
        <w:t xml:space="preserve">Además, el porcentaje de cofinanciación del 90 % para la ayuda a las personas más desfavorecidas también constituye un incentivo para los Estados miembros, </w:t>
      </w:r>
      <w:r w:rsidR="002F3719">
        <w:t xml:space="preserve">ya que, </w:t>
      </w:r>
      <w:r>
        <w:t>reduce su carga en relación con la contribución nacional para las medidas de apoyo a las personas más desfavorecidas. Así pues, todos los Estados miembros podrán cumplir estos dos requisitos. A diferencia del actual período de programación, el porcentaje de cofinanciación es fijo, lo que significa que los Estados miembros no pueden elegir un porcentaje de cofinanciación inferior o superior.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618" w:name="scroll-bookmark-723"/>
      <w:bookmarkStart w:id="619" w:name="scroll-bookmark-724"/>
      <w:bookmarkEnd w:id="618"/>
      <w:proofErr w:type="spellStart"/>
      <w:r>
        <w:t>Quáter</w:t>
      </w:r>
      <w:proofErr w:type="spellEnd"/>
      <w:r>
        <w:t xml:space="preserve"> FSE ± 007 — Cantidad adecuada para la pobreza infantil y el empleo juvenil</w:t>
      </w:r>
      <w:bookmarkEnd w:id="619"/>
    </w:p>
    <w:p w:rsidR="00786B3E" w:rsidRDefault="00786B3E" w:rsidP="00786B3E">
      <w:r>
        <w:rPr>
          <w:noProof/>
          <w:lang w:val="es-ES"/>
        </w:rPr>
        <w:drawing>
          <wp:inline distT="0" distB="0" distL="0" distR="0" wp14:anchorId="3622DF30" wp14:editId="72D9177D">
            <wp:extent cx="152435" cy="152435"/>
            <wp:effectExtent l="0" t="0" r="0" b="0"/>
            <wp:docPr id="101243" name="Imagen 1012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drawing>
          <wp:inline distT="0" distB="0" distL="0" distR="0" wp14:anchorId="0D671B90" wp14:editId="47990E3F">
            <wp:extent cx="152435" cy="152435"/>
            <wp:effectExtent l="0" t="0" r="0" b="0"/>
            <wp:docPr id="101245" name="Imagen 1012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Cómo se determinará un importe adecuado para la pobreza infantil y el empleo juvenil</w:t>
      </w:r>
    </w:p>
    <w:p w:rsidR="00786B3E" w:rsidRDefault="00786B3E" w:rsidP="00786B3E"/>
    <w:p w:rsidR="00786B3E" w:rsidRDefault="00786B3E" w:rsidP="00786B3E">
      <w:pPr>
        <w:pStyle w:val="P68B1DB1-Normal1"/>
      </w:pPr>
      <w:r>
        <w:t>Respuesta.</w:t>
      </w:r>
    </w:p>
    <w:p w:rsidR="00786B3E" w:rsidRDefault="00786B3E" w:rsidP="00786B3E">
      <w:r>
        <w:t>El nuevo requisito de que todos los demás Estados miembros programen «una cantidad adecuada» para hacer frente a la pobreza infantil y apoyar el empleo juvenil es similar a lo que tenemos para la programación de abordar los retos señalados en el Semestre Europeo.</w:t>
      </w:r>
    </w:p>
    <w:p w:rsidR="00786B3E" w:rsidRDefault="00786B3E" w:rsidP="00786B3E">
      <w:r>
        <w:br/>
        <w:t xml:space="preserve">La Comisión evaluará si un importe es adecuado en función de la situación nacional </w:t>
      </w:r>
      <w:r>
        <w:lastRenderedPageBreak/>
        <w:t>particular de cada Estado miembro, respetando así el principio de «un solo tamaño no se ajusta a todos».</w:t>
      </w:r>
    </w:p>
    <w:p w:rsidR="00786B3E" w:rsidRDefault="00786B3E" w:rsidP="00786B3E">
      <w:r>
        <w:br/>
        <w:t>Esta evaluación se llevará a cabo sobre la base de los retos señalados en las REP, los anexos D y el Semestre Europeo, así como los datos pertinentes de Eurostat, etc. El importe exacto se negociará bilateralmente entre la Comisión y el Estado miembro de que se trate.</w:t>
      </w:r>
    </w:p>
    <w:p w:rsidR="00786B3E" w:rsidRDefault="00786B3E" w:rsidP="00786B3E"/>
    <w:p w:rsidR="00786B3E" w:rsidRDefault="00786B3E" w:rsidP="00786B3E"/>
    <w:p w:rsidR="00786B3E" w:rsidRDefault="00786B3E" w:rsidP="00786B3E"/>
    <w:p w:rsidR="00786B3E" w:rsidRDefault="00786B3E" w:rsidP="00786B3E">
      <w:pPr>
        <w:pStyle w:val="Ttulo1"/>
      </w:pPr>
      <w:bookmarkStart w:id="620" w:name="scroll-bookmark-725"/>
      <w:bookmarkStart w:id="621" w:name="scroll-bookmark-726"/>
      <w:bookmarkEnd w:id="620"/>
      <w:r>
        <w:t>¿Se considera que el FSE + 008 puede ser un importe adecuado para 0?</w:t>
      </w:r>
      <w:bookmarkEnd w:id="621"/>
    </w:p>
    <w:p w:rsidR="00786B3E" w:rsidRDefault="00786B3E" w:rsidP="00786B3E">
      <w:r>
        <w:rPr>
          <w:noProof/>
          <w:lang w:val="es-ES"/>
        </w:rPr>
        <w:drawing>
          <wp:inline distT="0" distB="0" distL="0" distR="0" wp14:anchorId="55C463CC" wp14:editId="6A356BF0">
            <wp:extent cx="152435" cy="152435"/>
            <wp:effectExtent l="0" t="0" r="0" b="0"/>
            <wp:docPr id="101247" name="Imagen 1012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drawing>
          <wp:inline distT="0" distB="0" distL="0" distR="0" wp14:anchorId="1E7AC66F" wp14:editId="671B478B">
            <wp:extent cx="152435" cy="152435"/>
            <wp:effectExtent l="0" t="0" r="0" b="0"/>
            <wp:docPr id="101249" name="Imagen 1012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 0 ser una cantidad adecuada?</w:t>
      </w:r>
    </w:p>
    <w:p w:rsidR="00786B3E" w:rsidRDefault="00786B3E" w:rsidP="00786B3E"/>
    <w:p w:rsidR="00786B3E" w:rsidRDefault="00786B3E" w:rsidP="00786B3E">
      <w:pPr>
        <w:pStyle w:val="P68B1DB1-Normal1"/>
      </w:pPr>
      <w:r>
        <w:t>Respuesta.</w:t>
      </w:r>
    </w:p>
    <w:p w:rsidR="00786B3E" w:rsidRDefault="00786B3E" w:rsidP="00786B3E">
      <w:r>
        <w:t>La Comisión evaluará este requisito caso por caso, teniendo en cuenta la situación nacional particular, así como las REP y los datos de Eurostat, etc. Es posible que, sobre la base de esta evaluación, la Comisión llegue a la conclusión de que 0 es un importe adecuado. Este es el caso cuando el Estado miembro está obteniendo buenos resultados en un ámbito y ya está tomando las medidas adecuadas con su presupuesto nacional para hacer frente a los retos.</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622" w:name="scroll-bookmark-727"/>
      <w:bookmarkStart w:id="623" w:name="scroll-bookmark-728"/>
      <w:bookmarkEnd w:id="622"/>
      <w:r>
        <w:t>Valor de referencia medio del FSE + 2017-009-2019 para la pobreza infantil y el empleo juvenil</w:t>
      </w:r>
      <w:bookmarkEnd w:id="623"/>
    </w:p>
    <w:p w:rsidR="00786B3E" w:rsidRDefault="00786B3E" w:rsidP="00786B3E">
      <w:r>
        <w:rPr>
          <w:noProof/>
          <w:lang w:val="es-ES"/>
        </w:rPr>
        <w:drawing>
          <wp:inline distT="0" distB="0" distL="0" distR="0" wp14:anchorId="1C949AAE" wp14:editId="0BFED05E">
            <wp:extent cx="152435" cy="152435"/>
            <wp:effectExtent l="0" t="0" r="0" b="0"/>
            <wp:docPr id="101251" name="Imagen 1012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lastRenderedPageBreak/>
        <w:drawing>
          <wp:inline distT="0" distB="0" distL="0" distR="0" wp14:anchorId="498C60BE" wp14:editId="29683483">
            <wp:extent cx="152435" cy="152435"/>
            <wp:effectExtent l="0" t="0" r="0" b="0"/>
            <wp:docPr id="101253" name="Imagen 1012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¿Por qué el valor de referencia medio 2017-2019 para la pobreza infantil y el empleo juvenil?</w:t>
      </w:r>
    </w:p>
    <w:p w:rsidR="00786B3E" w:rsidRDefault="00786B3E" w:rsidP="00786B3E"/>
    <w:p w:rsidR="00786B3E" w:rsidRDefault="00786B3E" w:rsidP="00786B3E">
      <w:pPr>
        <w:pStyle w:val="P68B1DB1-Normal1"/>
      </w:pPr>
      <w:r>
        <w:t>Respuesta.</w:t>
      </w:r>
    </w:p>
    <w:p w:rsidR="00786B3E" w:rsidRDefault="00786B3E" w:rsidP="00786B3E">
      <w:r>
        <w:t>La Comisión apoya el valor de referencia de una media para el período 2017-19. Esto proporciona una base sólida para identificar a aquellos Estados miembros que tienen una necesidad coherente, sistemática y claramente justificable de programar más apoyo a estas cuestiones políticas clave.</w:t>
      </w:r>
    </w:p>
    <w:p w:rsidR="00786B3E" w:rsidRDefault="00786B3E" w:rsidP="00786B3E"/>
    <w:p w:rsidR="00786B3E" w:rsidRDefault="00786B3E" w:rsidP="00786B3E"/>
    <w:p w:rsidR="00786B3E" w:rsidRDefault="00786B3E" w:rsidP="00786B3E"/>
    <w:p w:rsidR="00786B3E" w:rsidRDefault="00786B3E" w:rsidP="00786B3E">
      <w:pPr>
        <w:pStyle w:val="Ttulo1"/>
      </w:pPr>
      <w:bookmarkStart w:id="624" w:name="scroll-bookmark-729"/>
      <w:bookmarkStart w:id="625" w:name="scroll-bookmark-730"/>
      <w:bookmarkEnd w:id="624"/>
      <w:r>
        <w:t>¿Se aplica la concentración temática del 5 % a la lucha contra la pobreza infantil?</w:t>
      </w:r>
      <w:bookmarkEnd w:id="625"/>
    </w:p>
    <w:p w:rsidR="00786B3E" w:rsidRDefault="00786B3E" w:rsidP="00786B3E">
      <w:r>
        <w:rPr>
          <w:noProof/>
          <w:lang w:val="es-ES"/>
        </w:rPr>
        <w:drawing>
          <wp:inline distT="0" distB="0" distL="0" distR="0" wp14:anchorId="1DB3571D" wp14:editId="0421BEFE">
            <wp:extent cx="152435" cy="152435"/>
            <wp:effectExtent l="0" t="0" r="0" b="0"/>
            <wp:docPr id="101255" name="Imagen 1012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w:t>
      </w:r>
    </w:p>
    <w:p w:rsidR="00786B3E" w:rsidRDefault="00786B3E" w:rsidP="00786B3E">
      <w:r>
        <w:rPr>
          <w:noProof/>
          <w:lang w:val="es-ES"/>
        </w:rPr>
        <w:drawing>
          <wp:inline distT="0" distB="0" distL="0" distR="0" wp14:anchorId="1DA8C661" wp14:editId="6ECF423D">
            <wp:extent cx="152435" cy="152435"/>
            <wp:effectExtent l="0" t="0" r="0" b="0"/>
            <wp:docPr id="101257" name="Imagen 1012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¿Tienen que cumplir las regiones la concentración temática del 5 % de la financiación para luchar contra la pobreza infantil?</w:t>
      </w:r>
    </w:p>
    <w:p w:rsidR="00786B3E" w:rsidRDefault="00786B3E" w:rsidP="00786B3E"/>
    <w:p w:rsidR="00786B3E" w:rsidRDefault="00786B3E" w:rsidP="00786B3E">
      <w:pPr>
        <w:pStyle w:val="P68B1DB1-Normal1"/>
      </w:pPr>
      <w:r>
        <w:t>Respuesta.</w:t>
      </w:r>
    </w:p>
    <w:p w:rsidR="00786B3E" w:rsidRDefault="00786B3E" w:rsidP="00786B3E">
      <w:r>
        <w:t>La concentración temática se calcula en función de la asignación nacional de recursos del FSE + en el marco del capítulo de gestión compartida.</w:t>
      </w:r>
    </w:p>
    <w:p w:rsidR="00786B3E" w:rsidRDefault="00786B3E" w:rsidP="00786B3E"/>
    <w:p w:rsidR="00786B3E" w:rsidRDefault="00786B3E" w:rsidP="00786B3E"/>
    <w:p w:rsidR="00786B3E" w:rsidRDefault="00786B3E" w:rsidP="00786B3E"/>
    <w:p w:rsidR="00786B3E" w:rsidRDefault="00786B3E" w:rsidP="00786B3E">
      <w:pPr>
        <w:pStyle w:val="Ttulo1"/>
      </w:pPr>
      <w:bookmarkStart w:id="626" w:name="scroll-bookmark-731"/>
      <w:bookmarkStart w:id="627" w:name="scroll-bookmark-732"/>
      <w:bookmarkEnd w:id="626"/>
      <w:proofErr w:type="spellStart"/>
      <w:r>
        <w:lastRenderedPageBreak/>
        <w:t>Quáter</w:t>
      </w:r>
      <w:proofErr w:type="spellEnd"/>
      <w:r>
        <w:t xml:space="preserve"> FSE ± 012 — Mecanismo para anticipar las necesidades de capacidades en el mercado laboral</w:t>
      </w:r>
      <w:bookmarkEnd w:id="627"/>
    </w:p>
    <w:p w:rsidR="00786B3E" w:rsidRDefault="00786B3E" w:rsidP="00786B3E">
      <w:r>
        <w:rPr>
          <w:noProof/>
          <w:lang w:val="es-ES"/>
        </w:rPr>
        <w:drawing>
          <wp:inline distT="0" distB="0" distL="0" distR="0" wp14:anchorId="202D178C" wp14:editId="7CED1339">
            <wp:extent cx="152435" cy="152435"/>
            <wp:effectExtent l="0" t="0" r="0" b="0"/>
            <wp:docPr id="101259" name="Imagen 1012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7 y 11</w:t>
      </w:r>
    </w:p>
    <w:p w:rsidR="00786B3E" w:rsidRDefault="00786B3E" w:rsidP="00786B3E">
      <w:r>
        <w:rPr>
          <w:noProof/>
          <w:lang w:val="es-ES"/>
        </w:rPr>
        <w:drawing>
          <wp:inline distT="0" distB="0" distL="0" distR="0" wp14:anchorId="2E0768D8" wp14:editId="6D4DF91D">
            <wp:extent cx="152435" cy="152435"/>
            <wp:effectExtent l="0" t="0" r="0" b="0"/>
            <wp:docPr id="101261" name="Imagen 1012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¿Pueden las acciones previstas en el marco de la prioridad dedicada al empleo juvenil incluir el funcionamiento de un mecanismo para anticipar las necesidades de capacidades en el mercado laboral, como «reforma estructural» destinada a facilitar el empleo juvenil y la formación profesional?</w:t>
      </w:r>
    </w:p>
    <w:p w:rsidR="00786B3E" w:rsidRDefault="00786B3E" w:rsidP="00786B3E"/>
    <w:p w:rsidR="00786B3E" w:rsidRDefault="00786B3E" w:rsidP="00786B3E">
      <w:pPr>
        <w:pStyle w:val="P68B1DB1-Normal1"/>
      </w:pPr>
      <w:r>
        <w:t>Respuesta.</w:t>
      </w:r>
    </w:p>
    <w:p w:rsidR="00786B3E" w:rsidRDefault="00786B3E" w:rsidP="00786B3E">
      <w:r>
        <w:t>Al igual que en el período 2014-2020, el FSE + puede apoyar reformas estructurales destinadas a apoyar el empleo juvenil. Esta inversión se contabilizará a efectos de los requisitos de concentración temática mínima del 12,5 % para el empleo juvenil, siempre que esté programada en el marco de uno de los tres objetivos específicos del FSE + enumerados en el artículo 11 del Reglamento del FSE +: a), e) y l). No existen limitaciones con respecto a los objetivos específicos aplicables si el Estado miembro necesita asignar un importe adecuado a la juventud [artículo 7 (6), párrafo primero, del FSE +]. Una operación para anticipar las necesidades de capacidades podría contribuir al requisito de concentración temática de los jóvenes, siempre que el Estado miembro pueda demostrar un vínculo directo con el apoyo al empleo juvenil. Sin embargo, una operación general del FSE + destinada a anticipar las necesidades de capacidades entraría más bien en los objetivos específicos b) o g) y, por lo tanto, sería más amplia que una operación de empleo juvenil. En este caso, podrá contribuir al cumplimiento del requisito de concentración temática solo parcialmente y solo en los Estados miembros que asignarán una cantidad adecuada.</w:t>
      </w:r>
    </w:p>
    <w:p w:rsidR="00786B3E" w:rsidRDefault="00786B3E" w:rsidP="00786B3E"/>
    <w:p w:rsidR="00786B3E" w:rsidRDefault="00786B3E" w:rsidP="00786B3E"/>
    <w:p w:rsidR="00786B3E" w:rsidRDefault="00786B3E" w:rsidP="00786B3E"/>
    <w:p w:rsidR="00786B3E" w:rsidRDefault="00786B3E" w:rsidP="00786B3E">
      <w:pPr>
        <w:pStyle w:val="Ttulo1"/>
      </w:pPr>
      <w:bookmarkStart w:id="628" w:name="scroll-bookmark-733"/>
      <w:bookmarkStart w:id="629" w:name="scroll-bookmark-734"/>
      <w:bookmarkEnd w:id="628"/>
      <w:r>
        <w:t>¿Cómo hacer un seguimiento de los requisitos de concentración temática en caso de que no exista una prioridad específica?</w:t>
      </w:r>
      <w:bookmarkEnd w:id="629"/>
    </w:p>
    <w:p w:rsidR="00786B3E" w:rsidRDefault="00786B3E" w:rsidP="00786B3E">
      <w:r>
        <w:rPr>
          <w:noProof/>
          <w:lang w:val="es-ES"/>
        </w:rPr>
        <w:drawing>
          <wp:inline distT="0" distB="0" distL="0" distR="0" wp14:anchorId="635AB4C9" wp14:editId="29D6688D">
            <wp:extent cx="152435" cy="152435"/>
            <wp:effectExtent l="0" t="0" r="0" b="0"/>
            <wp:docPr id="101263" name="Imagen 1012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w:t>
      </w:r>
    </w:p>
    <w:p w:rsidR="00786B3E" w:rsidRDefault="00786B3E" w:rsidP="00786B3E">
      <w:r>
        <w:rPr>
          <w:noProof/>
          <w:lang w:val="es-ES"/>
        </w:rPr>
        <w:drawing>
          <wp:inline distT="0" distB="0" distL="0" distR="0" wp14:anchorId="2175A16C" wp14:editId="38BE688D">
            <wp:extent cx="152435" cy="152435"/>
            <wp:effectExtent l="0" t="0" r="0" b="0"/>
            <wp:docPr id="101265" name="Imagen 1012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¿Cómo se hará un seguimiento de los requisitos de concentración temática en caso de que no exista una prioridad específica? </w:t>
      </w:r>
    </w:p>
    <w:p w:rsidR="00786B3E" w:rsidRDefault="00786B3E" w:rsidP="00786B3E"/>
    <w:p w:rsidR="00786B3E" w:rsidRDefault="00786B3E" w:rsidP="00786B3E">
      <w:pPr>
        <w:pStyle w:val="P68B1DB1-Normal1"/>
      </w:pPr>
      <w:r>
        <w:t>Respuesta.</w:t>
      </w:r>
    </w:p>
    <w:p w:rsidR="00786B3E" w:rsidRDefault="00786B3E" w:rsidP="00786B3E">
      <w:r>
        <w:t xml:space="preserve">En primer lugar, es importante destacar que el nivel de concentración temática es diferente entre el FSE + y el FEDER: en el caso del FEDER, se trata de un objetivo político, mientras que en el caso del FSE + se trata de un objetivo específico, </w:t>
      </w:r>
      <w:r w:rsidR="002F3719">
        <w:t xml:space="preserve">ya que, </w:t>
      </w:r>
      <w:r>
        <w:t>solo tenemos 1 objetivo político que apoyamos (es decir, el OP 4). Esta es la razón por la que podemos seguir la concentración temática a través de los SO.</w:t>
      </w:r>
    </w:p>
    <w:p w:rsidR="00786B3E" w:rsidRDefault="00786B3E" w:rsidP="00786B3E">
      <w:r>
        <w:br/>
        <w:t>Por este motivo, los Estados miembros indicarán al principio de la programación en el acuerdo de asociación cómo tienen previsto cumplir los requisitos de concentración temática para el FSE + en sus programas operativos.</w:t>
      </w:r>
    </w:p>
    <w:p w:rsidR="00786B3E" w:rsidRDefault="00786B3E" w:rsidP="00786B3E">
      <w:r>
        <w:br/>
        <w:t>En cuanto a la concentración temática de inclusión social, la razón por la que no obligamos a los Estados miembros a programar la inclusión social en una prioridad o programa específicos es porque abarca 4 objetivos específicos diferentes y es un tema temático muy amplio, por lo que tiene más sentido que se supervise sobre la base de objetivos específicos. A continuación, se contarían las asignaciones financieras programadas en el marco de estos OE para alcanzar la concentración temática del 25 %.</w:t>
      </w:r>
    </w:p>
    <w:p w:rsidR="00786B3E" w:rsidRDefault="00786B3E" w:rsidP="00786B3E">
      <w:r>
        <w:br/>
        <w:t xml:space="preserve">Además, para la pobreza infantil y abordar los retos señalados en el Semestre Europeo, tenemos temas secundarios del FSE +, dado que estas medidas pueden programarse con arreglo a objetivos y prioridades específicos que pueden abarcar otras medidas más allá de este requisito de concentración temática. Estos temas secundarios consisten en recoger datos sobre el gasto del FSE + que contribuyan a objetivos transversales, que podrían vincularse a múltiples objetivos específicos, como el cambio climático y la innovación social. Hemos añadido 2 nuevos temas secundarios del FSE +: luchar contra la pobreza infantil y abordar las recomendaciones específicas por país. Podemos utilizar el tema secundario del FSE + para hacer un seguimiento del gasto en estos ámbitos, </w:t>
      </w:r>
      <w:r w:rsidR="002F3719">
        <w:t xml:space="preserve">ya que, </w:t>
      </w:r>
      <w:r>
        <w:t>se trata de un tema amplio; sin embargo, los importes correspondientes a los temas secundarios son solo indicativos, lo que significa que los Estados miembros pueden no respetarlos necesariamente al ejecutar los programas.</w:t>
      </w:r>
    </w:p>
    <w:p w:rsidR="00786B3E" w:rsidRDefault="00786B3E" w:rsidP="00786B3E">
      <w:r>
        <w:br/>
        <w:t xml:space="preserve">La concentración temática del FSE + puede verificarse mediante los códigos de intervención (cuadro 1 del anexo 1). Para cada prioridad, los Estados miembros deben categorizar la programación financiera utilizando uno de los códigos entre 110 y 127. Cada código refleja exactamente una parte del objetivo específico. La indicación de la programación de la financiación en estos códigos es indicativa, sin embargo, para determinar si los Estados miembros cumplen la concentración temática, deben incluir la </w:t>
      </w:r>
      <w:r>
        <w:lastRenderedPageBreak/>
        <w:t>información financiera completa sobre los códigos pertinentes, de modo que la Comisión pueda evaluar si cumplen o no la concentración temática a nivel del programa.</w:t>
      </w:r>
    </w:p>
    <w:p w:rsidR="00786B3E" w:rsidRDefault="00786B3E" w:rsidP="00786B3E">
      <w:r>
        <w:br/>
        <w:t>Sin embargo, dado que las asignaciones a tipos de intervención solo son indicativas, es importante supervisar cuidadosamente la ejecución del programa por parte de los Estados miembros para garantizar que también se respeten los requisitos de concentración temática al ejecutar el programa.</w:t>
      </w:r>
    </w:p>
    <w:p w:rsidR="00786B3E" w:rsidRDefault="00786B3E" w:rsidP="00786B3E"/>
    <w:p w:rsidR="00786B3E" w:rsidRDefault="00786B3E" w:rsidP="00786B3E"/>
    <w:p w:rsidR="00786B3E" w:rsidRDefault="00786B3E" w:rsidP="00786B3E"/>
    <w:p w:rsidR="00786B3E" w:rsidRDefault="00786B3E" w:rsidP="00786B3E">
      <w:pPr>
        <w:pStyle w:val="Ttulo1"/>
      </w:pPr>
      <w:bookmarkStart w:id="630" w:name="scroll-bookmark-735"/>
      <w:bookmarkStart w:id="631" w:name="scroll-bookmark-736"/>
      <w:bookmarkEnd w:id="630"/>
      <w:r>
        <w:t>¿Cómo funcionarán en la práctica los requisitos de concentración temática y cómo se interrelacionarán?</w:t>
      </w:r>
      <w:bookmarkEnd w:id="631"/>
    </w:p>
    <w:p w:rsidR="00786B3E" w:rsidRDefault="00786B3E" w:rsidP="00786B3E">
      <w:r>
        <w:rPr>
          <w:noProof/>
          <w:lang w:val="es-ES"/>
        </w:rPr>
        <w:drawing>
          <wp:inline distT="0" distB="0" distL="0" distR="0" wp14:anchorId="7BBDCB86" wp14:editId="3B35DFDF">
            <wp:extent cx="152435" cy="152435"/>
            <wp:effectExtent l="0" t="0" r="0" b="0"/>
            <wp:docPr id="101267" name="Imagen 1012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7, 10, 11 y 12</w:t>
      </w:r>
    </w:p>
    <w:p w:rsidR="00786B3E" w:rsidRDefault="00786B3E" w:rsidP="00786B3E">
      <w:r>
        <w:rPr>
          <w:noProof/>
          <w:lang w:val="es-ES"/>
        </w:rPr>
        <w:drawing>
          <wp:inline distT="0" distB="0" distL="0" distR="0" wp14:anchorId="1CDA4229" wp14:editId="7C28D1B1">
            <wp:extent cx="152435" cy="152435"/>
            <wp:effectExtent l="0" t="0" r="0" b="0"/>
            <wp:docPr id="101269" name="Imagen 1012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pStyle w:val="P68B1DB1-Normal1"/>
      </w:pPr>
      <w:r>
        <w:t>Respuesta.</w:t>
      </w:r>
    </w:p>
    <w:p w:rsidR="00786B3E" w:rsidRDefault="00786B3E" w:rsidP="00786B3E">
      <w:pPr>
        <w:pStyle w:val="P68B1DB1-Normal3"/>
      </w:pPr>
      <w:r>
        <w:t>Inclusión social: Apoyo a las personas más desfavorecidas</w:t>
      </w:r>
    </w:p>
    <w:p w:rsidR="00786B3E" w:rsidRDefault="00786B3E" w:rsidP="00786B3E">
      <w:r>
        <w:t xml:space="preserve">— </w:t>
      </w:r>
      <w:r>
        <w:rPr>
          <w:b/>
        </w:rPr>
        <w:t>La inclusión social</w:t>
      </w:r>
      <w:r>
        <w:t xml:space="preserve"> se fija en el 25 % y puede programarse en el marco de los objetivos específicos h) a l).</w:t>
      </w:r>
    </w:p>
    <w:p w:rsidR="00786B3E" w:rsidRDefault="00786B3E" w:rsidP="00786B3E">
      <w:r>
        <w:t xml:space="preserve">— </w:t>
      </w:r>
      <w:r>
        <w:rPr>
          <w:b/>
        </w:rPr>
        <w:t>El apoyo a las personas más desfavorecidas</w:t>
      </w:r>
      <w:r>
        <w:t xml:space="preserve"> se fija en el 3 % y puede programarse en el marco del objetivo específico m), excepto en casos debidamente justificados, en los que también puede incluirse en el objetivo específico (l). Esto </w:t>
      </w:r>
      <w:r>
        <w:rPr>
          <w:u w:val="single"/>
        </w:rPr>
        <w:t>se añade</w:t>
      </w:r>
      <w:r>
        <w:t xml:space="preserve"> al 25 % para la inclusión social.</w:t>
      </w:r>
    </w:p>
    <w:p w:rsidR="00786B3E" w:rsidRDefault="00786B3E" w:rsidP="00786B3E">
      <w:r>
        <w:t> </w:t>
      </w:r>
      <w:r>
        <w:rPr>
          <w:b/>
          <w:i/>
        </w:rPr>
        <w:t>La pobreza infantil</w:t>
      </w:r>
    </w:p>
    <w:p w:rsidR="00786B3E" w:rsidRDefault="00786B3E" w:rsidP="00786B3E">
      <w:r>
        <w:t xml:space="preserve">— El </w:t>
      </w:r>
      <w:r>
        <w:rPr>
          <w:b/>
        </w:rPr>
        <w:t>5 % para el apoyo a la lucha contra la pobreza infantil formará parte del 25 % para la inclusión social</w:t>
      </w:r>
      <w:r>
        <w:t xml:space="preserve"> cuando esté programado en el marco de los objetivos específicos h) a l), </w:t>
      </w:r>
      <w:r>
        <w:rPr>
          <w:b/>
          <w:u w:val="single"/>
        </w:rPr>
        <w:t>excepto</w:t>
      </w:r>
      <w:r>
        <w:rPr>
          <w:b/>
        </w:rPr>
        <w:t xml:space="preserve"> </w:t>
      </w:r>
      <w:r>
        <w:t>cuando los Estados miembros utilicen l) para cubrir el 3 % de apoyo a las personas más desfavorecidas.</w:t>
      </w:r>
    </w:p>
    <w:p w:rsidR="00786B3E" w:rsidRDefault="00786B3E" w:rsidP="00786B3E">
      <w:r>
        <w:t xml:space="preserve">— En este caso, el porcentaje asignado a la letra l) para la ayuda a los niños más desfavorecidos debe </w:t>
      </w:r>
      <w:r>
        <w:rPr>
          <w:u w:val="single"/>
        </w:rPr>
        <w:t>añadirse al</w:t>
      </w:r>
      <w:r>
        <w:t xml:space="preserve"> 25 % destinado a la inclusión social.</w:t>
      </w:r>
    </w:p>
    <w:p w:rsidR="00786B3E" w:rsidRDefault="00786B3E" w:rsidP="00786B3E">
      <w:r>
        <w:t xml:space="preserve">— En la práctica, será fácil identificar este porcentaje, </w:t>
      </w:r>
      <w:r w:rsidR="002F3719">
        <w:t xml:space="preserve">ya que, </w:t>
      </w:r>
      <w:r>
        <w:t>los Estados miembros deben programar el apoyo a las personas más desfavorecidas en un eje prioritario específico.</w:t>
      </w:r>
    </w:p>
    <w:p w:rsidR="00786B3E" w:rsidRDefault="00786B3E" w:rsidP="00786B3E">
      <w:r>
        <w:t>— Además, ningún porcentaje de pobreza infantil que contribuya al objetivo específico f) no se contabilizará a efectos de la inclusión social del 25 %.</w:t>
      </w:r>
    </w:p>
    <w:p w:rsidR="00786B3E" w:rsidRDefault="00786B3E" w:rsidP="00786B3E">
      <w:pPr>
        <w:pStyle w:val="P68B1DB1-Normal3"/>
      </w:pPr>
      <w:r>
        <w:lastRenderedPageBreak/>
        <w:t> Empleo juvenil</w:t>
      </w:r>
    </w:p>
    <w:p w:rsidR="00786B3E" w:rsidRDefault="00786B3E" w:rsidP="00786B3E">
      <w:r>
        <w:t>— El 12,5 % para el empleo juvenil debe programarse en el marco del objetivo específico a) y también puede programarse en el marco de los objetivos específicos f) y l).</w:t>
      </w:r>
    </w:p>
    <w:p w:rsidR="00786B3E" w:rsidRDefault="00786B3E" w:rsidP="00786B3E">
      <w:r>
        <w:t>— El apoyo al empleo juvenil debe programarse en el marco de una prioridad específica.</w:t>
      </w:r>
    </w:p>
    <w:p w:rsidR="00786B3E" w:rsidRDefault="00786B3E" w:rsidP="00786B3E">
      <w:r>
        <w:t>— Dado que el apoyo a las personas más desfavorecidas y al empleo juvenil debe programarse en el marco de prioridades específicas, los Estados miembros no pueden programar acciones en el marco del objetivo específico l) para contabilizar tanto el empleo juvenil como el apoyo a las personas más desfavorecidas.</w:t>
      </w:r>
    </w:p>
    <w:p w:rsidR="00786B3E" w:rsidRDefault="00786B3E" w:rsidP="00786B3E">
      <w:r>
        <w:t>— Tampoco sería posible solaparse entre las acciones programadas en el marco del objetivo específico (l) para contabilizar tanto la pobreza infantil como el empleo juvenil (también debido al uso de la prioridad específica para los jóvenes).</w:t>
      </w:r>
    </w:p>
    <w:p w:rsidR="00786B3E" w:rsidRDefault="00786B3E" w:rsidP="00786B3E">
      <w:r>
        <w:t xml:space="preserve">— </w:t>
      </w:r>
      <w:r>
        <w:rPr>
          <w:b/>
        </w:rPr>
        <w:t xml:space="preserve">Nota: </w:t>
      </w:r>
      <w:r>
        <w:t>cuando los Estados miembros estén obligados a programar un «importe adecuado» para apoyar el empleo juvenil, no se aplicará la obligación de programar en el marco de una prioridad o programa específico, ni en el OE (a), (f) y (l).</w:t>
      </w:r>
    </w:p>
    <w:p w:rsidR="00786B3E" w:rsidRDefault="00786B3E" w:rsidP="00786B3E"/>
    <w:p w:rsidR="00786B3E" w:rsidRDefault="00786B3E" w:rsidP="00786B3E"/>
    <w:p w:rsidR="00786B3E" w:rsidRDefault="00786B3E" w:rsidP="00786B3E">
      <w:pPr>
        <w:pStyle w:val="Ttulo1"/>
      </w:pPr>
      <w:bookmarkStart w:id="632" w:name="scroll-bookmark-737"/>
      <w:bookmarkStart w:id="633" w:name="scroll-bookmark-738"/>
      <w:bookmarkEnd w:id="632"/>
      <w:r>
        <w:t>¿Es obligatorio el objetivo específico i) del FSE + 015?</w:t>
      </w:r>
      <w:bookmarkEnd w:id="633"/>
    </w:p>
    <w:p w:rsidR="00786B3E" w:rsidRDefault="00786B3E" w:rsidP="00786B3E">
      <w:r>
        <w:rPr>
          <w:noProof/>
          <w:lang w:val="es-ES"/>
        </w:rPr>
        <w:drawing>
          <wp:inline distT="0" distB="0" distL="0" distR="0" wp14:anchorId="45017959" wp14:editId="64992385">
            <wp:extent cx="152435" cy="152435"/>
            <wp:effectExtent l="0" t="0" r="0" b="0"/>
            <wp:docPr id="101271" name="Imagen 1012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4</w:t>
      </w:r>
    </w:p>
    <w:p w:rsidR="00786B3E" w:rsidRDefault="00786B3E" w:rsidP="00786B3E">
      <w:r>
        <w:rPr>
          <w:noProof/>
          <w:lang w:val="es-ES"/>
        </w:rPr>
        <w:drawing>
          <wp:inline distT="0" distB="0" distL="0" distR="0" wp14:anchorId="61F49D80" wp14:editId="004B1ED5">
            <wp:extent cx="152435" cy="152435"/>
            <wp:effectExtent l="0" t="0" r="0" b="0"/>
            <wp:docPr id="101273" name="Imagen 1012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Pr>
        <w:pStyle w:val="P68B1DB1-Normal1"/>
      </w:pPr>
      <w:r>
        <w:t>Pregunta 1 (incluidos los hechos e información pertinentes):</w:t>
      </w:r>
    </w:p>
    <w:p w:rsidR="00786B3E" w:rsidRDefault="00786B3E" w:rsidP="00786B3E">
      <w:r>
        <w:t>¿Es obligatorio incluir el objetivo específico i) «promover la integración socioeconómica de los nacionales de terceros países, incluidos los migrantes» del FSE + en los programas financiados con cargo al FSE +? </w:t>
      </w:r>
    </w:p>
    <w:p w:rsidR="00786B3E" w:rsidRDefault="00786B3E" w:rsidP="00786B3E">
      <w:pPr>
        <w:pStyle w:val="P68B1DB1-Normal1"/>
      </w:pPr>
      <w:r>
        <w:t>Respuesta.</w:t>
      </w:r>
    </w:p>
    <w:p w:rsidR="00786B3E" w:rsidRDefault="00786B3E" w:rsidP="00786B3E">
      <w:r>
        <w:t>No es obligatorio programar el apoyo del FSE + en el marco de un objetivo específico. Esta mención tiene por objeto simplemente destacar el hecho de que el apoyo prestado en el marco de este pliego de cargos se contabiliza a efectos del requisito de concentración temática de inclusión social del 25 %. El apoyo a los nacionales de terceros países puede programarse en el marco de otras OE. Se espera que los Estados miembros con retos identificados para este grupo destinatario programen el apoyo, ya sea en el marco de este OE o de otros OE.</w:t>
      </w:r>
    </w:p>
    <w:p w:rsidR="00786B3E" w:rsidRDefault="00786B3E" w:rsidP="00786B3E"/>
    <w:p w:rsidR="00786B3E" w:rsidRDefault="00786B3E" w:rsidP="00786B3E"/>
    <w:p w:rsidR="00786B3E" w:rsidRDefault="00786B3E" w:rsidP="00786B3E"/>
    <w:p w:rsidR="00786B3E" w:rsidRDefault="00786B3E" w:rsidP="00786B3E">
      <w:pPr>
        <w:pStyle w:val="Ttulo1"/>
      </w:pPr>
      <w:bookmarkStart w:id="634" w:name="scroll-bookmark-739"/>
      <w:bookmarkStart w:id="635" w:name="scroll-bookmark-740"/>
      <w:bookmarkEnd w:id="634"/>
      <w:proofErr w:type="spellStart"/>
      <w:r>
        <w:lastRenderedPageBreak/>
        <w:t>Quáter</w:t>
      </w:r>
      <w:proofErr w:type="spellEnd"/>
      <w:r>
        <w:t xml:space="preserve"> FSE + 016 — artículo 8 Respeto de la Carta</w:t>
      </w:r>
      <w:bookmarkEnd w:id="635"/>
    </w:p>
    <w:p w:rsidR="00786B3E" w:rsidRDefault="00786B3E" w:rsidP="00786B3E">
      <w:r>
        <w:rPr>
          <w:noProof/>
          <w:lang w:val="es-ES"/>
        </w:rPr>
        <w:drawing>
          <wp:inline distT="0" distB="0" distL="0" distR="0" wp14:anchorId="5CEA70FF" wp14:editId="28FDD981">
            <wp:extent cx="152435" cy="152435"/>
            <wp:effectExtent l="0" t="0" r="0" b="0"/>
            <wp:docPr id="101275" name="Imagen 1012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8 </w:t>
      </w:r>
    </w:p>
    <w:p w:rsidR="00786B3E" w:rsidRDefault="00786B3E" w:rsidP="00786B3E">
      <w:r>
        <w:rPr>
          <w:noProof/>
          <w:lang w:val="es-ES"/>
        </w:rPr>
        <w:drawing>
          <wp:inline distT="0" distB="0" distL="0" distR="0" wp14:anchorId="2D8DFD2F" wp14:editId="3B36CD50">
            <wp:extent cx="152435" cy="152435"/>
            <wp:effectExtent l="0" t="0" r="0" b="0"/>
            <wp:docPr id="101277" name="Imagen 1012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¿Qué significa en la práctica el artículo 8 sobre la Carta?</w:t>
      </w:r>
    </w:p>
    <w:p w:rsidR="00786B3E" w:rsidRDefault="00786B3E" w:rsidP="00786B3E"/>
    <w:p w:rsidR="00786B3E" w:rsidRDefault="00786B3E" w:rsidP="00786B3E">
      <w:pPr>
        <w:pStyle w:val="P68B1DB1-Normal1"/>
      </w:pPr>
      <w:r>
        <w:t>Respuesta.</w:t>
      </w:r>
    </w:p>
    <w:p w:rsidR="00786B3E" w:rsidRDefault="00786B3E" w:rsidP="00786B3E">
      <w:r>
        <w:t>En su informe, el Parlamento Europeo había propuesto que si las operaciones del FSE + no se ajustaran a la Carta de los Derechos Fundamentales de la Unión Europea, el gasto de la operación se consideraría no subvencionable. La Comisión y el Consejo alegaron que la propuesta crearía una carga administrativa desproporcionada y se apartaría demasiado del Reglamento sobre disposiciones comunes (RDC).</w:t>
      </w:r>
    </w:p>
    <w:p w:rsidR="00786B3E" w:rsidRDefault="00786B3E" w:rsidP="00786B3E">
      <w:r>
        <w:br/>
        <w:t xml:space="preserve">Los colegisladores acordaron introducir un nuevo artículo sobre el vínculo entre la Carta de los Derechos Fundamentales de la Unión Europea y el FSE +. </w:t>
      </w:r>
      <w:r>
        <w:rPr>
          <w:u w:val="single"/>
        </w:rPr>
        <w:t>Es importante señalar que este artículo solo refuerza las obligaciones ya existentes del RDC y no crea nuevas obligaciones para las operaciones del FSE +.</w:t>
      </w:r>
      <w:r>
        <w:br/>
        <w:t>Este artículo incluye referencias cruzadas a las disposiciones pertinentes del Reglamento sobre disposiciones comunes con el fin de aumentar la visibilidad de la Carta.</w:t>
      </w:r>
      <w:r>
        <w:br/>
        <w:t>Hace hincapié en que todas las operaciones deben seleccionarse y ejecutarse respetando la Carta.</w:t>
      </w:r>
    </w:p>
    <w:p w:rsidR="00786B3E" w:rsidRDefault="00786B3E" w:rsidP="00786B3E">
      <w:r>
        <w:br/>
        <w:t>También incluye una referencia cruzada al artículo 63, apartado 6, del RDC sobre las reclamaciones, y hace referencia al hecho de que las infracciones de la Carta deben tenerse en cuenta a la hora de determinar las medidas correctoras en consonancia con el RDC.</w:t>
      </w:r>
    </w:p>
    <w:p w:rsidR="00786B3E" w:rsidRDefault="00786B3E" w:rsidP="00786B3E">
      <w:r>
        <w:br/>
        <w:t>Estas obligaciones ya existen en el RDC, pero el PE estaba muy decidido a incluirlo con el fin de aumentar la visibilidad de la Carta, que, por supuesto, reviste una importancia crucial y el Derecho aplicable.</w:t>
      </w:r>
    </w:p>
    <w:p w:rsidR="00786B3E" w:rsidRDefault="00786B3E" w:rsidP="00786B3E"/>
    <w:p w:rsidR="00786B3E" w:rsidRDefault="00786B3E" w:rsidP="00786B3E"/>
    <w:p w:rsidR="00786B3E" w:rsidRDefault="00786B3E" w:rsidP="00786B3E"/>
    <w:p w:rsidR="00786B3E" w:rsidRDefault="00786B3E" w:rsidP="00786B3E">
      <w:pPr>
        <w:pStyle w:val="Ttulo1"/>
      </w:pPr>
      <w:bookmarkStart w:id="636" w:name="scroll-bookmark-741"/>
      <w:bookmarkStart w:id="637" w:name="scroll-bookmark-742"/>
      <w:bookmarkEnd w:id="636"/>
      <w:r>
        <w:lastRenderedPageBreak/>
        <w:t>Porcentaje de financiación del FSE + 0170,25 % para el desarrollo de capacidades de los interlocutores sociales y las organizaciones de la sociedad civil</w:t>
      </w:r>
      <w:bookmarkEnd w:id="637"/>
    </w:p>
    <w:p w:rsidR="00786B3E" w:rsidRDefault="00786B3E" w:rsidP="00786B3E">
      <w:r>
        <w:rPr>
          <w:noProof/>
          <w:lang w:val="es-ES"/>
        </w:rPr>
        <w:drawing>
          <wp:inline distT="0" distB="0" distL="0" distR="0" wp14:anchorId="406F5CB7" wp14:editId="0B44AC7B">
            <wp:extent cx="152435" cy="152435"/>
            <wp:effectExtent l="0" t="0" r="0" b="0"/>
            <wp:docPr id="101279" name="Imagen 1012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 </w:t>
      </w:r>
    </w:p>
    <w:p w:rsidR="00786B3E" w:rsidRDefault="00786B3E" w:rsidP="00786B3E">
      <w:r>
        <w:rPr>
          <w:noProof/>
          <w:lang w:val="es-ES"/>
        </w:rPr>
        <w:drawing>
          <wp:inline distT="0" distB="0" distL="0" distR="0" wp14:anchorId="64998F8C" wp14:editId="7224D5C8">
            <wp:extent cx="152435" cy="152435"/>
            <wp:effectExtent l="0" t="0" r="0" b="0"/>
            <wp:docPr id="101281" name="Imagen 1012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¿Qué puede cubrirse en el marco del 0,25 % para el desarrollo de capacidades de los interlocutores sociales y las organizaciones de la sociedad civil?</w:t>
      </w:r>
    </w:p>
    <w:p w:rsidR="00786B3E" w:rsidRDefault="00786B3E" w:rsidP="00786B3E"/>
    <w:p w:rsidR="00786B3E" w:rsidRDefault="00786B3E" w:rsidP="00786B3E">
      <w:pPr>
        <w:pStyle w:val="P68B1DB1-Normal1"/>
      </w:pPr>
      <w:r>
        <w:t>Respuesta.</w:t>
      </w:r>
    </w:p>
    <w:p w:rsidR="00786B3E" w:rsidRDefault="00786B3E" w:rsidP="00786B3E">
      <w:r>
        <w:t>En primer lugar, es importante señalar que el artículo 9, apartado 2, sobre el desarrollo de capacidades, no se limita únicamente a la capacidad de las partes interesadas para ejecutar los fondos. Es más amplio que esto y se refiere al desarrollo de capacidades para todas las partes interesadas que imparten educación, aprendizaje permanente, formación, empleo y políticas sociales, también a través de pactos sectoriales y territoriales para movilizar reformas a escala nacional, regional y local. Ya existe en el Reglamento del FSE 2014-2020 en el marco del OT 11 y, como se indica en el texto, es muy amplio y puede incluir acciones como la formación, la creación de redes y el refuerzo del diálogo social, así como actividades emprendidas conjuntamente por los interlocutores sociales y las organizaciones de la sociedad civil, como las ONG.</w:t>
      </w:r>
    </w:p>
    <w:p w:rsidR="00786B3E" w:rsidRDefault="00786B3E" w:rsidP="00786B3E"/>
    <w:p w:rsidR="00786B3E" w:rsidRDefault="00786B3E" w:rsidP="00786B3E"/>
    <w:p w:rsidR="00786B3E" w:rsidRDefault="00786B3E" w:rsidP="00786B3E"/>
    <w:p w:rsidR="00786B3E" w:rsidRDefault="00786B3E" w:rsidP="00786B3E">
      <w:pPr>
        <w:pStyle w:val="Ttulo1"/>
      </w:pPr>
      <w:bookmarkStart w:id="638" w:name="scroll-bookmark-743"/>
      <w:bookmarkStart w:id="639" w:name="scroll-bookmark-744"/>
      <w:bookmarkEnd w:id="638"/>
      <w:proofErr w:type="spellStart"/>
      <w:r>
        <w:t>Quáter</w:t>
      </w:r>
      <w:proofErr w:type="spellEnd"/>
      <w:r>
        <w:t xml:space="preserve"> FSE ± 018 — Programación del desarrollo de capacidades de los interlocutores sociales y las organizaciones de la sociedad civil</w:t>
      </w:r>
      <w:bookmarkEnd w:id="639"/>
    </w:p>
    <w:p w:rsidR="00786B3E" w:rsidRDefault="00786B3E" w:rsidP="00786B3E">
      <w:r>
        <w:rPr>
          <w:noProof/>
          <w:lang w:val="es-ES"/>
        </w:rPr>
        <w:drawing>
          <wp:inline distT="0" distB="0" distL="0" distR="0" wp14:anchorId="0A2A5764" wp14:editId="15674304">
            <wp:extent cx="152435" cy="152435"/>
            <wp:effectExtent l="0" t="0" r="0" b="0"/>
            <wp:docPr id="101283" name="Imagen 1012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w:t>
      </w:r>
    </w:p>
    <w:p w:rsidR="00786B3E" w:rsidRDefault="00786B3E" w:rsidP="00786B3E">
      <w:r>
        <w:rPr>
          <w:noProof/>
          <w:lang w:val="es-ES"/>
        </w:rPr>
        <w:drawing>
          <wp:inline distT="0" distB="0" distL="0" distR="0" wp14:anchorId="35829FF5" wp14:editId="6F3F59FC">
            <wp:extent cx="152435" cy="152435"/>
            <wp:effectExtent l="0" t="0" r="0" b="0"/>
            <wp:docPr id="101285" name="Imagen 1012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lastRenderedPageBreak/>
        <w:t>¿Es posible apoyar la capacidad general de los interlocutores sociales y las organizaciones de la sociedad civil, que no está directamente vinculada a ningún objetivo específico del FSE +? </w:t>
      </w:r>
    </w:p>
    <w:p w:rsidR="00786B3E" w:rsidRDefault="00786B3E" w:rsidP="00786B3E"/>
    <w:p w:rsidR="00786B3E" w:rsidRDefault="00786B3E" w:rsidP="00786B3E">
      <w:pPr>
        <w:pStyle w:val="P68B1DB1-Normal1"/>
      </w:pPr>
      <w:r>
        <w:t>Respuesta.</w:t>
      </w:r>
    </w:p>
    <w:p w:rsidR="00786B3E" w:rsidRDefault="00786B3E" w:rsidP="00786B3E">
      <w:r>
        <w:t>Solo se podrán apoyar las actividades relacionadas con la capacidad de los interlocutores sociales y las organizaciones de la sociedad civil en los ámbitos temáticos del empleo, la educación y la inclusión social y que se inscriban en los ámbitos cubiertos por los objetivos específicos del FSE +.</w:t>
      </w:r>
    </w:p>
    <w:p w:rsidR="00786B3E" w:rsidRDefault="00786B3E" w:rsidP="00786B3E">
      <w:r>
        <w:br/>
        <w:t xml:space="preserve">Por lo tanto, estas medidas deben contribuir a uno de los objetivos específicos del FSE +. Por ejemplo, la medida destinada a aumentar el nivel de afiliación a organizaciones de empresarios y empleadores podría programarse en el marco del </w:t>
      </w:r>
      <w:proofErr w:type="spellStart"/>
      <w:r>
        <w:t>ObE</w:t>
      </w:r>
      <w:proofErr w:type="spellEnd"/>
      <w:r>
        <w:t xml:space="preserve"> (d) promoviendo la adaptación de los trabajadores, las empresas y los empresarios al cambio, el envejecimiento activo y saludable y un entorno de trabajo saludable y bien adaptado que aborde los riesgos para la salud; en caso de que contribuya a este objetivo específico.</w:t>
      </w:r>
    </w:p>
    <w:p w:rsidR="00786B3E" w:rsidRDefault="00786B3E" w:rsidP="00786B3E"/>
    <w:p w:rsidR="00786B3E" w:rsidRDefault="00786B3E" w:rsidP="00786B3E"/>
    <w:p w:rsidR="00786B3E" w:rsidRDefault="00786B3E" w:rsidP="00786B3E"/>
    <w:p w:rsidR="00786B3E" w:rsidRDefault="00786B3E" w:rsidP="00786B3E">
      <w:pPr>
        <w:pStyle w:val="Ttulo1"/>
      </w:pPr>
      <w:bookmarkStart w:id="640" w:name="scroll-bookmark-745"/>
      <w:bookmarkStart w:id="641" w:name="scroll-bookmark-746"/>
      <w:bookmarkEnd w:id="640"/>
      <w:r>
        <w:t>¿Cómo ejecutar «una cantidad adecuada de recursos del FSE + en régimen de gestión compartida en cada programa para el desarrollo de capacidades de los interlocutores sociales y las organizaciones de la sociedad civil»?</w:t>
      </w:r>
      <w:bookmarkEnd w:id="641"/>
    </w:p>
    <w:p w:rsidR="00786B3E" w:rsidRDefault="00786B3E" w:rsidP="00786B3E">
      <w:r>
        <w:rPr>
          <w:noProof/>
          <w:lang w:val="es-ES"/>
        </w:rPr>
        <w:drawing>
          <wp:inline distT="0" distB="0" distL="0" distR="0" wp14:anchorId="6C6C0C89" wp14:editId="0829C481">
            <wp:extent cx="152435" cy="152435"/>
            <wp:effectExtent l="0" t="0" r="0" b="0"/>
            <wp:docPr id="101287" name="Imagen 1012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9</w:t>
      </w:r>
    </w:p>
    <w:p w:rsidR="00786B3E" w:rsidRDefault="00786B3E" w:rsidP="00786B3E">
      <w:r>
        <w:rPr>
          <w:noProof/>
          <w:lang w:val="es-ES"/>
        </w:rPr>
        <w:drawing>
          <wp:inline distT="0" distB="0" distL="0" distR="0" wp14:anchorId="45644F85" wp14:editId="344B862C">
            <wp:extent cx="152435" cy="152435"/>
            <wp:effectExtent l="0" t="0" r="0" b="0"/>
            <wp:docPr id="101289" name="Imagen 1012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¿Cómo debemos aplicar el artículo 9, apartado 2, del FSE + «una cantidad adecuada de recursos del FSE + en régimen de gestión compartida en cada programa para el desarrollo de capacidades de los interlocutores sociales y las organizaciones de la sociedad civil»?</w:t>
      </w:r>
    </w:p>
    <w:p w:rsidR="00786B3E" w:rsidRDefault="00786B3E" w:rsidP="00786B3E"/>
    <w:p w:rsidR="00786B3E" w:rsidRDefault="00786B3E" w:rsidP="00786B3E">
      <w:pPr>
        <w:pStyle w:val="P68B1DB1-Normal1"/>
      </w:pPr>
      <w:r>
        <w:t>Respuesta.</w:t>
      </w:r>
    </w:p>
    <w:p w:rsidR="00786B3E" w:rsidRDefault="00786B3E" w:rsidP="00786B3E">
      <w:r>
        <w:t xml:space="preserve">La Comisión evaluará si un importe es adecuado en función de la situación nacional particular de cada Estado miembro, respetando así el principio de «un solo tamaño no </w:t>
      </w:r>
      <w:r>
        <w:lastRenderedPageBreak/>
        <w:t>se ajusta a todos». Esta evaluación se llevará a cabo sobre la base de los retos señalados en las REP, los anexos D y el Semestre Europeo, así como los datos pertinentes de Eurostat, etc. El importe exacto se negociará bilateralmente entre la Comisión y el Estado miembro de que se trate. Es posible que, sobre la base de esta evaluación, la Comisión llegue a la conclusión de que 0 es un importe adecuado. Este es el caso cuando el Estado miembro está obteniendo buenos resultados en un ámbito y ya está tomando las medidas adecuadas con su presupuesto nacional para hacer frente a los retos.</w:t>
      </w:r>
    </w:p>
    <w:p w:rsidR="00786B3E" w:rsidRDefault="00786B3E" w:rsidP="00786B3E"/>
    <w:p w:rsidR="00786B3E" w:rsidRDefault="00786B3E" w:rsidP="00786B3E"/>
    <w:p w:rsidR="00786B3E" w:rsidRDefault="00786B3E" w:rsidP="00786B3E"/>
    <w:p w:rsidR="00786B3E" w:rsidRDefault="00786B3E" w:rsidP="00786B3E">
      <w:pPr>
        <w:pStyle w:val="Ttulo1"/>
      </w:pPr>
      <w:bookmarkStart w:id="642" w:name="scroll-bookmark-747"/>
      <w:bookmarkStart w:id="643" w:name="scroll-bookmark-748"/>
      <w:bookmarkEnd w:id="642"/>
      <w:r>
        <w:t xml:space="preserve">Porcentaje de cofinanciación del </w:t>
      </w:r>
      <w:proofErr w:type="spellStart"/>
      <w:r>
        <w:t>del</w:t>
      </w:r>
      <w:proofErr w:type="spellEnd"/>
      <w:r>
        <w:t xml:space="preserve"> FSE + 020-90 %</w:t>
      </w:r>
      <w:bookmarkEnd w:id="643"/>
    </w:p>
    <w:p w:rsidR="00786B3E" w:rsidRDefault="00786B3E" w:rsidP="00786B3E">
      <w:r>
        <w:rPr>
          <w:noProof/>
          <w:lang w:val="es-ES"/>
        </w:rPr>
        <w:drawing>
          <wp:inline distT="0" distB="0" distL="0" distR="0" wp14:anchorId="50670C31" wp14:editId="1C4B9536">
            <wp:extent cx="152435" cy="152435"/>
            <wp:effectExtent l="0" t="0" r="0" b="0"/>
            <wp:docPr id="101291" name="Imagen 1012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4 y 10</w:t>
      </w:r>
    </w:p>
    <w:p w:rsidR="00786B3E" w:rsidRDefault="00786B3E" w:rsidP="00786B3E">
      <w:r>
        <w:rPr>
          <w:noProof/>
          <w:lang w:val="es-ES"/>
        </w:rPr>
        <w:drawing>
          <wp:inline distT="0" distB="0" distL="0" distR="0" wp14:anchorId="1AA7F131" wp14:editId="37DC9D99">
            <wp:extent cx="152435" cy="152435"/>
            <wp:effectExtent l="0" t="0" r="0" b="0"/>
            <wp:docPr id="101293" name="Imagen 1012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 el porcentaje de cofinanciación del antiguo FEAD ser superior o inferior al 90 %? </w:t>
      </w:r>
    </w:p>
    <w:p w:rsidR="00786B3E" w:rsidRDefault="00786B3E" w:rsidP="00786B3E"/>
    <w:p w:rsidR="00786B3E" w:rsidRDefault="00786B3E" w:rsidP="00786B3E">
      <w:pPr>
        <w:pStyle w:val="P68B1DB1-Normal1"/>
      </w:pPr>
      <w:r>
        <w:t>Respuesta.</w:t>
      </w:r>
    </w:p>
    <w:p w:rsidR="00786B3E" w:rsidRDefault="00786B3E" w:rsidP="00786B3E">
      <w:r>
        <w:t>El porcentaje de cofinanciación para la prioridad o el programa en virtud de los objetivos específicos establecidos en el artículo 4 (1), letras l) y m), es fijo del 90 % y, por lo tanto, no es posible que los Estados miembros utilicen un porcentaje de cofinanciación inferior (o superior). Los Estados miembros pueden añadir más recursos y mencionarlos en el PO, pero esto queda fuera del ámbito del FSE + en términos de auditoría, seguimiento y evaluación.</w:t>
      </w:r>
    </w:p>
    <w:p w:rsidR="00786B3E" w:rsidRDefault="00786B3E" w:rsidP="00786B3E"/>
    <w:p w:rsidR="00786B3E" w:rsidRDefault="00786B3E" w:rsidP="00786B3E"/>
    <w:p w:rsidR="00786B3E" w:rsidRDefault="00786B3E" w:rsidP="00786B3E"/>
    <w:p w:rsidR="00786B3E" w:rsidRDefault="00786B3E" w:rsidP="00786B3E">
      <w:pPr>
        <w:pStyle w:val="Ttulo1"/>
      </w:pPr>
      <w:bookmarkStart w:id="644" w:name="scroll-bookmark-749"/>
      <w:bookmarkStart w:id="645" w:name="scroll-bookmark-750"/>
      <w:bookmarkEnd w:id="644"/>
      <w:r>
        <w:t>¿Cómo programar el 3 % de la ayuda a las personas más desfavorecidas en el marco de los objetivos específicos l) y m)?</w:t>
      </w:r>
      <w:bookmarkEnd w:id="645"/>
    </w:p>
    <w:p w:rsidR="00786B3E" w:rsidRDefault="00786B3E" w:rsidP="00786B3E">
      <w:r>
        <w:rPr>
          <w:noProof/>
          <w:lang w:val="es-ES"/>
        </w:rPr>
        <w:drawing>
          <wp:inline distT="0" distB="0" distL="0" distR="0" wp14:anchorId="2596C449" wp14:editId="23F4E5DC">
            <wp:extent cx="152435" cy="152435"/>
            <wp:effectExtent l="0" t="0" r="0" b="0"/>
            <wp:docPr id="101295" name="Imagen 1012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10 y 22</w:t>
      </w:r>
    </w:p>
    <w:p w:rsidR="00786B3E" w:rsidRDefault="00786B3E" w:rsidP="00786B3E">
      <w:r>
        <w:rPr>
          <w:noProof/>
          <w:lang w:val="es-ES"/>
        </w:rPr>
        <w:drawing>
          <wp:inline distT="0" distB="0" distL="0" distR="0" wp14:anchorId="0522EB63" wp14:editId="27ACECDD">
            <wp:extent cx="152435" cy="152435"/>
            <wp:effectExtent l="0" t="0" r="0" b="0"/>
            <wp:docPr id="101297" name="Imagen 1012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¿Cómo programar el 3 % de ayuda a las personas más desfavorecidas si desea utilizar tanto los objetivos específicos l) como m)? </w:t>
      </w:r>
    </w:p>
    <w:p w:rsidR="00786B3E" w:rsidRDefault="00786B3E" w:rsidP="00786B3E"/>
    <w:p w:rsidR="00786B3E" w:rsidRDefault="00786B3E" w:rsidP="00786B3E">
      <w:pPr>
        <w:pStyle w:val="P68B1DB1-Normal1"/>
      </w:pPr>
      <w:r>
        <w:t>Respuesta.</w:t>
      </w:r>
    </w:p>
    <w:p w:rsidR="00786B3E" w:rsidRDefault="00786B3E" w:rsidP="00786B3E">
      <w:r>
        <w:t>En caso de que los Estados miembros deseen prestar apoyo a las personas más desfavorecidas en el marco de los objetivos específicos l) y m) con el fin de cumplir el requisito mínimo del 3 %, esta ayuda debe programarse con arreglo a dos prioridades específicas separadas.</w:t>
      </w:r>
    </w:p>
    <w:p w:rsidR="00786B3E" w:rsidRDefault="00786B3E" w:rsidP="00786B3E">
      <w:r>
        <w:t xml:space="preserve">La razón de ello es que los OE (l) y (m) están sujetos a normas diferentes en materia de programación, </w:t>
      </w:r>
      <w:r w:rsidR="002F3719">
        <w:t xml:space="preserve">ya que, </w:t>
      </w:r>
      <w:r>
        <w:t>el artículo 22 del FSE + establece normas específicas para las prioridades que prestan apoyo al objetivo específico (m). Corresponde a los Estados miembros decidir las disposiciones más adecuadas del programa y si programan estas medidas a nivel nacional o regional. Por lo tanto, es posible que un Estado miembro programe el objetivo específico m) a nivel nacional y l) a nivel regional.</w:t>
      </w:r>
    </w:p>
    <w:p w:rsidR="00786B3E" w:rsidRDefault="00786B3E" w:rsidP="00786B3E"/>
    <w:p w:rsidR="00786B3E" w:rsidRDefault="00786B3E" w:rsidP="00786B3E"/>
    <w:p w:rsidR="00786B3E" w:rsidRDefault="00786B3E" w:rsidP="00786B3E"/>
    <w:p w:rsidR="00786B3E" w:rsidRDefault="00786B3E" w:rsidP="00786B3E">
      <w:pPr>
        <w:pStyle w:val="Ttulo1"/>
      </w:pPr>
      <w:bookmarkStart w:id="646" w:name="scroll-bookmark-751"/>
      <w:bookmarkStart w:id="647" w:name="scroll-bookmark-455"/>
      <w:bookmarkEnd w:id="646"/>
      <w:proofErr w:type="spellStart"/>
      <w:r>
        <w:t>Quáter</w:t>
      </w:r>
      <w:proofErr w:type="spellEnd"/>
      <w:r>
        <w:t xml:space="preserve"> FSE ± 022 — Programación de acciones para los ninis</w:t>
      </w:r>
      <w:bookmarkEnd w:id="647"/>
    </w:p>
    <w:p w:rsidR="00786B3E" w:rsidRDefault="00786B3E" w:rsidP="00786B3E">
      <w:r>
        <w:rPr>
          <w:noProof/>
          <w:lang w:val="es-ES"/>
        </w:rPr>
        <w:drawing>
          <wp:inline distT="0" distB="0" distL="0" distR="0" wp14:anchorId="3007A118" wp14:editId="2FBBE226">
            <wp:extent cx="152435" cy="152435"/>
            <wp:effectExtent l="0" t="0" r="0" b="0"/>
            <wp:docPr id="101299" name="Imagen 1012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y 11</w:t>
      </w:r>
    </w:p>
    <w:p w:rsidR="00786B3E" w:rsidRDefault="00786B3E" w:rsidP="00786B3E">
      <w:r>
        <w:rPr>
          <w:noProof/>
          <w:lang w:val="es-ES"/>
        </w:rPr>
        <w:drawing>
          <wp:inline distT="0" distB="0" distL="0" distR="0" wp14:anchorId="55DF89C5" wp14:editId="7BB52CB8">
            <wp:extent cx="152435" cy="152435"/>
            <wp:effectExtent l="0" t="0" r="0" b="0"/>
            <wp:docPr id="101301" name="Imagen 1013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¿Podemos prever una prioridad específica para los jóvenes (ninis) al tiempo que programamos acciones para los ninis en otras prioridades?</w:t>
      </w:r>
    </w:p>
    <w:p w:rsidR="00786B3E" w:rsidRDefault="00786B3E" w:rsidP="00786B3E"/>
    <w:p w:rsidR="00786B3E" w:rsidRDefault="00786B3E" w:rsidP="00786B3E">
      <w:pPr>
        <w:pStyle w:val="P68B1DB1-Normal1"/>
      </w:pPr>
      <w:r>
        <w:t>Respuesta.</w:t>
      </w:r>
    </w:p>
    <w:p w:rsidR="00786B3E" w:rsidRDefault="00786B3E" w:rsidP="00786B3E">
      <w:r>
        <w:t>Sí, puedes. Puedes programar medidas para los jóvenes en otras prioridades, además de la prioridad dedicada a la juventud. La inversión en la juventud en el marco de otras prioridades también puede ser objeto de seguimiento mediante el uso del ámbito de intervención 134 Apoyo específico al empleo juvenil y la integración socioeconómica de los jóvenes en caso de que dichas medidas se destinen específicamente a la juventud. </w:t>
      </w:r>
    </w:p>
    <w:p w:rsidR="00786B3E" w:rsidRDefault="00786B3E" w:rsidP="00786B3E"/>
    <w:p w:rsidR="00786B3E" w:rsidRDefault="00786B3E" w:rsidP="00786B3E"/>
    <w:p w:rsidR="00786B3E" w:rsidRDefault="00786B3E" w:rsidP="00786B3E"/>
    <w:p w:rsidR="00786B3E" w:rsidRDefault="00786B3E" w:rsidP="00786B3E">
      <w:pPr>
        <w:pStyle w:val="Ttulo1"/>
      </w:pPr>
      <w:bookmarkStart w:id="648" w:name="scroll-bookmark-752"/>
      <w:bookmarkStart w:id="649" w:name="scroll-bookmark-753"/>
      <w:bookmarkEnd w:id="648"/>
      <w:proofErr w:type="spellStart"/>
      <w:r>
        <w:t>QAê</w:t>
      </w:r>
      <w:proofErr w:type="spellEnd"/>
      <w:r>
        <w:t xml:space="preserve"> FSE ± 023 — DLP — Innovación social</w:t>
      </w:r>
      <w:bookmarkEnd w:id="649"/>
    </w:p>
    <w:p w:rsidR="00786B3E" w:rsidRDefault="00786B3E" w:rsidP="00786B3E">
      <w:r>
        <w:rPr>
          <w:noProof/>
          <w:lang w:val="es-ES"/>
        </w:rPr>
        <w:drawing>
          <wp:inline distT="0" distB="0" distL="0" distR="0" wp14:anchorId="70818D18" wp14:editId="350ED478">
            <wp:extent cx="152435" cy="152435"/>
            <wp:effectExtent l="0" t="0" r="0" b="0"/>
            <wp:docPr id="101303" name="Imagen 1013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14</w:t>
      </w:r>
    </w:p>
    <w:p w:rsidR="00786B3E" w:rsidRDefault="00786B3E" w:rsidP="00786B3E">
      <w:r>
        <w:rPr>
          <w:noProof/>
          <w:lang w:val="es-ES"/>
        </w:rPr>
        <w:drawing>
          <wp:inline distT="0" distB="0" distL="0" distR="0" wp14:anchorId="14F9D816" wp14:editId="4FE38B53">
            <wp:extent cx="152435" cy="152435"/>
            <wp:effectExtent l="0" t="0" r="0" b="0"/>
            <wp:docPr id="101305" name="Imagen 1013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¿Es la aplicación a través del DLP o la ITI (que son enfoques ascendentes basados en asociaciones a diferentes niveles locales y regionales) como «acciones de apoyo a la innovación social y la experimentación social»?</w:t>
      </w:r>
    </w:p>
    <w:p w:rsidR="00786B3E" w:rsidRDefault="00786B3E" w:rsidP="00786B3E">
      <w:r>
        <w:br/>
        <w:t>Si una prioridad de un programa debe ejecutarse utilizando enfoques de DLP o ITI, ¿podemos considerar que la innovación social se apoya a través de las intervenciones en el marco de esta prioridad y que se cumple el requisito del artículo 14 (4) «</w:t>
      </w:r>
      <w:proofErr w:type="gramStart"/>
      <w:r>
        <w:t>Los Estados miembros dedicarán al menos una prioridad a la aplicación de los apartados 1 o 2, o ambas cosas»?</w:t>
      </w:r>
      <w:proofErr w:type="gramEnd"/>
    </w:p>
    <w:p w:rsidR="00786B3E" w:rsidRDefault="00786B3E" w:rsidP="00786B3E"/>
    <w:p w:rsidR="00786B3E" w:rsidRDefault="00786B3E" w:rsidP="00786B3E">
      <w:pPr>
        <w:pStyle w:val="P68B1DB1-Normal1"/>
      </w:pPr>
      <w:r>
        <w:t>Respuesta.</w:t>
      </w:r>
    </w:p>
    <w:p w:rsidR="00786B3E" w:rsidRDefault="00786B3E" w:rsidP="00786B3E">
      <w:r>
        <w:t>La respuesta es afirmativa siempre que la intervención lógica subyacente a estas iniciativas demuestre sus elementos socialmente innovadores. Más exactamente:</w:t>
      </w:r>
      <w:r>
        <w:br/>
        <w:t xml:space="preserve">— El requisito es que «los Estados miembros apoyarán las acciones de innovación social y experimentación social». </w:t>
      </w:r>
      <w:r>
        <w:br/>
        <w:t>— La continuación del texto no constituye una alternativa a este requisito. Ofrece ejemplos de lo que se incluye en las formas de llevarlo a cabo.</w:t>
      </w:r>
    </w:p>
    <w:p w:rsidR="00786B3E" w:rsidRDefault="00786B3E" w:rsidP="00786B3E"/>
    <w:p w:rsidR="00786B3E" w:rsidRDefault="00786B3E" w:rsidP="00786B3E"/>
    <w:p w:rsidR="00786B3E" w:rsidRDefault="00786B3E" w:rsidP="00786B3E"/>
    <w:p w:rsidR="00786B3E" w:rsidRDefault="00786B3E" w:rsidP="00786B3E">
      <w:pPr>
        <w:pStyle w:val="Ttulo1"/>
      </w:pPr>
      <w:bookmarkStart w:id="650" w:name="scroll-bookmark-754"/>
      <w:bookmarkStart w:id="651" w:name="scroll-bookmark-755"/>
      <w:bookmarkEnd w:id="650"/>
      <w:proofErr w:type="spellStart"/>
      <w:r>
        <w:t>Quáter</w:t>
      </w:r>
      <w:proofErr w:type="spellEnd"/>
      <w:r>
        <w:t xml:space="preserve"> FSE ± 024 — Innovación social prioritaria específica</w:t>
      </w:r>
      <w:bookmarkEnd w:id="651"/>
    </w:p>
    <w:p w:rsidR="00786B3E" w:rsidRDefault="00786B3E" w:rsidP="00786B3E">
      <w:r>
        <w:rPr>
          <w:noProof/>
          <w:lang w:val="es-ES"/>
        </w:rPr>
        <w:drawing>
          <wp:inline distT="0" distB="0" distL="0" distR="0" wp14:anchorId="6764C5FE" wp14:editId="200C8F1F">
            <wp:extent cx="152435" cy="152435"/>
            <wp:effectExtent l="0" t="0" r="0" b="0"/>
            <wp:docPr id="101307" name="Imagen 1013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14</w:t>
      </w:r>
    </w:p>
    <w:p w:rsidR="00786B3E" w:rsidRDefault="00786B3E" w:rsidP="00786B3E">
      <w:r>
        <w:rPr>
          <w:noProof/>
          <w:lang w:val="es-ES"/>
        </w:rPr>
        <w:drawing>
          <wp:inline distT="0" distB="0" distL="0" distR="0" wp14:anchorId="1CDB56AE" wp14:editId="25991074">
            <wp:extent cx="152435" cy="152435"/>
            <wp:effectExtent l="0" t="0" r="0" b="0"/>
            <wp:docPr id="101309" name="Imagen 1013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lastRenderedPageBreak/>
        <w:t>¿Es obligatorio programar una prioridad específica para las innovaciones sociales y la experimentación social?</w:t>
      </w:r>
    </w:p>
    <w:p w:rsidR="00786B3E" w:rsidRDefault="00786B3E" w:rsidP="00786B3E"/>
    <w:p w:rsidR="00786B3E" w:rsidRDefault="00786B3E" w:rsidP="00786B3E">
      <w:pPr>
        <w:pStyle w:val="P68B1DB1-Normal1"/>
      </w:pPr>
      <w:r>
        <w:t>Respuesta.</w:t>
      </w:r>
    </w:p>
    <w:p w:rsidR="00786B3E" w:rsidRDefault="00786B3E" w:rsidP="00786B3E">
      <w:r>
        <w:t>Sí, es obligatorio dedicar al menos una prioridad a la innovación social. En el marco de esta prioridad o prioridades específicas, la cofinanciación del FSE + puede incrementarse hasta el 95 %. Sin embargo, el uso de este aumento de la cofinanciación se limita a un máximo del 5 % de los recursos nacionales del FSE +.</w:t>
      </w:r>
    </w:p>
    <w:p w:rsidR="00786B3E" w:rsidRDefault="00786B3E" w:rsidP="00786B3E"/>
    <w:p w:rsidR="00786B3E" w:rsidRDefault="00786B3E" w:rsidP="00786B3E"/>
    <w:p w:rsidR="00786B3E" w:rsidRDefault="00786B3E" w:rsidP="00786B3E"/>
    <w:p w:rsidR="00786B3E" w:rsidRDefault="00786B3E" w:rsidP="00786B3E">
      <w:pPr>
        <w:pStyle w:val="Ttulo1"/>
      </w:pPr>
      <w:bookmarkStart w:id="652" w:name="scroll-bookmark-756"/>
      <w:bookmarkStart w:id="653" w:name="scroll-bookmark-757"/>
      <w:bookmarkEnd w:id="652"/>
      <w:proofErr w:type="spellStart"/>
      <w:r>
        <w:t>Quáter</w:t>
      </w:r>
      <w:proofErr w:type="spellEnd"/>
      <w:r>
        <w:t xml:space="preserve"> FSE ± 025 — Contribuciones en especie</w:t>
      </w:r>
      <w:bookmarkEnd w:id="653"/>
    </w:p>
    <w:p w:rsidR="00786B3E" w:rsidRDefault="00786B3E" w:rsidP="00786B3E">
      <w:r>
        <w:rPr>
          <w:noProof/>
          <w:lang w:val="es-ES"/>
        </w:rPr>
        <w:drawing>
          <wp:inline distT="0" distB="0" distL="0" distR="0" wp14:anchorId="7C18F14D" wp14:editId="63EE1BE5">
            <wp:extent cx="152435" cy="152435"/>
            <wp:effectExtent l="0" t="0" r="0" b="0"/>
            <wp:docPr id="101311" name="Imagen 1013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16</w:t>
      </w:r>
    </w:p>
    <w:p w:rsidR="00786B3E" w:rsidRDefault="00786B3E" w:rsidP="00786B3E">
      <w:r>
        <w:rPr>
          <w:noProof/>
          <w:lang w:val="es-ES"/>
        </w:rPr>
        <w:drawing>
          <wp:inline distT="0" distB="0" distL="0" distR="0" wp14:anchorId="40B10306" wp14:editId="61CDC70F">
            <wp:extent cx="152435" cy="152435"/>
            <wp:effectExtent l="0" t="0" r="0" b="0"/>
            <wp:docPr id="101313" name="Imagen 1013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¿Es posible realizar contribuciones en especie a los participantes en una operación a través de salarios, indemnizaciones o tarjetas de efectivo?</w:t>
      </w:r>
    </w:p>
    <w:p w:rsidR="00786B3E" w:rsidRDefault="00786B3E" w:rsidP="00786B3E"/>
    <w:p w:rsidR="00786B3E" w:rsidRDefault="00786B3E" w:rsidP="00786B3E">
      <w:pPr>
        <w:pStyle w:val="P68B1DB1-Normal1"/>
      </w:pPr>
      <w:r>
        <w:t>Respuesta.</w:t>
      </w:r>
    </w:p>
    <w:p w:rsidR="00786B3E" w:rsidRDefault="00786B3E" w:rsidP="00786B3E">
      <w:r>
        <w:t>Esta disposición ya existía en el período de programación 2014-2020 (y antes). Se establece en el artículo 13, apartado 5, del Reglamento (UE) n.º 1304/2013. Esta disposición no establece que las medidas pasivas sean subvencionables o no reciban ayuda. Se trata de una disposición que establece normas específicas sobre la subvencionabilidad de los costes en relación con las contribuciones en especie, además de los casos establecidos en el artículo 67 del RDC. Esta disposición permite que determinadas contribuciones en especie pagadas por terceros en beneficio de los participantes puedan optar a la ayuda en el marco del FSE +, es decir, las indemnizaciones o salarios de los participantes abonados por terceros. Esto es posible siempre que estas contribuciones se realicen de conformidad con la legislación nacional y que los costes subvencionables declarados no sean superiores a los costes soportados por el tercero. En conclusión, esta disposición establece que las contribuciones en especie pueden considerarse costes subvencionables de una operación. Estos costes tendrían que estar vinculados a la participación en una acción que contribuya a uno de los objetivos específicos establecidos en el artículo 4, apartado 1, del FSE +.</w:t>
      </w:r>
    </w:p>
    <w:p w:rsidR="00786B3E" w:rsidRDefault="00786B3E" w:rsidP="00786B3E"/>
    <w:p w:rsidR="00786B3E" w:rsidRDefault="00786B3E" w:rsidP="00786B3E"/>
    <w:p w:rsidR="00786B3E" w:rsidRDefault="00786B3E" w:rsidP="00786B3E"/>
    <w:p w:rsidR="00786B3E" w:rsidRDefault="00786B3E" w:rsidP="00786B3E">
      <w:pPr>
        <w:pStyle w:val="Ttulo1"/>
      </w:pPr>
      <w:bookmarkStart w:id="654" w:name="scroll-bookmark-758"/>
      <w:bookmarkStart w:id="655" w:name="scroll-bookmark-759"/>
      <w:bookmarkEnd w:id="654"/>
      <w:r>
        <w:t xml:space="preserve">¿Se cumplen las condiciones establecidas en el artículo 16, </w:t>
      </w:r>
      <w:proofErr w:type="gramStart"/>
      <w:r>
        <w:t>apartado 1, para la subvencionabilidad de los costes de adquisición de determinados bienes alternativos o acumulativos?</w:t>
      </w:r>
      <w:bookmarkEnd w:id="655"/>
      <w:proofErr w:type="gramEnd"/>
    </w:p>
    <w:p w:rsidR="00786B3E" w:rsidRDefault="00786B3E" w:rsidP="00786B3E">
      <w:r>
        <w:rPr>
          <w:noProof/>
          <w:lang w:val="es-ES"/>
        </w:rPr>
        <w:drawing>
          <wp:inline distT="0" distB="0" distL="0" distR="0" wp14:anchorId="2E5A6809" wp14:editId="5D55F616">
            <wp:extent cx="152435" cy="152435"/>
            <wp:effectExtent l="0" t="0" r="0" b="0"/>
            <wp:docPr id="101315" name="Imagen 1013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16</w:t>
      </w:r>
    </w:p>
    <w:p w:rsidR="00786B3E" w:rsidRDefault="00786B3E" w:rsidP="00786B3E">
      <w:r>
        <w:rPr>
          <w:noProof/>
          <w:lang w:val="es-ES"/>
        </w:rPr>
        <w:drawing>
          <wp:inline distT="0" distB="0" distL="0" distR="0" wp14:anchorId="45CE9B82" wp14:editId="2230AB30">
            <wp:extent cx="152435" cy="152435"/>
            <wp:effectExtent l="0" t="0" r="0" b="0"/>
            <wp:docPr id="101317" name="Imagen 1013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¿Son las condiciones establecidas en el artículo 16, apartado 1, para la subvencionabilidad de los costes de adquisición de determinados bienes alternativas o acumulativas? </w:t>
      </w:r>
    </w:p>
    <w:p w:rsidR="00786B3E" w:rsidRDefault="00786B3E" w:rsidP="00786B3E"/>
    <w:p w:rsidR="00786B3E" w:rsidRDefault="00786B3E" w:rsidP="00786B3E">
      <w:pPr>
        <w:pStyle w:val="P68B1DB1-Normal1"/>
      </w:pPr>
      <w:r>
        <w:t>Respuesta.</w:t>
      </w:r>
    </w:p>
    <w:p w:rsidR="00786B3E" w:rsidRDefault="00786B3E" w:rsidP="00786B3E">
      <w:r>
        <w:t>Sí, estas condiciones son alternativas y no acumulativas. Por lo tanto, si la compra es la opción más económica, no es necesario que se cumplan las otras dos condiciones.</w:t>
      </w:r>
    </w:p>
    <w:p w:rsidR="00786B3E" w:rsidRDefault="00786B3E" w:rsidP="00786B3E">
      <w:r>
        <w:br/>
        <w:t xml:space="preserve">Como ejemplo de amortización total, sería una formación para los desempleados que duraría 5 años y el beneficiario decidiría adquirir ordenadores para la formación. Además, de conformidad con las normas contables de dicho Estado miembro, el valor de un ordenador se considera totalmente amortizado al cabo de 5 años. En este caso, se considerará que el equipo está totalmente amortizado durante la operación. Este es solo un ejemplo indicativo, </w:t>
      </w:r>
      <w:r w:rsidR="002F3719">
        <w:t xml:space="preserve">ya que, </w:t>
      </w:r>
      <w:r>
        <w:t>el tiempo de amortización se establece en las normas nacionales.</w:t>
      </w:r>
    </w:p>
    <w:p w:rsidR="00786B3E" w:rsidRDefault="00786B3E" w:rsidP="00786B3E"/>
    <w:p w:rsidR="00786B3E" w:rsidRDefault="00786B3E" w:rsidP="00786B3E"/>
    <w:p w:rsidR="00786B3E" w:rsidRDefault="00786B3E" w:rsidP="00786B3E"/>
    <w:p w:rsidR="00786B3E" w:rsidRDefault="00786B3E" w:rsidP="00786B3E">
      <w:pPr>
        <w:pStyle w:val="Ttulo1"/>
      </w:pPr>
      <w:bookmarkStart w:id="656" w:name="scroll-bookmark-760"/>
      <w:bookmarkStart w:id="657" w:name="scroll-bookmark-761"/>
      <w:bookmarkEnd w:id="656"/>
      <w:proofErr w:type="spellStart"/>
      <w:r>
        <w:t>Quáter</w:t>
      </w:r>
      <w:proofErr w:type="spellEnd"/>
      <w:r>
        <w:t xml:space="preserve"> FSE ± 027 — Respeto de la dignidad y prevención de la estigmatización de las personas más necesitadas</w:t>
      </w:r>
      <w:bookmarkEnd w:id="657"/>
    </w:p>
    <w:p w:rsidR="00786B3E" w:rsidRDefault="00786B3E" w:rsidP="00786B3E">
      <w:r>
        <w:rPr>
          <w:noProof/>
          <w:lang w:val="es-ES"/>
        </w:rPr>
        <w:drawing>
          <wp:inline distT="0" distB="0" distL="0" distR="0" wp14:anchorId="40240590" wp14:editId="40F636D6">
            <wp:extent cx="152435" cy="152435"/>
            <wp:effectExtent l="0" t="0" r="0" b="0"/>
            <wp:docPr id="101319" name="Imagen 1013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19</w:t>
      </w:r>
    </w:p>
    <w:p w:rsidR="00786B3E" w:rsidRDefault="00786B3E" w:rsidP="00786B3E">
      <w:r>
        <w:rPr>
          <w:noProof/>
          <w:lang w:val="es-ES"/>
        </w:rPr>
        <w:drawing>
          <wp:inline distT="0" distB="0" distL="0" distR="0" wp14:anchorId="40A27B32" wp14:editId="345D03A2">
            <wp:extent cx="152435" cy="152435"/>
            <wp:effectExtent l="0" t="0" r="0" b="0"/>
            <wp:docPr id="101321" name="Imagen 1013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¿Qué significa en la práctica el respeto de la dignidad y la prevención de la estigmatización de las personas más necesitadas?</w:t>
      </w:r>
    </w:p>
    <w:p w:rsidR="00786B3E" w:rsidRDefault="00786B3E" w:rsidP="00786B3E"/>
    <w:p w:rsidR="00786B3E" w:rsidRDefault="00786B3E" w:rsidP="00786B3E">
      <w:pPr>
        <w:pStyle w:val="P68B1DB1-Normal1"/>
      </w:pPr>
      <w:r>
        <w:t>Respuesta.</w:t>
      </w:r>
    </w:p>
    <w:p w:rsidR="00786B3E" w:rsidRDefault="00786B3E" w:rsidP="00786B3E">
      <w:r>
        <w:t>El artículo 19 (3) exige precisamente que la prestación de ayuda respete la dignidad e impida la estigmatización de las personas más necesitadas. Esto debe concebirse tanto en relación con la selección de dicha ayuda como con las modalidades de dicha ayuda.</w:t>
      </w:r>
    </w:p>
    <w:p w:rsidR="00786B3E" w:rsidRDefault="00786B3E" w:rsidP="00786B3E"/>
    <w:p w:rsidR="00786B3E" w:rsidRDefault="00786B3E" w:rsidP="00786B3E"/>
    <w:p w:rsidR="00786B3E" w:rsidRDefault="00786B3E" w:rsidP="00786B3E"/>
    <w:p w:rsidR="00786B3E" w:rsidRDefault="00786B3E" w:rsidP="00786B3E">
      <w:pPr>
        <w:pStyle w:val="Ttulo1"/>
      </w:pPr>
      <w:bookmarkStart w:id="658" w:name="scroll-bookmark-762"/>
      <w:bookmarkStart w:id="659" w:name="scroll-bookmark-763"/>
      <w:bookmarkEnd w:id="658"/>
      <w:r>
        <w:t>Financiación de las medidas de acompañamiento del FSE + 028-Financiación de las medidas de acompañamiento</w:t>
      </w:r>
      <w:bookmarkEnd w:id="659"/>
    </w:p>
    <w:p w:rsidR="00786B3E" w:rsidRDefault="00786B3E" w:rsidP="00786B3E">
      <w:r>
        <w:rPr>
          <w:noProof/>
          <w:lang w:val="es-ES"/>
        </w:rPr>
        <w:drawing>
          <wp:inline distT="0" distB="0" distL="0" distR="0" wp14:anchorId="6F6128DA" wp14:editId="7D692C93">
            <wp:extent cx="152435" cy="152435"/>
            <wp:effectExtent l="0" t="0" r="0" b="0"/>
            <wp:docPr id="101323" name="Imagen 1013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21</w:t>
      </w:r>
    </w:p>
    <w:p w:rsidR="00786B3E" w:rsidRDefault="00786B3E" w:rsidP="00786B3E">
      <w:r>
        <w:rPr>
          <w:noProof/>
          <w:lang w:val="es-ES"/>
        </w:rPr>
        <w:drawing>
          <wp:inline distT="0" distB="0" distL="0" distR="0" wp14:anchorId="46E00D7F" wp14:editId="1C7291FD">
            <wp:extent cx="152435" cy="152435"/>
            <wp:effectExtent l="0" t="0" r="0" b="0"/>
            <wp:docPr id="101325" name="Imagen 1013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¿Es necesario que las medidas complementarias obligatorias sean financiadas por el FSE +? </w:t>
      </w:r>
    </w:p>
    <w:p w:rsidR="00786B3E" w:rsidRDefault="00786B3E" w:rsidP="00786B3E"/>
    <w:p w:rsidR="00786B3E" w:rsidRDefault="00786B3E" w:rsidP="00786B3E">
      <w:pPr>
        <w:pStyle w:val="P68B1DB1-Normal1"/>
      </w:pPr>
      <w:r>
        <w:t>Respuesta.</w:t>
      </w:r>
    </w:p>
    <w:p w:rsidR="00786B3E" w:rsidRDefault="00786B3E" w:rsidP="00786B3E">
      <w:r>
        <w:t>El artículo 17, apartado 4, del FSE + exige que las medidas de acompañamiento, además de ser obligatorias, reciban apoyo en el marco del FSE +, ya sea en virtud del objetivo específico m) o l) como medidas de integración social. Esto supone un cambio en comparación con las normas aplicables en 2014-2020, en las que las medidas de acompañamiento son obligatorias, pero los Estados miembros no están obligados a apoyarlas en el marco del FEAD.</w:t>
      </w:r>
    </w:p>
    <w:p w:rsidR="00786B3E" w:rsidRDefault="00786B3E" w:rsidP="00786B3E">
      <w:r>
        <w:br/>
        <w:t>Aunque esto significa que los Estados miembros tienen la obligación de utilizar el FSE + para apoyarlos, los Estados miembros siguen teniendo flexibilidad para apoyarlos en virtud del objetivo específico m) o l). En caso de que los Estados miembros decidan apoyarlos con arreglo a la letra l), deben garantizar que las personas más desfavorecidas sean objeto de las letras l) y m).</w:t>
      </w:r>
    </w:p>
    <w:p w:rsidR="00786B3E" w:rsidRDefault="00786B3E" w:rsidP="00786B3E"/>
    <w:p w:rsidR="00786B3E" w:rsidRDefault="00786B3E" w:rsidP="00786B3E"/>
    <w:p w:rsidR="00786B3E" w:rsidRDefault="00786B3E" w:rsidP="00786B3E"/>
    <w:p w:rsidR="00786B3E" w:rsidRDefault="00786B3E" w:rsidP="00786B3E">
      <w:pPr>
        <w:pStyle w:val="Ttulo1"/>
      </w:pPr>
      <w:bookmarkStart w:id="660" w:name="scroll-bookmark-764"/>
      <w:bookmarkStart w:id="661" w:name="scroll-bookmark-765"/>
      <w:bookmarkEnd w:id="660"/>
      <w:r>
        <w:t>¿Se pueden canjear los vales por el pago de alquileres o facturas domésticas?</w:t>
      </w:r>
      <w:bookmarkEnd w:id="661"/>
    </w:p>
    <w:p w:rsidR="00786B3E" w:rsidRDefault="00786B3E" w:rsidP="00786B3E">
      <w:r>
        <w:rPr>
          <w:noProof/>
          <w:lang w:val="es-ES"/>
        </w:rPr>
        <w:drawing>
          <wp:inline distT="0" distB="0" distL="0" distR="0" wp14:anchorId="72574A02" wp14:editId="19BF2A49">
            <wp:extent cx="152435" cy="152435"/>
            <wp:effectExtent l="0" t="0" r="0" b="0"/>
            <wp:docPr id="101327" name="Imagen 1013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22</w:t>
      </w:r>
    </w:p>
    <w:p w:rsidR="00786B3E" w:rsidRDefault="00786B3E" w:rsidP="00786B3E">
      <w:r>
        <w:rPr>
          <w:noProof/>
          <w:lang w:val="es-ES"/>
        </w:rPr>
        <w:drawing>
          <wp:inline distT="0" distB="0" distL="0" distR="0" wp14:anchorId="55C5FA3A" wp14:editId="271D5664">
            <wp:extent cx="152435" cy="152435"/>
            <wp:effectExtent l="0" t="0" r="0" b="0"/>
            <wp:docPr id="101329" name="Imagen 1013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¿Pueden los bonos que se canjearán por alimentos o asistencia material básica incluir el pago de alquileres o facturas domésticas?</w:t>
      </w:r>
    </w:p>
    <w:p w:rsidR="00786B3E" w:rsidRDefault="00786B3E" w:rsidP="00786B3E"/>
    <w:p w:rsidR="00786B3E" w:rsidRDefault="00786B3E" w:rsidP="00786B3E">
      <w:pPr>
        <w:pStyle w:val="P68B1DB1-Normal1"/>
      </w:pPr>
      <w:r>
        <w:t>Respuesta.</w:t>
      </w:r>
    </w:p>
    <w:p w:rsidR="00786B3E" w:rsidRDefault="00786B3E" w:rsidP="00786B3E">
      <w:r>
        <w:t>No, la asistencia material básica se define en el artículo 2 como «bienes que satisfacen las necesidades básicas de una persona para una vida digna, como ropa, productos de higiene, incluidos los productos de higiene femenina y material escolar». Los alquileres y los servicios públicos son servicios y van más allá de la tipología de bienes de consumo básicos de valores limitados que se presenta en la lista de ejemplos. </w:t>
      </w:r>
    </w:p>
    <w:p w:rsidR="00786B3E" w:rsidRDefault="00786B3E" w:rsidP="00786B3E"/>
    <w:p w:rsidR="00786B3E" w:rsidRDefault="00786B3E" w:rsidP="00786B3E"/>
    <w:p w:rsidR="00786B3E" w:rsidRDefault="00786B3E" w:rsidP="00786B3E"/>
    <w:p w:rsidR="00786B3E" w:rsidRDefault="00786B3E" w:rsidP="00786B3E">
      <w:pPr>
        <w:pStyle w:val="Ttulo1"/>
      </w:pPr>
      <w:bookmarkStart w:id="662" w:name="scroll-bookmark-766"/>
      <w:bookmarkStart w:id="663" w:name="scroll-bookmark-767"/>
      <w:bookmarkEnd w:id="662"/>
      <w:r>
        <w:t>¿Se pueden canjear los vales por el pago de alquileres o facturas domésticas?</w:t>
      </w:r>
      <w:bookmarkEnd w:id="663"/>
    </w:p>
    <w:p w:rsidR="00786B3E" w:rsidRDefault="00786B3E" w:rsidP="00786B3E">
      <w:r>
        <w:rPr>
          <w:noProof/>
          <w:lang w:val="es-ES"/>
        </w:rPr>
        <w:drawing>
          <wp:inline distT="0" distB="0" distL="0" distR="0" wp14:anchorId="2B881392" wp14:editId="1E638854">
            <wp:extent cx="152435" cy="152435"/>
            <wp:effectExtent l="0" t="0" r="0" b="0"/>
            <wp:docPr id="101331" name="Imagen 1013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22</w:t>
      </w:r>
    </w:p>
    <w:p w:rsidR="00786B3E" w:rsidRDefault="00786B3E" w:rsidP="00786B3E">
      <w:r>
        <w:rPr>
          <w:noProof/>
          <w:lang w:val="es-ES"/>
        </w:rPr>
        <w:drawing>
          <wp:inline distT="0" distB="0" distL="0" distR="0" wp14:anchorId="6B71D282" wp14:editId="08A5B6D2">
            <wp:extent cx="152435" cy="152435"/>
            <wp:effectExtent l="0" t="0" r="0" b="0"/>
            <wp:docPr id="101333" name="Imagen 1013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¿Pueden los bonos que se canjearán por alimentos o asistencia material básica incluir el pago de alquileres o facturas domésticas?</w:t>
      </w:r>
    </w:p>
    <w:p w:rsidR="00786B3E" w:rsidRDefault="00786B3E" w:rsidP="00786B3E"/>
    <w:p w:rsidR="00786B3E" w:rsidRDefault="00786B3E" w:rsidP="00786B3E">
      <w:pPr>
        <w:pStyle w:val="P68B1DB1-Normal1"/>
      </w:pPr>
      <w:r>
        <w:t>Respuesta.</w:t>
      </w:r>
    </w:p>
    <w:p w:rsidR="00786B3E" w:rsidRDefault="00786B3E" w:rsidP="00786B3E">
      <w:r>
        <w:lastRenderedPageBreak/>
        <w:t>No, la asistencia material básica se define en el artículo 2 como «bienes que satisfacen las necesidades básicas de una persona para una vida digna, como ropa, productos de higiene, incluidos los productos de higiene femenina y material escolar». Los alquileres y los servicios públicos son servicios y van más allá de la tipología de bienes de consumo básicos de valores limitados que se presenta en la lista de ejemplos. </w:t>
      </w:r>
    </w:p>
    <w:p w:rsidR="00786B3E" w:rsidRDefault="00786B3E" w:rsidP="00786B3E"/>
    <w:p w:rsidR="00786B3E" w:rsidRDefault="00786B3E" w:rsidP="00786B3E"/>
    <w:p w:rsidR="00786B3E" w:rsidRDefault="00786B3E" w:rsidP="00786B3E"/>
    <w:p w:rsidR="00786B3E" w:rsidRDefault="00786B3E" w:rsidP="00786B3E">
      <w:pPr>
        <w:pStyle w:val="Ttulo1"/>
      </w:pPr>
      <w:bookmarkStart w:id="664" w:name="scroll-bookmark-768"/>
      <w:bookmarkStart w:id="665" w:name="scroll-bookmark-769"/>
      <w:bookmarkEnd w:id="664"/>
      <w:r>
        <w:t>¿Puede la encuesta estructurada aplicarse externamente a través de la asistencia técnica?</w:t>
      </w:r>
      <w:bookmarkEnd w:id="665"/>
    </w:p>
    <w:p w:rsidR="00786B3E" w:rsidRDefault="00786B3E" w:rsidP="00786B3E">
      <w:r>
        <w:rPr>
          <w:noProof/>
          <w:lang w:val="es-ES"/>
        </w:rPr>
        <w:drawing>
          <wp:inline distT="0" distB="0" distL="0" distR="0" wp14:anchorId="586357DA" wp14:editId="762E1D8F">
            <wp:extent cx="152435" cy="152435"/>
            <wp:effectExtent l="0" t="0" r="0" b="0"/>
            <wp:docPr id="101335" name="Imagen 1013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23</w:t>
      </w:r>
    </w:p>
    <w:p w:rsidR="00786B3E" w:rsidRDefault="00786B3E" w:rsidP="00786B3E">
      <w:r>
        <w:rPr>
          <w:noProof/>
          <w:lang w:val="es-ES"/>
        </w:rPr>
        <w:drawing>
          <wp:inline distT="0" distB="0" distL="0" distR="0" wp14:anchorId="6230EF35" wp14:editId="0A55B2A0">
            <wp:extent cx="152435" cy="152435"/>
            <wp:effectExtent l="0" t="0" r="0" b="0"/>
            <wp:docPr id="101337" name="Imagen 1013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 la encuesta estructurada llevarse a cabo externamente a través de la asistencia técnica? </w:t>
      </w:r>
    </w:p>
    <w:p w:rsidR="00786B3E" w:rsidRDefault="00786B3E" w:rsidP="00786B3E"/>
    <w:p w:rsidR="00786B3E" w:rsidRDefault="00786B3E" w:rsidP="00786B3E">
      <w:pPr>
        <w:pStyle w:val="P68B1DB1-Normal1"/>
      </w:pPr>
      <w:r>
        <w:t>Respuesta.</w:t>
      </w:r>
    </w:p>
    <w:p w:rsidR="00786B3E" w:rsidRDefault="00786B3E" w:rsidP="00786B3E">
      <w:r>
        <w:t>Sí, los Estados miembros pueden utilizar la asistencia técnica para llevar a cabo la encuesta a los destinatarios finales.</w:t>
      </w:r>
    </w:p>
    <w:p w:rsidR="00786B3E" w:rsidRDefault="00786B3E" w:rsidP="00786B3E"/>
    <w:p w:rsidR="00786B3E" w:rsidRDefault="00786B3E" w:rsidP="00786B3E"/>
    <w:p w:rsidR="00786B3E" w:rsidRDefault="00786B3E" w:rsidP="00786B3E"/>
    <w:p w:rsidR="00786B3E" w:rsidRDefault="00786B3E" w:rsidP="00786B3E">
      <w:pPr>
        <w:pStyle w:val="Ttulo1"/>
      </w:pPr>
      <w:bookmarkStart w:id="666" w:name="scroll-bookmark-770"/>
      <w:bookmarkStart w:id="667" w:name="scroll-bookmark-771"/>
      <w:bookmarkEnd w:id="666"/>
      <w:proofErr w:type="spellStart"/>
      <w:r>
        <w:t>Quáter</w:t>
      </w:r>
      <w:proofErr w:type="spellEnd"/>
      <w:r>
        <w:t xml:space="preserve"> FSE ± 031 — Indicadores de la juventud</w:t>
      </w:r>
      <w:bookmarkEnd w:id="667"/>
    </w:p>
    <w:p w:rsidR="00786B3E" w:rsidRDefault="00786B3E" w:rsidP="00786B3E">
      <w:r>
        <w:rPr>
          <w:noProof/>
          <w:lang w:val="es-ES"/>
        </w:rPr>
        <w:drawing>
          <wp:inline distT="0" distB="0" distL="0" distR="0" wp14:anchorId="14B26CF5" wp14:editId="1C0ABBC3">
            <wp:extent cx="152435" cy="152435"/>
            <wp:effectExtent l="0" t="0" r="0" b="0"/>
            <wp:docPr id="101339" name="Imagen 1013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Anexos I y II</w:t>
      </w:r>
    </w:p>
    <w:p w:rsidR="00786B3E" w:rsidRDefault="00786B3E" w:rsidP="00786B3E">
      <w:r>
        <w:rPr>
          <w:noProof/>
          <w:lang w:val="es-ES"/>
        </w:rPr>
        <w:drawing>
          <wp:inline distT="0" distB="0" distL="0" distR="0" wp14:anchorId="62D1E9A0" wp14:editId="29FC8B66">
            <wp:extent cx="152435" cy="152435"/>
            <wp:effectExtent l="0" t="0" r="0" b="0"/>
            <wp:docPr id="101341" name="Imagen 1013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Teniendo en cuenta los indicadores comunes de realización relacionados con las operaciones dirigidas a las personas: — número de niños menores de 18 años *, — número de jóvenes de entre 18 y 29 años *, del Reglamento del FSE + (anexos I y II), </w:t>
      </w:r>
      <w:r>
        <w:lastRenderedPageBreak/>
        <w:t>aclaren cómo abordar los indicadores de realización al nivel de la prioridad dedicada al empleo juvenil, teniendo en cuenta que, en el marco de esta prioridad, el grupo destinatario (incluidos los ninis) abarca a los jóvenes de entre 15 y 29 años de edad.</w:t>
      </w:r>
    </w:p>
    <w:p w:rsidR="00786B3E" w:rsidRDefault="00786B3E" w:rsidP="00786B3E"/>
    <w:p w:rsidR="00786B3E" w:rsidRDefault="00786B3E" w:rsidP="00786B3E">
      <w:pPr>
        <w:pStyle w:val="P68B1DB1-Normal1"/>
      </w:pPr>
      <w:r>
        <w:t>Respuesta.</w:t>
      </w:r>
    </w:p>
    <w:p w:rsidR="00786B3E" w:rsidRDefault="00786B3E" w:rsidP="00786B3E">
      <w:r>
        <w:t>Los indicadores se notificarán a nivel del objetivo específico, desglosados por categoría de región (y género en el caso de los indicadores sobre los participantes).</w:t>
      </w:r>
    </w:p>
    <w:p w:rsidR="00786B3E" w:rsidRDefault="00786B3E" w:rsidP="00786B3E">
      <w:r>
        <w:br/>
        <w:t>Si la ayuda llega a jóvenes de entre 15 y 29 años, una parte de ellos se notificará al indicador común de realización EECO06 «niños menores de 18 años» y la parte restante al indicador de realización común EECO07 «participantes de entre 18 y 29 años».</w:t>
      </w:r>
    </w:p>
    <w:p w:rsidR="00786B3E" w:rsidRDefault="00786B3E" w:rsidP="00786B3E"/>
    <w:p w:rsidR="00786B3E" w:rsidRDefault="00786B3E" w:rsidP="00786B3E"/>
    <w:p w:rsidR="00786B3E" w:rsidRDefault="00786B3E" w:rsidP="00786B3E"/>
    <w:p w:rsidR="00786B3E" w:rsidRDefault="00786B3E" w:rsidP="00786B3E">
      <w:pPr>
        <w:pStyle w:val="Ttulo1"/>
      </w:pPr>
      <w:bookmarkStart w:id="668" w:name="scroll-bookmark-772"/>
      <w:bookmarkStart w:id="669" w:name="scroll-bookmark-773"/>
      <w:bookmarkEnd w:id="668"/>
      <w:r>
        <w:t>Porcentaje de admisibilidad a tanto alzado del 7 % para los socios que participan en la distribución de bonos electrónicos</w:t>
      </w:r>
      <w:bookmarkEnd w:id="669"/>
    </w:p>
    <w:p w:rsidR="00786B3E" w:rsidRDefault="00786B3E" w:rsidP="00786B3E">
      <w:r>
        <w:rPr>
          <w:noProof/>
          <w:lang w:val="es-ES"/>
        </w:rPr>
        <w:drawing>
          <wp:inline distT="0" distB="0" distL="0" distR="0" wp14:anchorId="587C8D96" wp14:editId="3D50A2E9">
            <wp:extent cx="152435" cy="152435"/>
            <wp:effectExtent l="0" t="0" r="0" b="0"/>
            <wp:docPr id="101343" name="Imagen 1013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FSE +, artículo 22</w:t>
      </w:r>
    </w:p>
    <w:p w:rsidR="00786B3E" w:rsidRDefault="00786B3E" w:rsidP="00786B3E">
      <w:r>
        <w:rPr>
          <w:noProof/>
          <w:lang w:val="es-ES"/>
        </w:rPr>
        <w:drawing>
          <wp:inline distT="0" distB="0" distL="0" distR="0" wp14:anchorId="5986A24E" wp14:editId="1D0D6620">
            <wp:extent cx="152435" cy="152435"/>
            <wp:effectExtent l="0" t="0" r="0" b="0"/>
            <wp:docPr id="101345" name="Imagen 1013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¿Pueden pagarse los socios que participan en la distribución de bonos electrónicos aplicando el tipo fijo del 7 % con arreglo al artículo 22, apartado 1, letra c)?</w:t>
      </w:r>
    </w:p>
    <w:p w:rsidR="00786B3E" w:rsidRDefault="00786B3E" w:rsidP="00786B3E"/>
    <w:p w:rsidR="00786B3E" w:rsidRDefault="00786B3E" w:rsidP="00786B3E">
      <w:pPr>
        <w:pStyle w:val="P68B1DB1-Normal1"/>
      </w:pPr>
      <w:r>
        <w:t>Respuesta.</w:t>
      </w:r>
    </w:p>
    <w:p w:rsidR="00786B3E" w:rsidRDefault="00786B3E" w:rsidP="00786B3E">
      <w:r>
        <w:t xml:space="preserve">En caso de que los Estados miembros hayan utilizado socios para distribuir bonos y sean beneficiarios de una operación, los gastos correspondientes a los costes administrativos de transporte, almacenamiento y preparación para la distribución de alimentos a través de sistemas de bonos podrán declararse sobre la base del tipo fijo del 7 % establecido en el artículo 22, apartado 1, letra c), del Reglamento del FSE +. Cabe señalar, no obstante, que las operaciones solo pueden tener un único beneficiario. Por lo tanto, si solo hay una operación única para la distribución de bonos, solo la autoridad del FSE se consideraría beneficiaria de esta operación, a efectos del RDC. En consecuencia, el 7 % se utilizaría para reembolsar los costes soportados por este beneficiario (independientemente de los socios que participen en la distribución, todos los costes se considerarían sufragados por un único beneficiario). Corresponde al Estado miembro (y al beneficiario) decidir cómo reembolsar a los socios que participan en la distribución (por ejemplo, el Estado miembro/beneficiario puede decidir redistribuir el reembolso </w:t>
      </w:r>
      <w:r>
        <w:lastRenderedPageBreak/>
        <w:t>del 7 % a los socios, pero esta redistribución queda fuera del ámbito de aplicación del Reglamento del FSE +).</w:t>
      </w:r>
    </w:p>
    <w:p w:rsidR="00786B3E" w:rsidRDefault="00786B3E" w:rsidP="00786B3E"/>
    <w:p w:rsidR="00786B3E" w:rsidRDefault="00786B3E" w:rsidP="00786B3E"/>
    <w:p w:rsidR="00786B3E" w:rsidRDefault="00786B3E" w:rsidP="00786B3E"/>
    <w:p w:rsidR="00786B3E" w:rsidRDefault="00786B3E" w:rsidP="00786B3E">
      <w:pPr>
        <w:pStyle w:val="Ttulo1"/>
      </w:pPr>
      <w:bookmarkStart w:id="670" w:name="scroll-bookmark-774"/>
      <w:bookmarkStart w:id="671" w:name="scroll-bookmark-775"/>
      <w:bookmarkEnd w:id="670"/>
      <w:proofErr w:type="spellStart"/>
      <w:r>
        <w:t>Quáter</w:t>
      </w:r>
      <w:proofErr w:type="spellEnd"/>
      <w:r>
        <w:t xml:space="preserve"> FSE ± 032 — Admisibilidad de los costes de personal del beneficiario en el marco del programa para hacer frente a la privación material</w:t>
      </w:r>
      <w:bookmarkEnd w:id="671"/>
    </w:p>
    <w:p w:rsidR="00786B3E" w:rsidRDefault="00786B3E" w:rsidP="00786B3E">
      <w:r>
        <w:rPr>
          <w:noProof/>
          <w:lang w:val="es-ES"/>
        </w:rPr>
        <w:drawing>
          <wp:inline distT="0" distB="0" distL="0" distR="0" wp14:anchorId="2613A0A9" wp14:editId="5A072E5D">
            <wp:extent cx="152435" cy="152435"/>
            <wp:effectExtent l="0" t="0" r="0" b="0"/>
            <wp:docPr id="101347" name="Imagen 1013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FSE +, artículo 22</w:t>
      </w:r>
    </w:p>
    <w:p w:rsidR="00786B3E" w:rsidRDefault="00786B3E" w:rsidP="00786B3E">
      <w:r>
        <w:rPr>
          <w:noProof/>
          <w:lang w:val="es-ES"/>
        </w:rPr>
        <w:drawing>
          <wp:inline distT="0" distB="0" distL="0" distR="0" wp14:anchorId="608A7DC0" wp14:editId="3C071208">
            <wp:extent cx="152435" cy="152435"/>
            <wp:effectExtent l="0" t="0" r="0" b="0"/>
            <wp:docPr id="101349" name="Imagen 1013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¿Pueden pagarse con cargo al programa los costes de personal de la agencia del FSE que desempeñen la función del beneficiario para hacer frente a la privación material de las operaciones consistentes en la distribución de vales electrónicos? ¿Es posible declarar estos costes con arreglo al artículo 22, apartado 1, letra c), del Reglamento del FSE +, aunque no exista ningún gasto relacionado con el transporte, el almacenamiento y la preparación de los alimentos o la asistencia material básica para la distribución que normalmente constituye la mayor parte de los gastos enumerados en este artículo?</w:t>
      </w:r>
    </w:p>
    <w:p w:rsidR="00786B3E" w:rsidRDefault="00786B3E" w:rsidP="00786B3E"/>
    <w:p w:rsidR="00786B3E" w:rsidRDefault="00786B3E" w:rsidP="00786B3E">
      <w:pPr>
        <w:pStyle w:val="P68B1DB1-Normal1"/>
      </w:pPr>
      <w:r>
        <w:t>Respuesta.</w:t>
      </w:r>
    </w:p>
    <w:p w:rsidR="00786B3E" w:rsidRDefault="00786B3E" w:rsidP="00786B3E">
      <w:r>
        <w:t>Entendemos que la Agencia del FSE +, que también es la autoridad de gestión, también actuaría como beneficiario para ejecutar (al menos) un tipo de operaciones. Esto es posible siempre que la autoridad de gestión garantice la debida separación de tareas en relación con la «gestión del programa» y la «ejecución de esta operación».</w:t>
      </w:r>
    </w:p>
    <w:p w:rsidR="00786B3E" w:rsidRDefault="00786B3E" w:rsidP="00786B3E">
      <w:r>
        <w:t>Sobre la base de la hipótesis anterior, si entendemos bien la pregunta, Lituania desea saber si sería posible declarar como gasto subvencionable los costes de personal en relación con la distribución de bonos electrónicos. La respuesta es afirmativa.</w:t>
      </w:r>
    </w:p>
    <w:p w:rsidR="00786B3E" w:rsidRDefault="00786B3E" w:rsidP="00786B3E">
      <w:r>
        <w:t xml:space="preserve">  El artículo 22 (1) del Reglamento (UE) 2021/1057 (Reglamento del FSE +) establece normas sobre la subvencionabilidad del gasto para las operaciones subvencionadas en virtud del objetivo específico establecido en el artículo 4, letra m), del Reglamento del FSE +.  De conformidad con la letra c), los gastos administrativos, de transporte, almacenamiento y preparación sufragados por los beneficiarios que participen en la distribución de los alimentos o la asistencia material básica a las personas más necesitadas podrán optar a una ayuda a tanto alzado del 7 % de los costes a que se refiere la letra a). Esta disposición también se aplica al caso de que la distribución de alimentos o asistencia material básica se realice indirectamente a través de bonos, tal como se establece en el artículo 19, apartado 2, párrafo segundo, del Reglamento del </w:t>
      </w:r>
      <w:r>
        <w:lastRenderedPageBreak/>
        <w:t>FSE +. Cabe señalar que, para que la AG pueda declarar gastos sobre la base de la letra c), basta con que incurra en gastos correspondientes a una de estas categorías de costes, por ejemplo, gastos de personal, que entrarían en la categoría de costes administrativos. </w:t>
      </w:r>
    </w:p>
    <w:p w:rsidR="00786B3E" w:rsidRDefault="00786B3E" w:rsidP="00786B3E">
      <w:r>
        <w:t xml:space="preserve">Además, cabe señalar que la AG también puede declarar los costes de la </w:t>
      </w:r>
      <w:r>
        <w:rPr>
          <w:b/>
        </w:rPr>
        <w:t>preparación de los sistemas de bonos y los costes de funcionamiento correspondientes en el marco</w:t>
      </w:r>
      <w:r>
        <w:t xml:space="preserve"> de la asistencia técnica, siempre que estos costes no se hayan declarado con arreglo a la letra c); de lo contrario, se trataría de una doble financiación.</w:t>
      </w:r>
    </w:p>
    <w:p w:rsidR="00786B3E" w:rsidRDefault="00786B3E" w:rsidP="00786B3E"/>
    <w:p w:rsidR="00786B3E" w:rsidRDefault="00786B3E" w:rsidP="00786B3E"/>
    <w:p w:rsidR="00786B3E" w:rsidRDefault="00786B3E" w:rsidP="00786B3E"/>
    <w:p w:rsidR="00786B3E" w:rsidRDefault="00786B3E" w:rsidP="00786B3E">
      <w:pPr>
        <w:pStyle w:val="Ttulo1"/>
      </w:pPr>
      <w:bookmarkStart w:id="672" w:name="scroll-bookmark-776"/>
      <w:bookmarkStart w:id="673" w:name="scroll-bookmark-777"/>
      <w:bookmarkEnd w:id="672"/>
      <w:r>
        <w:t>QA00280 — Responsabilidades de visibilidad del beneficiario en caso de operaciones de asistencia técnica de importancia estratégica</w:t>
      </w:r>
      <w:bookmarkEnd w:id="673"/>
    </w:p>
    <w:p w:rsidR="00786B3E" w:rsidRDefault="00786B3E" w:rsidP="00786B3E">
      <w:r>
        <w:rPr>
          <w:noProof/>
          <w:lang w:val="es-ES"/>
        </w:rPr>
        <w:drawing>
          <wp:inline distT="0" distB="0" distL="0" distR="0" wp14:anchorId="764B8A3B" wp14:editId="4B02E4A8">
            <wp:extent cx="152435" cy="152435"/>
            <wp:effectExtent l="0" t="0" r="0" b="0"/>
            <wp:docPr id="101351" name="Imagen 1013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50, apartado 1, letra e), del RDC</w:t>
      </w:r>
    </w:p>
    <w:p w:rsidR="00786B3E" w:rsidRDefault="00786B3E" w:rsidP="00786B3E">
      <w:r>
        <w:rPr>
          <w:noProof/>
          <w:lang w:val="es-ES"/>
        </w:rPr>
        <w:drawing>
          <wp:inline distT="0" distB="0" distL="0" distR="0" wp14:anchorId="490AD82C" wp14:editId="4013F357">
            <wp:extent cx="152435" cy="152435"/>
            <wp:effectExtent l="0" t="0" r="0" b="0"/>
            <wp:docPr id="101353" name="Imagen 1013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Artículo 50 responsabilidades de los beneficiarios 1 e): «... y operaciones cuyo coste total supere los 10 000 000 EUR, organizando un acto o actividad de comunicación, según proceda, e implicando oportunamente a la Comisión y a la autoridad de gestión responsable». </w:t>
      </w:r>
    </w:p>
    <w:p w:rsidR="00786B3E" w:rsidRDefault="00786B3E" w:rsidP="00786B3E">
      <w:r>
        <w:t>En el período de programación 2021-2027, muchas autoridades de gestión utilizan opciones de costes simplificados (por ejemplo, pago a tanto alzado) para un proyecto que cubre salarios y suministros para los empleados. Suele ser un gran proyecto de más de 10 000 000 EUR.</w:t>
      </w:r>
    </w:p>
    <w:p w:rsidR="00786B3E" w:rsidRDefault="00786B3E" w:rsidP="00786B3E">
      <w:proofErr w:type="gramStart"/>
      <w:r>
        <w:t>El objetivo del RDC no es destacar este tipo de proyectos de este modo y con la presencia de representantes de la CE, por lo que este tipo de proyectos de asistencia técnica pueden quedar exentos de las responsabilidades de los beneficiarios de conformidad con el artículo 50, apartado 1, letra e)?</w:t>
      </w:r>
      <w:proofErr w:type="gramEnd"/>
    </w:p>
    <w:p w:rsidR="00786B3E" w:rsidRDefault="00786B3E" w:rsidP="00786B3E"/>
    <w:p w:rsidR="00786B3E" w:rsidRDefault="00786B3E" w:rsidP="00786B3E">
      <w:pPr>
        <w:pStyle w:val="P68B1DB1-Normal1"/>
      </w:pPr>
      <w:r>
        <w:t>Respuesta.</w:t>
      </w:r>
    </w:p>
    <w:p w:rsidR="00786B3E" w:rsidRDefault="00786B3E" w:rsidP="00786B3E">
      <w:r>
        <w:t xml:space="preserve">El artículo 50, apartado 1, letra e), del RDC no prevé ninguna exención de las obligaciones que contiene. Por lo tanto, en los tipos de proyectos descritos en la pregunta, los beneficiarios deben organizar un acto o actividad de comunicación e implicar a la Comisión y a la autoridad de gestión responsable. Sin embargo, el acto o las actividades pueden centrarse, por ejemplo, en presentar lo que hacen los funcionarios </w:t>
      </w:r>
      <w:r>
        <w:lastRenderedPageBreak/>
        <w:t>con el objetivo de aumentar la transparencia y presentar al público cómo se definen los programas, cómo se seleccionan los proyectos, qué se hace para la prevención del fraude, qué se financia con el resto del programa, etc. Un ejemplo de esta actividad podría ser una «Jornada de Puertas Abiertas» del beneficiario pertinente en el marco de las celebraciones del Día de Europa.</w:t>
      </w:r>
    </w:p>
    <w:p w:rsidR="00786B3E" w:rsidRDefault="00786B3E" w:rsidP="00786B3E"/>
    <w:p w:rsidR="00786B3E" w:rsidRDefault="00786B3E" w:rsidP="00786B3E"/>
    <w:p w:rsidR="00786B3E" w:rsidRDefault="00786B3E" w:rsidP="00786B3E">
      <w:pPr>
        <w:pStyle w:val="Ttulo1"/>
      </w:pPr>
      <w:bookmarkStart w:id="674" w:name="scroll-bookmark-778"/>
      <w:bookmarkStart w:id="675" w:name="scroll-bookmark-779"/>
      <w:bookmarkEnd w:id="674"/>
      <w:r>
        <w:t>Pregunta 00281 — Período de subvencionabilidad del FEMPA</w:t>
      </w:r>
      <w:bookmarkEnd w:id="675"/>
    </w:p>
    <w:p w:rsidR="00786B3E" w:rsidRDefault="00786B3E" w:rsidP="00786B3E">
      <w:r>
        <w:rPr>
          <w:noProof/>
          <w:lang w:val="es-ES"/>
        </w:rPr>
        <w:drawing>
          <wp:inline distT="0" distB="0" distL="0" distR="0" wp14:anchorId="586B24E6" wp14:editId="217372A9">
            <wp:extent cx="152435" cy="152435"/>
            <wp:effectExtent l="0" t="0" r="0" b="0"/>
            <wp:docPr id="101355" name="Imagen 1013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63 y 105 del RDC</w:t>
      </w:r>
    </w:p>
    <w:p w:rsidR="00786B3E" w:rsidRDefault="00786B3E" w:rsidP="00786B3E">
      <w:r>
        <w:rPr>
          <w:noProof/>
          <w:lang w:val="es-ES"/>
        </w:rPr>
        <w:drawing>
          <wp:inline distT="0" distB="0" distL="0" distR="0" wp14:anchorId="65026E78" wp14:editId="2954F0D3">
            <wp:extent cx="152435" cy="152435"/>
            <wp:effectExtent l="0" t="0" r="0" b="0"/>
            <wp:docPr id="101357" name="Imagen 1013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Nos gustaría saber si N + 2 o N + 3 se aplican al período de subvencionabilidad del FEMPA.</w:t>
      </w:r>
    </w:p>
    <w:p w:rsidR="00786B3E" w:rsidRDefault="00786B3E" w:rsidP="00786B3E">
      <w:r>
        <w:t>Sobre la base del artículo 63 del Reglamento (UE) 2021/1060 (Reglamento sobre disposiciones comunes) para los gastos efectuados entre el 1 de enero de 2021 y el 31 de diciembre de 2029, se aplica el período N + 2. Sin embargo, del artículo 105 del RDC entendemos que el gasto es subvencionable hasta el 31 de diciembre de 2030 y que se aplicaría N + 3. ¿Significa que el gasto de los beneficiarios es subvencionable hasta el 31 de diciembre de 2029 y que el Estado miembro tendría un año después para presentar todas las solicitudes de pago, gastar la prefinanciación y la financiación restante del FEMPA? ¿Pueden ser los beneficiarios los gastos y el Estado miembro puede pagar hasta el final de N + 3, es decir, hasta el 31 de diciembre de 2030?</w:t>
      </w:r>
    </w:p>
    <w:p w:rsidR="00786B3E" w:rsidRDefault="00786B3E" w:rsidP="00786B3E">
      <w:pPr>
        <w:pStyle w:val="P68B1DB1-Normal1"/>
      </w:pPr>
      <w:r>
        <w:t>Respuesta.</w:t>
      </w:r>
    </w:p>
    <w:p w:rsidR="00786B3E" w:rsidRDefault="00786B3E" w:rsidP="00786B3E">
      <w:r>
        <w:t>La cuestión combina dos procesos distintos y distintos:</w:t>
      </w:r>
    </w:p>
    <w:p w:rsidR="00786B3E" w:rsidRDefault="00786B3E" w:rsidP="00786B3E">
      <w:r>
        <w:t xml:space="preserve">El artículo 63 del RDC especifica el período de subvencionabilidad de los gastos relacionados con las operaciones financiadas por el FEMPA. De conformidad con el artículo 63, apartado 2, párrafo segundo, del RDC, para que el gasto sea subvencionable, el beneficiario </w:t>
      </w:r>
      <w:r>
        <w:rPr>
          <w:b/>
        </w:rPr>
        <w:t xml:space="preserve">debe efectuarlo </w:t>
      </w:r>
      <w:r>
        <w:t>y abonarlo en la ejecución de operaciones entre la fecha de presentación del programa a la Comisión o a partir del 1 de enero de 2021, si esta fecha es anterior, y el 31 de diciembre de 2029. Estos plazos para la subvencionabilidad de los gastos efectuados por los beneficiarios no se ven afectados por las normas N + 2/N + 3 que se aplican al nivel de los compromisos presupuestarios contraídos a nivel de los programas; para más detalles, véase más adelante.</w:t>
      </w:r>
    </w:p>
    <w:p w:rsidR="00786B3E" w:rsidRDefault="00786B3E" w:rsidP="00786B3E">
      <w:r>
        <w:t>El artículo 105 del RDC establece las disposiciones para la liberación de compromisos presupuestarios a nivel de programa.</w:t>
      </w:r>
    </w:p>
    <w:p w:rsidR="00786B3E" w:rsidRDefault="00786B3E" w:rsidP="00786B3E">
      <w:r>
        <w:t xml:space="preserve">De conformidad con el artículo 105, apartado 1, del RDC, la Comisión liberará cualquier importe de un programa que no se haya utilizado para prefinanciación o para el que no </w:t>
      </w:r>
      <w:r>
        <w:lastRenderedPageBreak/>
        <w:t>se haya presentado una solicitud de pago a más tardar el 31 de diciembre del tercer año civil siguiente al año de los compromisos presupuestarios para los años 2021 a 2026 (la denominada «norma N + 3»).</w:t>
      </w:r>
    </w:p>
    <w:p w:rsidR="00786B3E" w:rsidRDefault="00786B3E" w:rsidP="00786B3E">
      <w:r>
        <w:t xml:space="preserve">De conformidad con el artículo 105, apartado 2, del RDC, «la parte de los compromisos aún pendiente a 31 de diciembre de 2029», es decir, los compromisos para los años 2026 y 2027, se liberará si el paquete de fiabilidad y el informe final de rendimiento de los programas apoyados por el FEMPA no se han presentado a la Comisión a más tardar el 15 de febrero de 2031, es decir, en el contexto del cierre del programa. Para el compromiso presupuestario de 2027, esto significa de hecho la aplicación de una norma «N + 2», </w:t>
      </w:r>
      <w:r w:rsidR="002F3719">
        <w:t xml:space="preserve">ya que, </w:t>
      </w:r>
      <w:r>
        <w:t>el 31 de diciembre de 2029 es el punto de referencia para una posible liberación.</w:t>
      </w:r>
    </w:p>
    <w:p w:rsidR="00786B3E" w:rsidRDefault="00786B3E" w:rsidP="00786B3E">
      <w:r>
        <w:t>El último ejercicio contable se extenderá del 1 de julio de 2029 al 30 de junio de 2030, tal como se establece en el artículo 2, apartado 29, del RDC. Los Estados miembros disponen entonces de plazo hasta el 31 de julio para presentar solicitudes de pago; la última solicitud de pago presentada a más tardar el 31 de julio de 2030 se considerará entonces la solicitud de pago final para el último ejercicio contable (véase el artículo 91, apartado 1, del RDC).</w:t>
      </w:r>
    </w:p>
    <w:p w:rsidR="00786B3E" w:rsidRDefault="00786B3E" w:rsidP="00786B3E"/>
    <w:p w:rsidR="00786B3E" w:rsidRDefault="00786B3E" w:rsidP="00786B3E"/>
    <w:p w:rsidR="00786B3E" w:rsidRDefault="00786B3E" w:rsidP="00786B3E">
      <w:pPr>
        <w:pStyle w:val="Ttulo1"/>
      </w:pPr>
      <w:bookmarkStart w:id="676" w:name="scroll-bookmark-780"/>
      <w:bookmarkStart w:id="677" w:name="scroll-bookmark-781"/>
      <w:bookmarkEnd w:id="676"/>
      <w:r>
        <w:t>QA00282 — Apoyo a los GAL identificados como organismos intermedios</w:t>
      </w:r>
      <w:bookmarkEnd w:id="677"/>
    </w:p>
    <w:p w:rsidR="00786B3E" w:rsidRDefault="00786B3E" w:rsidP="00786B3E">
      <w:r>
        <w:rPr>
          <w:noProof/>
          <w:lang w:val="es-ES"/>
        </w:rPr>
        <w:drawing>
          <wp:inline distT="0" distB="0" distL="0" distR="0" wp14:anchorId="3AA79277" wp14:editId="49AAA178">
            <wp:extent cx="152435" cy="152435"/>
            <wp:effectExtent l="0" t="0" r="0" b="0"/>
            <wp:docPr id="101359" name="Imagen 1013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Artículos 33 y 34 del RDC</w:t>
      </w:r>
    </w:p>
    <w:p w:rsidR="00786B3E" w:rsidRDefault="00786B3E" w:rsidP="00786B3E">
      <w:r>
        <w:rPr>
          <w:noProof/>
          <w:lang w:val="es-ES"/>
        </w:rPr>
        <w:drawing>
          <wp:inline distT="0" distB="0" distL="0" distR="0" wp14:anchorId="320141F3" wp14:editId="754BDA72">
            <wp:extent cx="152435" cy="152435"/>
            <wp:effectExtent l="0" t="0" r="0" b="0"/>
            <wp:docPr id="101361" name="Imagen 1013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De conformidad con el artículo 34, apartado 2, del RDC, el apoyo a que se refiere el apartado 1, letra c) — gestión, seguimiento y evaluación de la estrategia y su animación, incluida la facilitación de los intercambios entre las partes interesadas- no superará el 25 % de la contribución pública total a la estrategia.</w:t>
      </w:r>
    </w:p>
    <w:p w:rsidR="00786B3E" w:rsidRDefault="00786B3E" w:rsidP="00786B3E">
      <w:r>
        <w:t>En este sentido, dado que la contribución pública total a cada estrategia de DLP ha sido aprobada por la AG, ahora abriremos una convocatoria de propuestas para conceder una subvención para apoyar la gestión, el seguimiento y la evaluación de la estrategia y su animación, incluida la facilitación de los intercambios entre las partes interesadas, que no podrá superar el 25 % de la contribución pública total aprobada para la estrategia.</w:t>
      </w:r>
    </w:p>
    <w:p w:rsidR="00786B3E" w:rsidRDefault="00786B3E" w:rsidP="00786B3E">
      <w:r>
        <w:t xml:space="preserve">No obstante, de conformidad con el artículo 33, apartado 4, del RDC, «cuando los grupos de acción local lleven a cabo tareas no cubiertas por el apartado 3 que sean responsabilidad de la autoridad de gestión, (...) estos grupos de acción local serán </w:t>
      </w:r>
      <w:r>
        <w:lastRenderedPageBreak/>
        <w:t>identificados por la autoridad de gestión como organismos intermedios de conformidad con las normas específicas de los Fondos.».</w:t>
      </w:r>
    </w:p>
    <w:p w:rsidR="00786B3E" w:rsidRDefault="00786B3E" w:rsidP="00786B3E">
      <w:r>
        <w:t>Por lo tanto, desearíamos confirmar que, si la autoridad de gestión debe identificar a un grupo de acción local como organismo intermedio, los gastos relacionados con las tareas delegadas pueden cubrirse mediante asistencia técnica, además del 25 % de la ayuda aprobada en el OE 3, siempre que todos los costes estén claramente identificados para evitar la doble financiación?</w:t>
      </w:r>
    </w:p>
    <w:p w:rsidR="00786B3E" w:rsidRDefault="00786B3E" w:rsidP="00786B3E">
      <w:pPr>
        <w:pStyle w:val="P68B1DB1-Normal4"/>
      </w:pPr>
      <w:r>
        <w:t> </w:t>
      </w:r>
    </w:p>
    <w:p w:rsidR="00786B3E" w:rsidRDefault="00786B3E" w:rsidP="00786B3E">
      <w:pPr>
        <w:pStyle w:val="P68B1DB1-Normal1"/>
      </w:pPr>
      <w:r>
        <w:t>Respuesta.</w:t>
      </w:r>
    </w:p>
    <w:p w:rsidR="00786B3E" w:rsidRDefault="00786B3E" w:rsidP="00786B3E">
      <w:r>
        <w:t>El artículo 33, apartado 4, del Reglamento (UE) 2021/1060 (RDC) dispone lo siguiente</w:t>
      </w:r>
      <w:r>
        <w:rPr>
          <w:i/>
        </w:rPr>
        <w:t>: «Cuando los grupos de acción local lleven a cabo tareas no cubiertas por el apartado 3 que sean responsabilidad de la autoridad de gestión o del organismo pagador cuando el Feader sea seleccionado como Fondo principal, la autoridad de gestión identificará estos grupos de acción local como organismos intermedios de conformidad con las normas específicas de los Fondos»</w:t>
      </w:r>
      <w:r>
        <w:t>.</w:t>
      </w:r>
    </w:p>
    <w:p w:rsidR="00786B3E" w:rsidRDefault="00786B3E" w:rsidP="00786B3E">
      <w:r>
        <w:t xml:space="preserve">El artículo 34, apartado 1, del RDC enumera los tipos de apoyo que debe cubrir la financiación para el desarrollo local participativo. El artículo 34, apartado 2, establece el apoyo </w:t>
      </w:r>
      <w:r>
        <w:rPr>
          <w:i/>
        </w:rPr>
        <w:t>a la gestión, el seguimiento y la evaluación de la estrategia y su animación, incluida la facilitación de los intercambios entre las partes</w:t>
      </w:r>
      <w:r>
        <w:t xml:space="preserve"> interesadas hasta un máximo del 25 % de la contribución pública total a la estrategia.</w:t>
      </w:r>
    </w:p>
    <w:p w:rsidR="00786B3E" w:rsidRDefault="00786B3E" w:rsidP="00786B3E">
      <w:r>
        <w:t xml:space="preserve">El artículo 36, apartado 1, del RDC establece, en relación con la asistencia técnica a iniciativa </w:t>
      </w:r>
      <w:proofErr w:type="spellStart"/>
      <w:r>
        <w:t>del</w:t>
      </w:r>
      <w:r>
        <w:rPr>
          <w:i/>
        </w:rPr>
        <w:t>Estado</w:t>
      </w:r>
      <w:proofErr w:type="spellEnd"/>
      <w:r>
        <w:rPr>
          <w:i/>
        </w:rPr>
        <w:t xml:space="preserve"> miembro, que «los Fondos podrán apoyar las acciones necesarias para la administración y el uso efectivos de dichos </w:t>
      </w:r>
      <w:proofErr w:type="gramStart"/>
      <w:r>
        <w:rPr>
          <w:i/>
        </w:rPr>
        <w:t>Fondos</w:t>
      </w:r>
      <w:r>
        <w:t>,...</w:t>
      </w:r>
      <w:proofErr w:type="gramEnd"/>
      <w:r>
        <w:t>».</w:t>
      </w:r>
    </w:p>
    <w:p w:rsidR="00786B3E" w:rsidRDefault="00786B3E" w:rsidP="00786B3E">
      <w:r>
        <w:t>El artículo 71, apartado 3, dice lo siguiente</w:t>
      </w:r>
      <w:r>
        <w:rPr>
          <w:i/>
        </w:rPr>
        <w:t>: «La autoridad de gestión podrá designar uno o varios organismos intermedios para llevar a cabo determinadas tareas bajo su responsabilidad. Los acuerdos entre la autoridad de gestión y los organismos intermedios se registrarán por escrito.».</w:t>
      </w:r>
    </w:p>
    <w:p w:rsidR="00786B3E" w:rsidRDefault="00786B3E" w:rsidP="00786B3E">
      <w:r>
        <w:t>Entendemos que la autoridad de gestión desea delegar tareas en un grupo de acción local (GAL) y financiarla con recursos de asistencia técnica de conformidad con el artículo 36 del RDC. Por lo tanto, un GAL también puede recibir financiación de la asistencia técnica mientras sea necesario para la administración eficaz de los Fondos. Si este GAL es designado organismo intermedio (OI), en esta función puede recibir asistencia técnica para cubrir las tareas delegadas por la AG.  Los acuerdos entre la AG y los OI se registrarán por escrito teniendo en cuenta las normas de gestión y control.</w:t>
      </w:r>
    </w:p>
    <w:p w:rsidR="00786B3E" w:rsidRDefault="00786B3E" w:rsidP="00786B3E">
      <w:r>
        <w:t xml:space="preserve">En el caso de las tareas realizadas exclusivamente por los GAL de conformidad con el artículo 33, apartado 3, cualquier ayuda de los Fondos, independientemente de que esté en virtud del artículo 34 o del </w:t>
      </w:r>
      <w:proofErr w:type="spellStart"/>
      <w:r>
        <w:t>del</w:t>
      </w:r>
      <w:proofErr w:type="spellEnd"/>
      <w:r>
        <w:t xml:space="preserve"> RDC, debe contabilizarse a efectos del límite máximo del 25 % establecido en el artículo 34, apartado 2. </w:t>
      </w:r>
    </w:p>
    <w:p w:rsidR="00786B3E" w:rsidRDefault="00786B3E" w:rsidP="00786B3E"/>
    <w:p w:rsidR="00786B3E" w:rsidRDefault="00786B3E" w:rsidP="00786B3E"/>
    <w:p w:rsidR="00786B3E" w:rsidRDefault="00786B3E" w:rsidP="00786B3E">
      <w:pPr>
        <w:pStyle w:val="Ttulo1"/>
      </w:pPr>
      <w:bookmarkStart w:id="678" w:name="scroll-bookmark-782"/>
      <w:bookmarkStart w:id="679" w:name="scroll-bookmark-783"/>
      <w:bookmarkEnd w:id="678"/>
      <w:r>
        <w:lastRenderedPageBreak/>
        <w:t xml:space="preserve">QA00279 — Coste subvencionable total/gasto en datos transmitidos de conformidad con el artículo 42 del RDC, informes </w:t>
      </w:r>
      <w:proofErr w:type="spellStart"/>
      <w:r>
        <w:t>Infosys</w:t>
      </w:r>
      <w:bookmarkEnd w:id="679"/>
      <w:proofErr w:type="spellEnd"/>
    </w:p>
    <w:p w:rsidR="00786B3E" w:rsidRDefault="00786B3E" w:rsidP="00786B3E">
      <w:r>
        <w:rPr>
          <w:noProof/>
          <w:lang w:val="es-ES"/>
        </w:rPr>
        <w:drawing>
          <wp:inline distT="0" distB="0" distL="0" distR="0" wp14:anchorId="7A083914" wp14:editId="2882A33C">
            <wp:extent cx="152435" cy="152435"/>
            <wp:effectExtent l="0" t="0" r="0" b="0"/>
            <wp:docPr id="101363" name="Imagen 1013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Artículos 42 y 112 del RDC;</w:t>
      </w:r>
    </w:p>
    <w:p w:rsidR="00786B3E" w:rsidRDefault="00786B3E" w:rsidP="00786B3E">
      <w:r>
        <w:t>Anexo VII del RDC;</w:t>
      </w:r>
    </w:p>
    <w:p w:rsidR="00786B3E" w:rsidRDefault="00786B3E" w:rsidP="00786B3E">
      <w:r>
        <w:t>Artículo 46, apartado 3, del Reglamento FEMPA;</w:t>
      </w:r>
    </w:p>
    <w:p w:rsidR="00786B3E" w:rsidRDefault="00786B3E" w:rsidP="00786B3E">
      <w:r>
        <w:t>Anexo I Reglamento de Ejecución (REC) 2022/79 de la Comisión</w:t>
      </w:r>
    </w:p>
    <w:p w:rsidR="00786B3E" w:rsidRDefault="00786B3E" w:rsidP="00786B3E">
      <w:r>
        <w:rPr>
          <w:noProof/>
          <w:lang w:val="es-ES"/>
        </w:rPr>
        <w:drawing>
          <wp:inline distT="0" distB="0" distL="0" distR="0" wp14:anchorId="36BD0F16" wp14:editId="0DF8941D">
            <wp:extent cx="152435" cy="152435"/>
            <wp:effectExtent l="0" t="0" r="0" b="0"/>
            <wp:docPr id="101365" name="Imagen 1013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el artículo 42 del RDC y el anexo VII, para el total de los costes subvencionables de las operaciones seleccionadas y el gasto total declarado por los beneficiarios (campos 8 y 11 del cuadro 1 y campos respectivos 4 y 5 del cuadro 4), ¿qué debe informar el Estado miembro: la totalidad de los costes/gastos subvencionables (públicos y privados) o solo públicos en caso de que la base para el cálculo de la contribución de la UE sea pública?</w:t>
      </w:r>
    </w:p>
    <w:p w:rsidR="00786B3E" w:rsidRDefault="00786B3E" w:rsidP="00786B3E">
      <w:r>
        <w:t xml:space="preserve">¿Cómo se relacionan las cifras codificadas en el campo 8 del cuadro 1 y en el campo 4 del cuadro 4 del artículo 42 del RDC con las cifras codificadas en los campos 17 y 18 de los informes </w:t>
      </w:r>
      <w:proofErr w:type="spellStart"/>
      <w:r>
        <w:t>Infosys</w:t>
      </w:r>
      <w:proofErr w:type="spellEnd"/>
      <w:r>
        <w:t>, de conformidad con el artículo 46, apartado 3, del Reglamento FEMPA y el anexo I del RCDI 2022/79?</w:t>
      </w:r>
    </w:p>
    <w:p w:rsidR="00786B3E" w:rsidRDefault="00786B3E" w:rsidP="00786B3E">
      <w:r>
        <w:t xml:space="preserve">¿Cómo se relacionan las cifras codificadas en el campo 11 del cuadro 1 y en el campo 5 del cuadro 4 del artículo 42 del RDC con las cifras codificadas en los campos 21 y 22 de la notificación </w:t>
      </w:r>
      <w:proofErr w:type="spellStart"/>
      <w:r>
        <w:t>Infosys</w:t>
      </w:r>
      <w:proofErr w:type="spellEnd"/>
      <w:r>
        <w:t>?</w:t>
      </w:r>
    </w:p>
    <w:p w:rsidR="00786B3E" w:rsidRDefault="00786B3E" w:rsidP="00786B3E"/>
    <w:p w:rsidR="00786B3E" w:rsidRDefault="00786B3E" w:rsidP="00786B3E">
      <w:pPr>
        <w:pStyle w:val="P68B1DB1-Normal1"/>
      </w:pPr>
      <w:r>
        <w:t>Respuesta.</w:t>
      </w:r>
    </w:p>
    <w:p w:rsidR="00786B3E" w:rsidRDefault="00786B3E" w:rsidP="00786B3E">
      <w:r>
        <w:t>En los datos transmitidos a la Comisión, el Estado miembro debe notificar (en los campos «Coste subvencionable total de las operaciones seleccionadas» y «Gasto subvencionable total declarado por los beneficiarios» en los cuadros respectivos del anexo VII del RDC) los importes de los costes/gastos que cubren los importes de «Asignación financiera total por Fondo y contribución nacional» indicados en el plan de financiación establecido en el programa (independientemente de la proporción indicativa entre las partes pública y privada de la contribución nacional establecida en el presente plan de financiación).</w:t>
      </w:r>
    </w:p>
    <w:p w:rsidR="00786B3E" w:rsidRDefault="00786B3E" w:rsidP="00786B3E">
      <w:r>
        <w:t>En función del Fondo, el plan de financiación se presenta en los cuadros siguientes:</w:t>
      </w:r>
    </w:p>
    <w:p w:rsidR="00786B3E" w:rsidRDefault="00786B3E" w:rsidP="00786B3E">
      <w:pPr>
        <w:numPr>
          <w:ilvl w:val="0"/>
          <w:numId w:val="270"/>
        </w:numPr>
      </w:pPr>
      <w:r>
        <w:t>Anexo V del RDC — cuadro 11A (FEMPA);</w:t>
      </w:r>
    </w:p>
    <w:p w:rsidR="00786B3E" w:rsidRDefault="00786B3E" w:rsidP="00786B3E">
      <w:pPr>
        <w:numPr>
          <w:ilvl w:val="0"/>
          <w:numId w:val="270"/>
        </w:numPr>
      </w:pPr>
      <w:r>
        <w:lastRenderedPageBreak/>
        <w:t>Anexo V del RDC — cuadro 11 (FEDER, FC, FSE +, FTJ) (y anexo del Reglamento Interreg — cuadro 8);</w:t>
      </w:r>
    </w:p>
    <w:p w:rsidR="00786B3E" w:rsidRDefault="00786B3E" w:rsidP="00786B3E">
      <w:pPr>
        <w:numPr>
          <w:ilvl w:val="0"/>
          <w:numId w:val="270"/>
        </w:numPr>
      </w:pPr>
      <w:r>
        <w:t>Anexo VI del RDC — cuadro 6 (FSI, IGFV, FAMI).</w:t>
      </w:r>
    </w:p>
    <w:p w:rsidR="00786B3E" w:rsidRDefault="00786B3E" w:rsidP="00786B3E">
      <w:pPr>
        <w:pStyle w:val="P68B1DB1-Normal1"/>
      </w:pPr>
      <w:r>
        <w:t>Por lo que respecta al FEMPA, esto significa que, en el caso de los campos 8 y 11 del cuadro 1 y los campos 4 y 5 del cuadro 4 del anexo VII del RDC, solo debe notificarse la contribución pública.</w:t>
      </w:r>
    </w:p>
    <w:p w:rsidR="00786B3E" w:rsidRDefault="00786B3E" w:rsidP="00786B3E">
      <w:pPr>
        <w:pStyle w:val="P68B1DB1-Normal6"/>
      </w:pPr>
      <w:r>
        <w:t xml:space="preserve">Por lo que se refiere a los vínculos entre el artículo 42 del RDC y los informes </w:t>
      </w:r>
      <w:proofErr w:type="spellStart"/>
      <w:r>
        <w:t>Infosys</w:t>
      </w:r>
      <w:proofErr w:type="spellEnd"/>
      <w:r>
        <w:t>:</w:t>
      </w:r>
    </w:p>
    <w:p w:rsidR="00786B3E" w:rsidRDefault="00786B3E" w:rsidP="00786B3E">
      <w:r>
        <w:t xml:space="preserve">El cuadro 1 del anexo I del REC 2022/79 y el anexo 3.5 del documento de trabajo de FAMENET sobre el marco de seguimiento y evaluación (MEF) 2021-2027 establecen los vínculos entre los campos </w:t>
      </w:r>
      <w:proofErr w:type="spellStart"/>
      <w:r>
        <w:t>Infosys</w:t>
      </w:r>
      <w:proofErr w:type="spellEnd"/>
      <w:r>
        <w:t xml:space="preserve"> con arreglo al REC 2022/79 y los valores que deben notificarse en los cuadros 1, 5, 4 y 9 del anexo VII del RDC.</w:t>
      </w:r>
    </w:p>
    <w:p w:rsidR="00786B3E" w:rsidRDefault="00786B3E" w:rsidP="00786B3E">
      <w:r>
        <w:t xml:space="preserve">Sobre esta base, el campo </w:t>
      </w:r>
      <w:proofErr w:type="spellStart"/>
      <w:r>
        <w:t>Infosys</w:t>
      </w:r>
      <w:proofErr w:type="spellEnd"/>
      <w:r>
        <w:t xml:space="preserve"> 17 se refiere al importe del coste subvencionable total de las operaciones aprobadas (en el documento en el que se establecen las condiciones de la ayuda), que comprende la contribución del FEMPA, nacional y privada.</w:t>
      </w:r>
    </w:p>
    <w:p w:rsidR="00786B3E" w:rsidRDefault="00786B3E" w:rsidP="00786B3E">
      <w:r>
        <w:t xml:space="preserve">El campo </w:t>
      </w:r>
      <w:proofErr w:type="spellStart"/>
      <w:r>
        <w:t>Infosys</w:t>
      </w:r>
      <w:proofErr w:type="spellEnd"/>
      <w:r>
        <w:t xml:space="preserve"> 18 se refiere al importe de los costes subvencionables totales que constituyen únicamente el gasto público (FEMPA más contribución nacional) y corresponde al campo 8 del cuadro 1 y al campo 4 del cuadro 4 del artículo 42 del RDC.</w:t>
      </w:r>
    </w:p>
    <w:p w:rsidR="00786B3E" w:rsidRDefault="00786B3E" w:rsidP="00786B3E">
      <w:r>
        <w:t xml:space="preserve">El campo </w:t>
      </w:r>
      <w:proofErr w:type="spellStart"/>
      <w:r>
        <w:t>Infosys</w:t>
      </w:r>
      <w:proofErr w:type="spellEnd"/>
      <w:r>
        <w:t xml:space="preserve"> 21 se refiere al gasto total subvencionable declarado por el beneficiario, verificado por la AG y sobre cuya base se pagará al beneficiario. El gasto total subvencionable debe incluir la contribución del FEMPA, nacional y privada.</w:t>
      </w:r>
    </w:p>
    <w:p w:rsidR="00786B3E" w:rsidRDefault="00786B3E" w:rsidP="00786B3E">
      <w:r>
        <w:t xml:space="preserve">El campo </w:t>
      </w:r>
      <w:proofErr w:type="spellStart"/>
      <w:r>
        <w:t>Infosys</w:t>
      </w:r>
      <w:proofErr w:type="spellEnd"/>
      <w:r>
        <w:t xml:space="preserve"> 22 se refiere al gasto público total subvencionable declarado por el beneficiario, verificado por la AG y sobre cuya base se pagará al beneficiario. El gasto público total subvencionable incluye únicamente el FEMPA y la contribución nacional. El campo </w:t>
      </w:r>
      <w:proofErr w:type="spellStart"/>
      <w:r>
        <w:t>Infosys</w:t>
      </w:r>
      <w:proofErr w:type="spellEnd"/>
      <w:r>
        <w:t xml:space="preserve"> 22 corresponde al campo 11 del cuadro 1 y el campo 5 del cuadro 4 de la notificación del artículo 42 del RDC.</w:t>
      </w:r>
    </w:p>
    <w:p w:rsidR="00786B3E" w:rsidRDefault="00786B3E" w:rsidP="00786B3E"/>
    <w:p w:rsidR="00786B3E" w:rsidRDefault="00786B3E" w:rsidP="00786B3E"/>
    <w:p w:rsidR="00786B3E" w:rsidRDefault="00786B3E" w:rsidP="00786B3E">
      <w:pPr>
        <w:pStyle w:val="Ttulo1"/>
      </w:pPr>
      <w:bookmarkStart w:id="680" w:name="scroll-bookmark-784"/>
      <w:bookmarkStart w:id="681" w:name="scroll-bookmark-785"/>
      <w:bookmarkEnd w:id="680"/>
      <w:r>
        <w:t>QA00283 — Cumplimiento de las convocatorias no competitivas con el artículo 73 del RDC</w:t>
      </w:r>
      <w:bookmarkEnd w:id="681"/>
    </w:p>
    <w:p w:rsidR="00786B3E" w:rsidRDefault="00786B3E" w:rsidP="00786B3E">
      <w:r>
        <w:rPr>
          <w:noProof/>
          <w:lang w:val="es-ES"/>
        </w:rPr>
        <w:drawing>
          <wp:inline distT="0" distB="0" distL="0" distR="0" wp14:anchorId="1456DD34" wp14:editId="6370BE00">
            <wp:extent cx="152435" cy="152435"/>
            <wp:effectExtent l="0" t="0" r="0" b="0"/>
            <wp:docPr id="101367" name="Imagen 1013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73, apartado 1, y (2) c del RDC</w:t>
      </w:r>
    </w:p>
    <w:p w:rsidR="00786B3E" w:rsidRDefault="00786B3E" w:rsidP="00786B3E">
      <w:r>
        <w:t>Artículo 40, apartado 2, del Reglamento sobre disposiciones comunes.</w:t>
      </w:r>
    </w:p>
    <w:p w:rsidR="00786B3E" w:rsidRDefault="00786B3E" w:rsidP="00786B3E">
      <w:r>
        <w:rPr>
          <w:noProof/>
          <w:lang w:val="es-ES"/>
        </w:rPr>
        <w:drawing>
          <wp:inline distT="0" distB="0" distL="0" distR="0" wp14:anchorId="7735E2FC" wp14:editId="6951C758">
            <wp:extent cx="152435" cy="152435"/>
            <wp:effectExtent l="0" t="0" r="0" b="0"/>
            <wp:docPr id="101369" name="Imagen 1013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lastRenderedPageBreak/>
        <w:t>El artículo 73, apartado 1, del RDC 2021/1060, relativo a la selección de operaciones por parte de la autoridad de gestión, establece que «los criterios y procedimientos [para la selección de las operaciones] garantizarán que se dé prioridad a las operaciones que vayan a seleccionarse con vistas a maximizar la contribución de la financiación de la Unión a la consecución de los objetivos del programa».</w:t>
      </w:r>
    </w:p>
    <w:p w:rsidR="00786B3E" w:rsidRDefault="00786B3E" w:rsidP="00786B3E">
      <w:r>
        <w:t>Además, el artículo 73, apartado 2, letra c), establece que «al seleccionar las operaciones, la autoridad de gestión: [...] C) garantizarán que las operaciones seleccionadas presenten la mejor relación entre el importe de la ayuda, las actividades emprendidas y la consecución de los objetivos.»</w:t>
      </w:r>
    </w:p>
    <w:p w:rsidR="00786B3E" w:rsidRDefault="00786B3E" w:rsidP="00786B3E">
      <w:r>
        <w:t>No se incluyeron disposiciones similares en el artículo 125, apartado 3, del RDC 1303/2013.</w:t>
      </w:r>
    </w:p>
    <w:p w:rsidR="00786B3E" w:rsidRDefault="00786B3E" w:rsidP="00786B3E">
      <w:r>
        <w:t>Durante una auditoría, constatamos que las autoridades de gestión acaban de poner en marcha o tenían previsto poner en marcha los siguientes tipos de convocatorias de proyectos:</w:t>
      </w:r>
    </w:p>
    <w:p w:rsidR="00786B3E" w:rsidRDefault="00786B3E" w:rsidP="00786B3E">
      <w:pPr>
        <w:numPr>
          <w:ilvl w:val="0"/>
          <w:numId w:val="271"/>
        </w:numPr>
      </w:pPr>
      <w:r>
        <w:t>convocatorias «competitivas» por las que se seleccionarán los proyectos presentados en orden decreciente de la calificación que recibirán tras su evaluación con arreglo a una serie de criterios.</w:t>
      </w:r>
    </w:p>
    <w:p w:rsidR="00786B3E" w:rsidRDefault="00786B3E" w:rsidP="00786B3E">
      <w:pPr>
        <w:numPr>
          <w:ilvl w:val="0"/>
          <w:numId w:val="271"/>
        </w:numPr>
      </w:pPr>
      <w:r>
        <w:t>convocatorias «no competitivas» mediante las cuales la AG seleccionará proyectos que pertenezcan a una o varias listas predefinidas, una vez que los proyectos estén listos para ser presentados y ejecutados. Esto se observó, por ejemplo, en el ámbito de la renovación de carreteras (conexiones RTE-T); el Consejo de Desarrollo Regional ha aprobado previamente una lista de proyectos prioritarios. La autoridad de gestión seleccionará los proyectos en el orden cronológico de su presentación por los condados beneficiarios.</w:t>
      </w:r>
    </w:p>
    <w:p w:rsidR="00786B3E" w:rsidRDefault="00786B3E" w:rsidP="00786B3E">
      <w:pPr>
        <w:numPr>
          <w:ilvl w:val="0"/>
          <w:numId w:val="271"/>
        </w:numPr>
      </w:pPr>
      <w:r>
        <w:t xml:space="preserve">en la práctica, las convocatorias por orden de llegada, mediante las cuales la AG seleccionará los proyectos en el orden cronológico de su presentación, siempre que cumplan los requisitos establecidos en la convocatoria, hasta agotar el presupuesto total asignado a la convocatoria. Esto se observó en algunas de las convocatorias «competitivas» antes mencionadas, que en la práctica se convirtieron en convocatorias por orden de llegada, </w:t>
      </w:r>
      <w:r w:rsidR="002F3719">
        <w:t xml:space="preserve">ya que, </w:t>
      </w:r>
      <w:r>
        <w:t>todos los proyectos presentados y seleccionados hasta que la absorción presupuestaria superaba un «umbral de excelencia» (75 % de puntos máximos) por encima del cual se seleccionaron inmediatamente, independientemente de que los siguientes proyectos (no seleccionados por falta de presupuesto) puedan tener una calificación aún mejor.</w:t>
      </w:r>
    </w:p>
    <w:p w:rsidR="00786B3E" w:rsidRDefault="00786B3E" w:rsidP="00786B3E">
      <w:r>
        <w:t>Por último, el Tribunal constató que, en todas las convocatorias, la AG había establecido un umbral inferior y un umbral superior para el importe total subvencionable de cada proyecto (en general, 300 000 EUR y 2 500 000 EUR). La AG justificó el establecimiento del umbral más bajo por la necesidad de garantizar la proporcionalidad entre la subvención y los costes/</w:t>
      </w:r>
      <w:proofErr w:type="gramStart"/>
      <w:r>
        <w:t>cargas administrativos</w:t>
      </w:r>
      <w:proofErr w:type="gramEnd"/>
      <w:r>
        <w:t xml:space="preserve"> correspondientes, y la existencia del umbral máximo mediante la voluntad de cofinanciar un número mínimo de operaciones con la asignación presupuestaria de cada convocatoria.</w:t>
      </w:r>
    </w:p>
    <w:p w:rsidR="00786B3E" w:rsidRDefault="00786B3E" w:rsidP="00786B3E">
      <w:r>
        <w:t xml:space="preserve">Nos preguntamos si las convocatorias no competitivas y las convocatorias por orden de llegada descritas anteriormente, así como la aplicación de los umbrales inferior o </w:t>
      </w:r>
      <w:r>
        <w:lastRenderedPageBreak/>
        <w:t>superior, cumplen lo dispuesto en el artículo 73, apartado 1, y en el artículo 73, apartado 2, letra c), y, en particular, si cumplen la priorización en la selección de proyectos y la mejor relación entre la ayuda y los objetivos mencionados en estos artículos.</w:t>
      </w:r>
    </w:p>
    <w:p w:rsidR="00786B3E" w:rsidRDefault="00786B3E" w:rsidP="00786B3E"/>
    <w:p w:rsidR="00786B3E" w:rsidRDefault="00786B3E" w:rsidP="00786B3E">
      <w:pPr>
        <w:pStyle w:val="P68B1DB1-Normal1"/>
      </w:pPr>
      <w:r>
        <w:t>Respuesta.</w:t>
      </w:r>
    </w:p>
    <w:p w:rsidR="00786B3E" w:rsidRDefault="00786B3E" w:rsidP="00786B3E">
      <w:r>
        <w:t>El artículo 73, apartado 1, del RDC establece que «para la selección de las operaciones, la autoridad de gestión establecerá y aplicará criterios y procedimientos que sean transparentes y no discriminatorios [...]».</w:t>
      </w:r>
    </w:p>
    <w:p w:rsidR="00786B3E" w:rsidRDefault="00786B3E" w:rsidP="00786B3E">
      <w:r>
        <w:t>El considerando 60 del RDC subra</w:t>
      </w:r>
      <w:r w:rsidR="002F3719">
        <w:t xml:space="preserve">ya que, </w:t>
      </w:r>
      <w:r>
        <w:t>los procedimientos de selección de las operaciones pueden ser competitivos o no competitivos, siempre que los criterios aplicados y los procedimientos utilizados sean no discriminatorios, inclusivos y transparentes y que las operaciones seleccionadas maximicen la contribución de la financiación de la Unión y estén en consonancia con los principios horizontales definidos en el presente Reglamento.</w:t>
      </w:r>
    </w:p>
    <w:p w:rsidR="00786B3E" w:rsidRDefault="00786B3E" w:rsidP="00786B3E">
      <w:r>
        <w:t>Sobre la base de lo anterior, las convocatorias no competitivas en las que la AG seleccionará operaciones que pertenezcan a una o varias listas predefinidas pueden cumplir lo dispuesto en el artículo 73, apartado 1, y el artículo 73, apartado 2, letra c), del RDC, siempre que estas listas predefinidas se hayan establecido sobre la base de criterios no discriminatorios, inclusivos y transparentes aprobados por el comité de seguimiento y garanticen que las operaciones seleccionadas maximizan la contribución de la financiación de la Unión a la consecución de los objetivos del programa.</w:t>
      </w:r>
    </w:p>
    <w:p w:rsidR="00786B3E" w:rsidRDefault="00786B3E" w:rsidP="00786B3E">
      <w:r>
        <w:t>Las «llamadas por orden de llegada» pueden considerarse un método de selección. Por lo tanto, las convocatorias en las que las operaciones se seleccionen en el orden cronológico de su presentación, siempre que se respete el umbral determinado, hasta el agotamiento del presupuesto total asignado a la convocatoria, podrán cumplir lo dispuesto en el artículo 73, apartado 1, y el artículo 73, apartado 2, letra c), del RDC, siempre que la AG garantice que las operaciones seleccionadas de esta manera contribuyan a maximizar la contribución de la financiación de la Unión a la consecución de los objetivos del programa.</w:t>
      </w:r>
    </w:p>
    <w:p w:rsidR="00786B3E" w:rsidRDefault="00786B3E" w:rsidP="00786B3E">
      <w:r>
        <w:t>La AG tiene libertad para establecer los umbrales inferior y superior para el coste total subvencionable de un proyecto, que, no obstante, debe seguir siendo razonable en relación con la carga administrativa y la intención de financiar un número mínimo de proyectos en el marco de cada convocatoria.</w:t>
      </w:r>
    </w:p>
    <w:p w:rsidR="00786B3E" w:rsidRDefault="00786B3E" w:rsidP="00786B3E"/>
    <w:p w:rsidR="00786B3E" w:rsidRDefault="00786B3E" w:rsidP="00786B3E"/>
    <w:p w:rsidR="00786B3E" w:rsidRDefault="00786B3E" w:rsidP="00786B3E"/>
    <w:p w:rsidR="00786B3E" w:rsidRDefault="00786B3E" w:rsidP="00786B3E">
      <w:pPr>
        <w:pStyle w:val="Ttulo1"/>
      </w:pPr>
      <w:bookmarkStart w:id="682" w:name="scroll-bookmark-786"/>
      <w:bookmarkStart w:id="683" w:name="scroll-bookmark-787"/>
      <w:bookmarkEnd w:id="682"/>
      <w:r>
        <w:t>QA709: Control y observancia de la pesca en aguas interiores</w:t>
      </w:r>
      <w:bookmarkEnd w:id="683"/>
    </w:p>
    <w:p w:rsidR="00786B3E" w:rsidRDefault="00786B3E" w:rsidP="00786B3E">
      <w:r>
        <w:rPr>
          <w:noProof/>
          <w:lang w:val="es-ES"/>
        </w:rPr>
        <w:drawing>
          <wp:inline distT="0" distB="0" distL="0" distR="0" wp14:anchorId="01596718" wp14:editId="5DD4BB50">
            <wp:extent cx="152435" cy="152435"/>
            <wp:effectExtent l="0" t="0" r="0" b="0"/>
            <wp:docPr id="101371" name="Imagen 1013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22 del Reglamento FEMPA</w:t>
      </w:r>
    </w:p>
    <w:p w:rsidR="00786B3E" w:rsidRDefault="00786B3E" w:rsidP="00786B3E">
      <w:r>
        <w:rPr>
          <w:noProof/>
          <w:lang w:val="es-ES"/>
        </w:rPr>
        <w:lastRenderedPageBreak/>
        <w:drawing>
          <wp:inline distT="0" distB="0" distL="0" distR="0" wp14:anchorId="4522E3B9" wp14:editId="66871895">
            <wp:extent cx="152435" cy="152435"/>
            <wp:effectExtent l="0" t="0" r="0" b="0"/>
            <wp:docPr id="101373" name="Imagen 1013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Estonia</w:t>
      </w:r>
    </w:p>
    <w:p w:rsidR="00786B3E" w:rsidRDefault="00786B3E" w:rsidP="00786B3E"/>
    <w:p w:rsidR="00786B3E" w:rsidRDefault="00786B3E" w:rsidP="00786B3E">
      <w:pPr>
        <w:pStyle w:val="P68B1DB1-Normal1"/>
      </w:pPr>
      <w:r>
        <w:br/>
      </w:r>
      <w:r w:rsidR="00377B57">
        <w:t>Pregunta</w:t>
      </w:r>
    </w:p>
    <w:p w:rsidR="00786B3E" w:rsidRDefault="00786B3E" w:rsidP="00786B3E">
      <w:r>
        <w:t>Tengo una pregunta sobre la financiación del control y la observancia de la pesca en aguas interiores.</w:t>
      </w:r>
    </w:p>
    <w:p w:rsidR="00786B3E" w:rsidRDefault="00786B3E" w:rsidP="00786B3E"/>
    <w:p w:rsidR="00786B3E" w:rsidRDefault="00786B3E" w:rsidP="00786B3E">
      <w:r>
        <w:t>El artículo 22, apartado 1, del Reglamento FEMPA se refiere al «régimen de control de la pesca de la Unión establecido en el artículo 36 del Reglamento (UE) n.º 1380/2013 y especificado con más detalle en los Reglamentos (CE) n.º 1224/2009 y (CE) n.º 1005/2008». En los artículos 16 y 25 del Reglamento FEMPA se menciona específicamente la pesca interior, pero la pesca interior no se menciona en el artículo 22.</w:t>
      </w:r>
    </w:p>
    <w:p w:rsidR="00786B3E" w:rsidRDefault="00786B3E" w:rsidP="00786B3E"/>
    <w:p w:rsidR="00786B3E" w:rsidRDefault="00786B3E" w:rsidP="00786B3E">
      <w:r>
        <w:t xml:space="preserve">¿Debe entenderse que las actividades de control y observancia en aguas interiores no pueden financiarse con cargo al FEMPA o todavía hay un cierto margen de flexibilidad, como las actividades de control con respecto a los peces migratorios, etc.? </w:t>
      </w:r>
    </w:p>
    <w:p w:rsidR="00786B3E" w:rsidRDefault="00786B3E" w:rsidP="00786B3E"/>
    <w:p w:rsidR="00786B3E" w:rsidRDefault="00786B3E" w:rsidP="00786B3E">
      <w:pPr>
        <w:pStyle w:val="P68B1DB1-Normal1"/>
      </w:pPr>
      <w:r>
        <w:t>Respuesta.</w:t>
      </w:r>
    </w:p>
    <w:p w:rsidR="00786B3E" w:rsidRDefault="00786B3E" w:rsidP="00786B3E">
      <w:r>
        <w:t>De conformidad con el artículo 14, apartado 2, del Reglamento FEMPA, la ayuda en virtud de la prioridad 1 (que incluye el control) puede concederse a la pesca interior en las condiciones establecidas en el artículo 16 del mismo Reglamento. El artículo 16 excluye o condiciona el apoyo a determinadas actividades relacionadas con la pesca interior (por ejemplo, el artículo 20 en relación con la paralización definitiva). El artículo 16 no excluye el apoyo al control y la observancia en aguas interiores. </w:t>
      </w:r>
    </w:p>
    <w:p w:rsidR="00786B3E" w:rsidRDefault="00786B3E" w:rsidP="00786B3E"/>
    <w:p w:rsidR="00786B3E" w:rsidRDefault="00786B3E" w:rsidP="00786B3E">
      <w:pPr>
        <w:pStyle w:val="P68B1DB1-Normal3"/>
        <w:jc w:val="left"/>
      </w:pPr>
      <w:r>
        <w:t>NOTA:</w:t>
      </w:r>
    </w:p>
    <w:p w:rsidR="00786B3E" w:rsidRDefault="00786B3E" w:rsidP="00786B3E">
      <w:pPr>
        <w:pStyle w:val="P68B1DB1-Normal4"/>
        <w:jc w:val="left"/>
      </w:pPr>
      <w:r>
        <w:t>De conformidad con el artículo 63, apartado 1, del Reglamento (UE) 2021/1060 (Reglamento sobre disposiciones comunes), la subvencionabilidad de los gastos se determina sobre la base de normas nacionales, excepto cuando se establezcan normas específicas en el Reglamento sobre disposiciones comunes o en los Reglamentos específicos de cada Fondo.</w:t>
      </w:r>
    </w:p>
    <w:p w:rsidR="00786B3E" w:rsidRDefault="00786B3E" w:rsidP="00786B3E">
      <w:pPr>
        <w:pStyle w:val="P68B1DB1-Normal4"/>
        <w:jc w:val="left"/>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jc w:val="left"/>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 w:rsidR="00786B3E" w:rsidRDefault="00786B3E" w:rsidP="00786B3E">
      <w:pPr>
        <w:pStyle w:val="Ttulo1"/>
      </w:pPr>
      <w:bookmarkStart w:id="684" w:name="scroll-bookmark-788"/>
      <w:bookmarkStart w:id="685" w:name="scroll-bookmark-789"/>
      <w:bookmarkEnd w:id="684"/>
      <w:r>
        <w:t xml:space="preserve">QA712: </w:t>
      </w:r>
      <w:r w:rsidR="00DF0906">
        <w:t>EMFAF</w:t>
      </w:r>
      <w:r>
        <w:t xml:space="preserve"> Primera adquisición de un buque pesquero</w:t>
      </w:r>
      <w:bookmarkEnd w:id="685"/>
    </w:p>
    <w:p w:rsidR="00786B3E" w:rsidRDefault="00786B3E" w:rsidP="00786B3E">
      <w:r>
        <w:rPr>
          <w:noProof/>
          <w:lang w:val="es-ES"/>
        </w:rPr>
        <w:drawing>
          <wp:inline distT="0" distB="0" distL="0" distR="0" wp14:anchorId="67C6E6F1" wp14:editId="54968B15">
            <wp:extent cx="152435" cy="152435"/>
            <wp:effectExtent l="0" t="0" r="0" b="0"/>
            <wp:docPr id="101375" name="Imagen 1013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w:t>
      </w:r>
      <w:r>
        <w:rPr>
          <w:color w:val="050505"/>
        </w:rPr>
        <w:t xml:space="preserve"> 17 del Reglamento</w:t>
      </w:r>
      <w:r>
        <w:t xml:space="preserve"> FEMPA</w:t>
      </w:r>
    </w:p>
    <w:p w:rsidR="00786B3E" w:rsidRDefault="00786B3E" w:rsidP="00786B3E">
      <w:r>
        <w:rPr>
          <w:noProof/>
          <w:lang w:val="es-ES"/>
        </w:rPr>
        <w:drawing>
          <wp:inline distT="0" distB="0" distL="0" distR="0" wp14:anchorId="2E62952C" wp14:editId="17018C15">
            <wp:extent cx="152435" cy="152435"/>
            <wp:effectExtent l="0" t="0" r="0" b="0"/>
            <wp:docPr id="101377" name="Imagen 1013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br/>
      </w:r>
      <w:r w:rsidR="00377B57">
        <w:t>Pregunta</w:t>
      </w:r>
    </w:p>
    <w:p w:rsidR="00786B3E" w:rsidRDefault="00786B3E" w:rsidP="00786B3E">
      <w:r>
        <w:t>En relación con el artículo 17 del FEMPA, Primera adquisición de un buque pesquero, punto 1, se realiza la siguiente consulta:</w:t>
      </w:r>
    </w:p>
    <w:p w:rsidR="00786B3E" w:rsidRDefault="00786B3E" w:rsidP="00786B3E">
      <w:r>
        <w:t>Según el texto del artículo 17. Punto primero:</w:t>
      </w:r>
    </w:p>
    <w:p w:rsidR="00786B3E" w:rsidRDefault="00786B3E" w:rsidP="00786B3E">
      <w:pPr>
        <w:numPr>
          <w:ilvl w:val="0"/>
          <w:numId w:val="272"/>
        </w:numPr>
      </w:pPr>
      <w:r>
        <w:t xml:space="preserve">No </w:t>
      </w:r>
      <w:proofErr w:type="gramStart"/>
      <w:r>
        <w:t>obstante</w:t>
      </w:r>
      <w:proofErr w:type="gramEnd"/>
      <w:r>
        <w:t xml:space="preserve"> lo dispuesto en el artículo 13, letra c), el FEMPA podrá apoyar la primera adquisición de un buque pesquero o la adquisición de su propiedad parcial.</w:t>
      </w:r>
    </w:p>
    <w:p w:rsidR="00786B3E" w:rsidRDefault="00786B3E" w:rsidP="00786B3E">
      <w:r>
        <w:t>El punto 2 también especifica las condiciones que deben cumplir los beneficiarios:</w:t>
      </w:r>
    </w:p>
    <w:p w:rsidR="00786B3E" w:rsidRDefault="00786B3E" w:rsidP="00786B3E">
      <w:r>
        <w:t>a) no tengan más de 40 años en la fecha de presentación de la solicitud de ayuda; y</w:t>
      </w:r>
    </w:p>
    <w:p w:rsidR="00786B3E" w:rsidRDefault="00786B3E" w:rsidP="00786B3E">
      <w:r>
        <w:t>b) haber trabajado durante al menos cinco años como pescador o haber adquirido una cualificación adecuada</w:t>
      </w:r>
    </w:p>
    <w:p w:rsidR="00786B3E" w:rsidRDefault="00786B3E" w:rsidP="00786B3E"/>
    <w:p w:rsidR="00786B3E" w:rsidRDefault="00786B3E" w:rsidP="00786B3E">
      <w:r>
        <w:t>De conformidad con lo anterior, se solicita confirmación de que:</w:t>
      </w:r>
    </w:p>
    <w:p w:rsidR="00786B3E" w:rsidRDefault="00786B3E" w:rsidP="00786B3E">
      <w:pPr>
        <w:numPr>
          <w:ilvl w:val="0"/>
          <w:numId w:val="273"/>
        </w:numPr>
      </w:pPr>
      <w:r>
        <w:t>El concepto de primera adquisición: se refiere a la primera compra de un buque. Sobre esta base, si el beneficiario potencial dispusiera de un buque que no había sido adquirido, ¿podría ser también beneficiario, puesto que cumple los requisitos establecidos en el artículo 17?</w:t>
      </w:r>
    </w:p>
    <w:p w:rsidR="00786B3E" w:rsidRDefault="00786B3E" w:rsidP="00786B3E">
      <w:pPr>
        <w:pStyle w:val="P68B1DB1-Normal4"/>
      </w:pPr>
      <w:r>
        <w:t>[se han solicitado aclaraciones adicionales sobre el contexto a ES MA, que informó de que la pregunta se refiere al caso, por ejemplo, de un beneficiario que compró inicialmente un buque no pesquero, que se ha transformado en un buque pesquero sin apoyo público y que actualmente opera como buque pesquero. Es o va a comprar otro buque pesquero. La pregunta es: ¿puede considerarse que este último buque adquirido constituye una «primera adquisición de un buque pesquero» y puede optar a la ayuda con arreglo al artículo 17 del FEMPA</w:t>
      </w:r>
      <w:proofErr w:type="gramStart"/>
      <w:r>
        <w:t>? ]</w:t>
      </w:r>
      <w:proofErr w:type="gramEnd"/>
    </w:p>
    <w:p w:rsidR="00786B3E" w:rsidRDefault="00786B3E" w:rsidP="00786B3E"/>
    <w:p w:rsidR="00786B3E" w:rsidRDefault="00786B3E" w:rsidP="00786B3E">
      <w:pPr>
        <w:pStyle w:val="P68B1DB1-Normal1"/>
      </w:pPr>
      <w:r>
        <w:t>Respuesta.</w:t>
      </w:r>
    </w:p>
    <w:p w:rsidR="00786B3E" w:rsidRDefault="00786B3E" w:rsidP="00786B3E">
      <w:r>
        <w:t xml:space="preserve">De conformidad con el artículo 17 del FEMPA, solo una primera adquisición es admisible: el ámbito de la ayuda es permitir la creación de nuevos operadores como propietarios </w:t>
      </w:r>
      <w:r>
        <w:lastRenderedPageBreak/>
        <w:t>de buques. Por lo tanto, la ayuda se considera una ayuda inicial para nuevos pescadores (personas físicas) de menos de 40 años que pasarán a ser propietarios de buques pesqueros, mediante la primera adquisición de un buque pesquero de segunda mano o la adquisición de una propiedad parcial.</w:t>
      </w:r>
    </w:p>
    <w:p w:rsidR="00786B3E" w:rsidRDefault="00786B3E" w:rsidP="00786B3E">
      <w:r>
        <w:t>La excepción explícita al artículo 13, letra c), deja claro que la adquisición de un buque pesquero solo es admisible en las condiciones establecidas en el artículo 17.</w:t>
      </w:r>
    </w:p>
    <w:p w:rsidR="00786B3E" w:rsidRDefault="00786B3E" w:rsidP="00786B3E">
      <w:r>
        <w:t>Cuando la ayuda a la creación de empresas se conceda para la adquisición de un buque pesquero, solo debe contribuir a la adquisición del primer buque pesquero o de una parte de control del mismo (al menos el 33 % del buque o de las acciones del buque).</w:t>
      </w:r>
    </w:p>
    <w:p w:rsidR="00786B3E" w:rsidRDefault="00786B3E" w:rsidP="00786B3E">
      <w:r>
        <w:t>Para garantizar un trato justo a los operadores que se convierten en nuevos propietarios, debe entenderse que los propietarios totales o parciales de buques pesqueros que ya están en funcionamiento no tienen derecho a la ayuda.</w:t>
      </w:r>
    </w:p>
    <w:p w:rsidR="00786B3E" w:rsidRDefault="00786B3E" w:rsidP="00786B3E"/>
    <w:p w:rsidR="00786B3E" w:rsidRDefault="00786B3E" w:rsidP="00786B3E">
      <w:pPr>
        <w:pStyle w:val="P68B1DB1-Normal3"/>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686" w:name="scroll-bookmark-790"/>
      <w:bookmarkStart w:id="687" w:name="scroll-bookmark-791"/>
      <w:bookmarkEnd w:id="686"/>
      <w:r>
        <w:t xml:space="preserve">QA713: </w:t>
      </w:r>
      <w:r w:rsidR="00DF0906">
        <w:t>EMFAF</w:t>
      </w:r>
      <w:r>
        <w:t xml:space="preserve"> Primera adquisición de un buque pesquero</w:t>
      </w:r>
      <w:bookmarkEnd w:id="687"/>
    </w:p>
    <w:p w:rsidR="00786B3E" w:rsidRDefault="00786B3E" w:rsidP="00786B3E">
      <w:r>
        <w:rPr>
          <w:noProof/>
          <w:lang w:val="es-ES"/>
        </w:rPr>
        <w:drawing>
          <wp:inline distT="0" distB="0" distL="0" distR="0" wp14:anchorId="3167C5F7" wp14:editId="75226161">
            <wp:extent cx="152435" cy="152435"/>
            <wp:effectExtent l="0" t="0" r="0" b="0"/>
            <wp:docPr id="101379" name="Imagen 1013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50505"/>
        </w:rPr>
        <w:t>Artículo 17 del Reglamento FEMPA</w:t>
      </w:r>
    </w:p>
    <w:p w:rsidR="00786B3E" w:rsidRDefault="00786B3E" w:rsidP="00786B3E">
      <w:r>
        <w:rPr>
          <w:noProof/>
          <w:lang w:val="es-ES"/>
        </w:rPr>
        <w:drawing>
          <wp:inline distT="0" distB="0" distL="0" distR="0" wp14:anchorId="42FEBF79" wp14:editId="42045AE6">
            <wp:extent cx="152435" cy="152435"/>
            <wp:effectExtent l="0" t="0" r="0" b="0"/>
            <wp:docPr id="101381" name="Imagen 1013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IE</w:t>
      </w:r>
    </w:p>
    <w:p w:rsidR="00786B3E" w:rsidRDefault="00786B3E" w:rsidP="00786B3E"/>
    <w:p w:rsidR="00786B3E" w:rsidRDefault="00786B3E" w:rsidP="00786B3E">
      <w:pPr>
        <w:pStyle w:val="P68B1DB1-Normal1"/>
      </w:pPr>
      <w:r>
        <w:br/>
      </w:r>
      <w:r w:rsidR="00377B57">
        <w:t>Pregunta</w:t>
      </w:r>
    </w:p>
    <w:p w:rsidR="00786B3E" w:rsidRDefault="00786B3E" w:rsidP="00786B3E">
      <w:r>
        <w:t>¿Podrían también aclarar si el artículo 17 es aplicable a la concesión de ayudas a la compra de capacidad de la flota irlandesa (arqueo bruto de kilovatios) en cada uno de los escenarios que figuran a continuación?</w:t>
      </w:r>
    </w:p>
    <w:p w:rsidR="00786B3E" w:rsidRDefault="00786B3E" w:rsidP="00786B3E"/>
    <w:p w:rsidR="00786B3E" w:rsidRDefault="00786B3E" w:rsidP="00786B3E">
      <w:pPr>
        <w:numPr>
          <w:ilvl w:val="0"/>
          <w:numId w:val="274"/>
        </w:numPr>
      </w:pPr>
      <w:r>
        <w:lastRenderedPageBreak/>
        <w:t>Jóvenes pescadores compran el primer buque en Irlanda — ¿El beneficiario tiene derecho a conceder una ayuda únicamente sobre el precio de compra del buque o puede la compra incluir la capacidad correspondiente (toneladas brutas de kilovatios)?</w:t>
      </w:r>
    </w:p>
    <w:p w:rsidR="00786B3E" w:rsidRDefault="00786B3E" w:rsidP="00786B3E">
      <w:pPr>
        <w:numPr>
          <w:ilvl w:val="0"/>
          <w:numId w:val="274"/>
        </w:numPr>
      </w:pPr>
      <w:r>
        <w:t>El buque se compra en un país de la UE y ha estado inscrito en el registro de la flota de la Unión durante al menos los tres años civiles anteriores al año de presentación de la solicitud de ayuda en el caso de los buques de pesca costera artesanal, y durante al menos cinco años civiles en el caso de otro tipo de buque.  Cuando se importa, el beneficiario está obligado a adquirir capacidad para llenar el buque.  ¿Tiene derecho el beneficiario a conceder ayudas en el momento de la compra del buque y la capacidad requerida (toneladas brutas de kilovatios) o solo el buque?</w:t>
      </w:r>
    </w:p>
    <w:p w:rsidR="00786B3E" w:rsidRDefault="00786B3E" w:rsidP="00786B3E">
      <w:pPr>
        <w:numPr>
          <w:ilvl w:val="0"/>
          <w:numId w:val="274"/>
        </w:numPr>
      </w:pPr>
      <w:r>
        <w:t>El buque se compra en un país no perteneciente a la UE.  El beneficiario no tiene derecho a conceder ayudas en el momento de la compra del buque. ¿Tiene derecho el beneficiario a conceder ayudas para la compra de capacidad irlandesa (arqueo bruto de kilovatios) para llenar el buque?</w:t>
      </w:r>
    </w:p>
    <w:p w:rsidR="00786B3E" w:rsidRDefault="00786B3E" w:rsidP="00786B3E"/>
    <w:p w:rsidR="00786B3E" w:rsidRDefault="00786B3E" w:rsidP="00786B3E">
      <w:pPr>
        <w:pStyle w:val="P68B1DB1-Normal1"/>
      </w:pPr>
      <w:r>
        <w:t>Respuesta.</w:t>
      </w:r>
    </w:p>
    <w:p w:rsidR="00786B3E" w:rsidRDefault="00786B3E" w:rsidP="00786B3E">
      <w:r>
        <w:t xml:space="preserve">El artículo 17 del Reglamento (UE) 2021/1139 (Reglamento FEMPA), no </w:t>
      </w:r>
      <w:proofErr w:type="gramStart"/>
      <w:r>
        <w:t>obstante</w:t>
      </w:r>
      <w:proofErr w:type="gramEnd"/>
      <w:r>
        <w:t xml:space="preserve"> lo dispuesto en el artículo 13, letra c), prevé el apoyo a la primera adquisición de un buque pesquero o a la adquisición de la propiedad parcial del mismo.</w:t>
      </w:r>
    </w:p>
    <w:p w:rsidR="00786B3E" w:rsidRDefault="00786B3E" w:rsidP="00786B3E">
      <w:r>
        <w:t>El Reglamento 1380/2013 define un buque pesquero como «todo buque equipado para la explotación comercial de los recursos biológicos marinos».</w:t>
      </w:r>
    </w:p>
    <w:p w:rsidR="00786B3E" w:rsidRDefault="00786B3E" w:rsidP="00786B3E">
      <w:r>
        <w:t>De conformidad con el artículo 4, apartado 24, del Reglamento (CE) no 130/2013, se entenderá por «capacidad pesquera» el arqueo de un buque expresado en GT (arqueo bruto) y su potencia expresada en kW (kilovatios).</w:t>
      </w:r>
    </w:p>
    <w:p w:rsidR="00786B3E" w:rsidRDefault="00786B3E" w:rsidP="00786B3E"/>
    <w:p w:rsidR="00786B3E" w:rsidRDefault="00786B3E" w:rsidP="00786B3E">
      <w:r>
        <w:t>Un buque pesquero tiene una capacidad determinada: un tonelaje expresado en GT y una potencia expresada en KW. En algunos Estados miembros, se requiere otra autorización para utilizar el arqueo del buque con el fin de llevar a cabo actividades pesqueras. Se considera que se trata de un activo financiero comercial de propiedad privada que debe ser propiedad de los propietarios o titulares de licencias de pesca y que puede venderse o negociarse. Se considera una inversión (inmaterial) y una condición para el ejercicio de la actividad pesquera. En tales casos, la autorización adicional para utilizar el GT y KW no puede considerarse, por tanto, una inversión en equipo de pesca, sino que constituye un coste de explotación adicional.</w:t>
      </w:r>
    </w:p>
    <w:p w:rsidR="00786B3E" w:rsidRDefault="00786B3E" w:rsidP="00786B3E">
      <w:r>
        <w:t>El requisito de que un buque tenga una autorización de capacidad y KW es un instrumento de gestión nacional establecido por el Estado miembro en el contexto de la obligación, en virtud del Reglamento (UE) 1380/2013, de que los Estados miembros adopten medidas específicas para adaptar el número de buques pesqueros de la Unión a los recursos disponibles, sobre la base de sus evaluaciones del equilibrio entre la capacidad pesquera de sus flotas y las posibilidades de pesca de que disponen.</w:t>
      </w:r>
    </w:p>
    <w:p w:rsidR="00786B3E" w:rsidRDefault="00786B3E" w:rsidP="00786B3E"/>
    <w:p w:rsidR="00786B3E" w:rsidRDefault="00786B3E" w:rsidP="00786B3E">
      <w:r>
        <w:lastRenderedPageBreak/>
        <w:t>Cuando se conceda ayuda en virtud del artículo 17 del FEMPA, la capacidad respectiva se incorporará a un segmento de flota para el que el último informe sobre capacidad pesquera, a que se refiere el artículo 22, apartado 2, del Reglamento (UE) n.º 1380/2013, haya mostrado un equilibrio con las posibilidades de pesca disponibles para ese segmento [artículo 17, apartado 6, letra a</w:t>
      </w:r>
      <w:proofErr w:type="gramStart"/>
      <w:r>
        <w:t>),del</w:t>
      </w:r>
      <w:proofErr w:type="gramEnd"/>
      <w:r>
        <w:t xml:space="preserve"> FEMPA].</w:t>
      </w:r>
    </w:p>
    <w:p w:rsidR="00786B3E" w:rsidRDefault="00786B3E" w:rsidP="00786B3E"/>
    <w:p w:rsidR="00786B3E" w:rsidRDefault="00786B3E" w:rsidP="00786B3E">
      <w:r>
        <w:t>A través del Reglamento FEMPA se ha reconocido que la creación y el desarrollo de nuevas actividades económicas en el sector pesquero por parte de jóvenes pescadores supone un reto financiero. El artículo 17 del Reglamento FEMPA tiene por objeto apoyar el relevo generacional ayudando a los jóvenes pescadores a iniciar actividades pesqueras. El artículo 17 no se refiere a la capacidad asociada necesaria para obtener una licencia a un buque pesquero para que entre en funcionamiento, sino únicamente para apoyar la primera adquisición de un buque pesquero o la adquisición de la propiedad parcial del mismo.</w:t>
      </w:r>
    </w:p>
    <w:p w:rsidR="00786B3E" w:rsidRDefault="00786B3E" w:rsidP="00786B3E"/>
    <w:p w:rsidR="00786B3E" w:rsidRDefault="00786B3E" w:rsidP="00786B3E">
      <w:r>
        <w:t>Siempre que se cumplan todas las condiciones establecidas en el artículo 17 del Reglamento FEMPA, los Estados miembros podrán decidir autorizar la ayuda para la adquisición del buque pesquero. Esto puede facilitar el relevo generacional, reforzando al mismo tiempo las actividades pesqueras sostenibles desde el punto de vista económico, social y medioambiental.</w:t>
      </w:r>
    </w:p>
    <w:p w:rsidR="00786B3E" w:rsidRDefault="00786B3E" w:rsidP="00786B3E"/>
    <w:p w:rsidR="00786B3E" w:rsidRDefault="00786B3E" w:rsidP="00786B3E">
      <w:r>
        <w:t>Cuando un buque pesquero se compra a un país no perteneciente a la UE, no puede concederse ayuda para la primera adquisición (ni siquiera parcial) de un buque pesquero en las condiciones del artículo 17 del FEMPA. Esto se debe a que no pueden cumplirse las disposiciones establecidas en el artículo 17, apartado 6, letra d). No obstante, la adquisición de la capacidad pesquera correspondiente para el buque pesquero podrá respaldarse mediante el diseño de un tipo de acción adecuado en el ámbito de aplicación del artículo 14, apartado 1, letra a), del Reglamento FEMPA.</w:t>
      </w:r>
    </w:p>
    <w:p w:rsidR="00786B3E" w:rsidRDefault="00786B3E" w:rsidP="00786B3E"/>
    <w:p w:rsidR="00786B3E" w:rsidRDefault="00786B3E" w:rsidP="00786B3E">
      <w:r>
        <w:t>Sobre la base de lo anterior, cabe concluir que, en relación con las cuestiones planteadas por Irlanda:</w:t>
      </w:r>
    </w:p>
    <w:p w:rsidR="00786B3E" w:rsidRDefault="00786B3E" w:rsidP="00786B3E">
      <w:pPr>
        <w:numPr>
          <w:ilvl w:val="0"/>
          <w:numId w:val="275"/>
        </w:numPr>
      </w:pPr>
      <w:r>
        <w:t>Cuando el buque se adquiera en Irlanda, el beneficiario tendrá derecho a la ayuda del FEMPA en el momento de la compra del buque con arreglo al artículo 17, si se define adecuadamente como un tipo de acción en el programa.</w:t>
      </w:r>
    </w:p>
    <w:p w:rsidR="00786B3E" w:rsidRDefault="00786B3E" w:rsidP="00786B3E">
      <w:pPr>
        <w:numPr>
          <w:ilvl w:val="0"/>
          <w:numId w:val="275"/>
        </w:numPr>
      </w:pPr>
      <w:r>
        <w:t>Cuando el buque se compra a otro Estado miembro de la UE, el beneficiario tiene derecho a recibir ayuda del FEMPA para la compra del buque (arqueo bruto de kilovatios) con arreglo al artículo 17, si se define adecuadamente como un tipo de acción en el programa.</w:t>
      </w:r>
    </w:p>
    <w:p w:rsidR="00786B3E" w:rsidRDefault="00786B3E" w:rsidP="00786B3E">
      <w:pPr>
        <w:numPr>
          <w:ilvl w:val="0"/>
          <w:numId w:val="275"/>
        </w:numPr>
      </w:pPr>
      <w:r>
        <w:t>Cuando el buque se compra a un país no perteneciente a la UE, el beneficiario no tiene derecho a la ayuda del FEMPA en el momento de la compra del buque (arqueo bruto de kilovatios) con arreglo al artículo 17. No obstante, la ayuda para la adquisición de la capacidad correspondiente puede ser posible en virtud del artículo 14, si se define adecuadamente como un tipo de acción en el programa.</w:t>
      </w:r>
    </w:p>
    <w:p w:rsidR="00786B3E" w:rsidRDefault="00786B3E" w:rsidP="00786B3E"/>
    <w:p w:rsidR="00786B3E" w:rsidRDefault="00786B3E" w:rsidP="00786B3E"/>
    <w:p w:rsidR="00786B3E" w:rsidRDefault="00786B3E" w:rsidP="00786B3E">
      <w:pPr>
        <w:pStyle w:val="P68B1DB1-Normal3"/>
      </w:pPr>
      <w:r>
        <w:t>NOTA:</w:t>
      </w:r>
    </w:p>
    <w:p w:rsidR="00786B3E" w:rsidRDefault="00786B3E" w:rsidP="00786B3E">
      <w:pPr>
        <w:pStyle w:val="P68B1DB1-Normal4"/>
      </w:pPr>
      <w: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r>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688" w:name="scroll-bookmark-792"/>
      <w:bookmarkStart w:id="689" w:name="scroll-bookmark-793"/>
      <w:bookmarkEnd w:id="688"/>
      <w:r>
        <w:t>QA00284 — Redistribución de la ayuda mediante un método de OCS</w:t>
      </w:r>
      <w:bookmarkEnd w:id="689"/>
    </w:p>
    <w:p w:rsidR="00786B3E" w:rsidRDefault="00786B3E" w:rsidP="00786B3E">
      <w:r>
        <w:rPr>
          <w:noProof/>
          <w:lang w:val="es-ES"/>
        </w:rPr>
        <w:drawing>
          <wp:inline distT="0" distB="0" distL="0" distR="0" wp14:anchorId="3C201082" wp14:editId="352614BB">
            <wp:extent cx="152435" cy="152435"/>
            <wp:effectExtent l="0" t="0" r="0" b="0"/>
            <wp:docPr id="101383" name="Imagen 1013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56 del RDC</w:t>
      </w:r>
    </w:p>
    <w:p w:rsidR="00786B3E" w:rsidRDefault="00786B3E" w:rsidP="00786B3E">
      <w:r>
        <w:t>Artículo 69 del RDC</w:t>
      </w:r>
    </w:p>
    <w:p w:rsidR="00786B3E" w:rsidRDefault="00786B3E" w:rsidP="00786B3E">
      <w:r>
        <w:t>Artículo 73 del RDC</w:t>
      </w:r>
    </w:p>
    <w:p w:rsidR="00786B3E" w:rsidRDefault="00786B3E" w:rsidP="00786B3E">
      <w:r>
        <w:rPr>
          <w:noProof/>
          <w:lang w:val="es-ES"/>
        </w:rPr>
        <w:drawing>
          <wp:inline distT="0" distB="0" distL="0" distR="0" wp14:anchorId="10F62B0B" wp14:editId="4EDE080E">
            <wp:extent cx="152435" cy="152435"/>
            <wp:effectExtent l="0" t="0" r="0" b="0"/>
            <wp:docPr id="101385" name="Imagen 1013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El beneficiario tiene la intención de ejecutar la operación a través de otros organismos locales mediante acuerdos de subvención. En la práctica, el beneficiario gestiona una convocatoria para conceder ayudas a terceros, que son organismos locales. Las entidades locales se seleccionan sobre la base de parámetros claramente definidos, especificados antes de la selección de la operación y reflejados en los documentos que establecen las condiciones de la ayuda entre la AG y el beneficiario. El acuerdo de pago consiste en que el beneficiario pagará el coste del personal de las entidades locales directamente implicado en la operación + 40 % de este coste para cubrir todos los costes restantes de las entidades locales. Estas entidades locales se seleccionan mediante un procedimiento no competitivo, </w:t>
      </w:r>
      <w:r w:rsidR="002F3719">
        <w:t xml:space="preserve">ya que, </w:t>
      </w:r>
      <w:r>
        <w:t xml:space="preserve">cada una de ellas abarca una zona geográfica </w:t>
      </w:r>
      <w:r>
        <w:lastRenderedPageBreak/>
        <w:t>específica. La relación entre el beneficiario y las entidades locales se gestiona mediante acuerdos de subvención.</w:t>
      </w:r>
    </w:p>
    <w:p w:rsidR="00786B3E" w:rsidRDefault="00786B3E" w:rsidP="00786B3E">
      <w:r>
        <w:t>Las solicitudes del beneficiario de la autoridad de gestión:</w:t>
      </w:r>
    </w:p>
    <w:p w:rsidR="00786B3E" w:rsidRDefault="00786B3E" w:rsidP="00786B3E">
      <w:pPr>
        <w:numPr>
          <w:ilvl w:val="0"/>
          <w:numId w:val="276"/>
        </w:numPr>
      </w:pPr>
      <w:r>
        <w:t>el importe abonado a las entidades locales y</w:t>
      </w:r>
    </w:p>
    <w:p w:rsidR="00786B3E" w:rsidRDefault="00786B3E" w:rsidP="00786B3E">
      <w:pPr>
        <w:numPr>
          <w:ilvl w:val="0"/>
          <w:numId w:val="276"/>
        </w:numPr>
      </w:pPr>
      <w:r>
        <w:t>costes propios basados en los gastos reales incurridos.</w:t>
      </w:r>
    </w:p>
    <w:p w:rsidR="00786B3E" w:rsidRDefault="00786B3E" w:rsidP="00786B3E">
      <w:r>
        <w:t>Esta estructura de ejecución y el acuerdo de pago entre organismos beneficiarios y locales se detallaron en la solicitud de financiación del beneficiario. La AG evaluó la solicitud y aprobó la operación.</w:t>
      </w:r>
    </w:p>
    <w:p w:rsidR="00786B3E" w:rsidRDefault="00786B3E" w:rsidP="00786B3E">
      <w:pPr>
        <w:numPr>
          <w:ilvl w:val="0"/>
          <w:numId w:val="277"/>
        </w:numPr>
      </w:pPr>
      <w:r>
        <w:t>¿Está esta operación en consonancia con el artículo 2, apartado 9, del RDC, teniendo en cuenta que consiste en redistribuir la ayuda financiera del beneficiario a organismos predefinidos? La operación no es un fondo para pequeños proyectos en el sentido del artículo 25 del Reglamento Interreg ni concede ayuda a las empresas.</w:t>
      </w:r>
    </w:p>
    <w:p w:rsidR="00786B3E" w:rsidRDefault="00786B3E" w:rsidP="00786B3E">
      <w:pPr>
        <w:numPr>
          <w:ilvl w:val="0"/>
          <w:numId w:val="277"/>
        </w:numPr>
      </w:pPr>
      <w:r>
        <w:t>El RDC no se aplica a nivel de beneficiario — terceros, por lo que no se aplican las OCS fuera de la plataforma. En este contexto, y dado que los pagos del beneficiario a las entidades locales se realizan sobre la base de una OCS (costes de personal + 40 %), ¿está obligado el beneficiario a realizar un cálculo para demostrar cómo se determinó el tipo aplicable?</w:t>
      </w:r>
    </w:p>
    <w:p w:rsidR="00786B3E" w:rsidRDefault="00786B3E" w:rsidP="00786B3E">
      <w:pPr>
        <w:numPr>
          <w:ilvl w:val="0"/>
          <w:numId w:val="277"/>
        </w:numPr>
      </w:pPr>
      <w:r>
        <w:t>Para sus propios gastos, el beneficiario debe conservar una pista de auditoría completa. Para los pagos a los organismos locales, ¿cuál es la pista de auditoría que debe conservarse? ¿Qué nivel de verificaciones pueden esperar el beneficiario y la AG en relación con estas partidas de gasto?</w:t>
      </w:r>
    </w:p>
    <w:p w:rsidR="00786B3E" w:rsidRDefault="00786B3E" w:rsidP="00786B3E"/>
    <w:p w:rsidR="00786B3E" w:rsidRDefault="00786B3E" w:rsidP="00786B3E">
      <w:pPr>
        <w:pStyle w:val="P68B1DB1-Normal1"/>
      </w:pPr>
      <w:r>
        <w:t>Respuesta.</w:t>
      </w:r>
    </w:p>
    <w:p w:rsidR="00786B3E" w:rsidRDefault="00786B3E" w:rsidP="00786B3E">
      <w:pPr>
        <w:pStyle w:val="P68B1DB1-Normal1"/>
      </w:pPr>
      <w:r>
        <w:t>Respuesta a la pregunta 1:</w:t>
      </w:r>
    </w:p>
    <w:p w:rsidR="00786B3E" w:rsidRDefault="00786B3E" w:rsidP="00786B3E">
      <w:r>
        <w:t xml:space="preserve">La reasignación de subvenciones puede estar en consonancia con el RDC, siempre que se cumplan determinadas condiciones. Para mayor exhaustividad, véanse las respuestas a los QA00130, QA00133, QA00199 y QA00206, así como la </w:t>
      </w:r>
      <w:hyperlink r:id="rId529" w:history="1">
        <w:r>
          <w:rPr>
            <w:rStyle w:val="Hipervnculo"/>
          </w:rPr>
          <w:t>pregunta de seguimiento QA00132: seguimiento del QA00132 — QA 21-27 — RegioWiki (europa.eu)</w:t>
        </w:r>
      </w:hyperlink>
      <w:r>
        <w:t>.</w:t>
      </w:r>
    </w:p>
    <w:p w:rsidR="00786B3E" w:rsidRDefault="00786B3E" w:rsidP="00786B3E"/>
    <w:p w:rsidR="00786B3E" w:rsidRDefault="00786B3E" w:rsidP="00786B3E">
      <w:pPr>
        <w:pStyle w:val="P68B1DB1-Normal1"/>
      </w:pPr>
      <w:r>
        <w:t>A las preguntas 2 y 3:</w:t>
      </w:r>
    </w:p>
    <w:p w:rsidR="00786B3E" w:rsidRDefault="00786B3E" w:rsidP="00786B3E">
      <w:r>
        <w:t>Las disposiciones de los artículos 53 a 56 del RDC se refieren a las formas de subvenciones concedidas por el Estado miembro al beneficiario y establecen las normas en las que las subvenciones concedidas por el Estado miembro al beneficiario adoptan la forma de OCS. Estas disposiciones no se refieren a los acuerdos de pago entre el beneficiario y los organismos locales (terceros).</w:t>
      </w:r>
    </w:p>
    <w:p w:rsidR="00786B3E" w:rsidRDefault="00786B3E" w:rsidP="00786B3E">
      <w:r>
        <w:t>Si esto se ajusta a la legislación nacional y de la UE aplicable, el beneficiario puede establecer una metodología para la aplicación de OCS a nivel beneficiario (organismos locales), de conformidad con las disposiciones del RDC sobre OCS.</w:t>
      </w:r>
    </w:p>
    <w:p w:rsidR="00786B3E" w:rsidRDefault="00786B3E" w:rsidP="00786B3E">
      <w:r>
        <w:t xml:space="preserve">En consonancia con la respuesta facilitada en la A00206, debe mantenerse una pista de auditoría adecuada de los costes soportados por el beneficiario y pagados en la </w:t>
      </w:r>
      <w:r>
        <w:lastRenderedPageBreak/>
        <w:t>ejecución de la operación en la ayuda en cascada procedente de los fondos, incluido el anexo XIII y, en particular, su punto 13.</w:t>
      </w:r>
    </w:p>
    <w:p w:rsidR="00786B3E" w:rsidRDefault="00786B3E" w:rsidP="00786B3E">
      <w:r>
        <w:t>Las verificaciones de la gestión siguen siendo responsabilidad de la AG o del OI por delegación.</w:t>
      </w:r>
    </w:p>
    <w:p w:rsidR="00786B3E" w:rsidRDefault="00786B3E" w:rsidP="00786B3E">
      <w:r>
        <w:t>Se mantendrá una pista de auditoría de dichas verificaciones al nivel del organismo que lleve a cabo las verificaciones de la gestión (AG o OI); las subdelegaciones del OI a los beneficiarios no son posibles.</w:t>
      </w:r>
    </w:p>
    <w:p w:rsidR="00786B3E" w:rsidRDefault="00786B3E" w:rsidP="00786B3E"/>
    <w:p w:rsidR="00786B3E" w:rsidRDefault="00786B3E" w:rsidP="00786B3E"/>
    <w:p w:rsidR="00786B3E" w:rsidRDefault="00786B3E" w:rsidP="00786B3E">
      <w:pPr>
        <w:pStyle w:val="Ttulo1"/>
      </w:pPr>
      <w:bookmarkStart w:id="690" w:name="scroll-bookmark-794"/>
      <w:bookmarkStart w:id="691" w:name="scroll-bookmark-795"/>
      <w:bookmarkEnd w:id="690"/>
      <w:r>
        <w:t>QA00285 — Admisibilidad del IVA en proyectos de más de 5 millones EUR de segundo nivel a la luz del artículo 64, apartado 1, del RDC</w:t>
      </w:r>
      <w:bookmarkEnd w:id="691"/>
    </w:p>
    <w:p w:rsidR="00786B3E" w:rsidRDefault="00786B3E" w:rsidP="00786B3E">
      <w:r>
        <w:rPr>
          <w:noProof/>
          <w:lang w:val="es-ES"/>
        </w:rPr>
        <w:drawing>
          <wp:inline distT="0" distB="0" distL="0" distR="0" wp14:anchorId="36E7F0BB" wp14:editId="7B0B0222">
            <wp:extent cx="152435" cy="152435"/>
            <wp:effectExtent l="0" t="0" r="0" b="0"/>
            <wp:docPr id="101387" name="Imagen 1013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64 del RDC</w:t>
      </w:r>
    </w:p>
    <w:p w:rsidR="00786B3E" w:rsidRDefault="00786B3E" w:rsidP="00786B3E">
      <w:r>
        <w:rPr>
          <w:noProof/>
          <w:lang w:val="es-ES"/>
        </w:rPr>
        <w:drawing>
          <wp:inline distT="0" distB="0" distL="0" distR="0" wp14:anchorId="705DC823" wp14:editId="58D3D53C">
            <wp:extent cx="152435" cy="152435"/>
            <wp:effectExtent l="0" t="0" r="0" b="0"/>
            <wp:docPr id="101389" name="Imagen 1013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el artículo 64, apartado 1, letra c), inciso ii), del RDC, el IVA puede ser subvencionable para operaciones cuyo coste total sea de al menos 5 000 000 EUR (IVA incluido) cuando no sea recuperable con arreglo a la legislación nacional en materia de IVA. En referencia a la carta de la Comisión Europea relativa a la «Sentencia del Tribunal General de 22 de junio de 2 022 en el asunto T-357/19, Italia/Comisión», consideramos como norma general que la evaluación de la recuperabilidad del IVA con arreglo a la legislación del IVA debe llevarse a cabo específicamente con respecto a cada beneficiario individual. Así pues, le pedimos que confirme la interpretación del artículo 64, apartado 1, letra c), inciso ii), del RDC en las siguientes situaciones:</w:t>
      </w:r>
    </w:p>
    <w:p w:rsidR="00786B3E" w:rsidRDefault="00786B3E" w:rsidP="00786B3E"/>
    <w:p w:rsidR="00786B3E" w:rsidRDefault="00786B3E" w:rsidP="00786B3E">
      <w:r>
        <w:t>1) el IVA es subvencionable en el proyecto FEDER, en el que el beneficiario no tiene derecho a «deducir» ni a obtener una «devolución» del IVA, si bien la «empresa interna» del beneficiario responsable del mantenimiento del proyecto y de la gestión de las infraestructuras puede recuperar el IVA.</w:t>
      </w:r>
    </w:p>
    <w:p w:rsidR="00786B3E" w:rsidRDefault="00786B3E" w:rsidP="00786B3E">
      <w:r>
        <w:t>2) el IVA es subvencionable en un proyecto del FEDER, en el que el beneficiario no tiene derecho a «deducir» ni a obtener una «devolución» del IVA, aunque una empresa externa encargada del mantenimiento y la gestión de la infraestructura del proyecto pueda recuperar el IVA.</w:t>
      </w:r>
    </w:p>
    <w:p w:rsidR="00786B3E" w:rsidRDefault="00786B3E" w:rsidP="00786B3E">
      <w:r>
        <w:t>3) en proyectos ejecutados por un beneficiario y un socio (ambos obtienen una subvención directamente de la AG o del OI):</w:t>
      </w:r>
    </w:p>
    <w:p w:rsidR="00786B3E" w:rsidRDefault="00786B3E" w:rsidP="00786B3E">
      <w:r>
        <w:lastRenderedPageBreak/>
        <w:t>— los costes relacionados con el IVA corren a cargo de un beneficiario que no puede recuperar el IVA; el IVA del beneficiario es subvencionable,</w:t>
      </w:r>
    </w:p>
    <w:p w:rsidR="00786B3E" w:rsidRDefault="00786B3E" w:rsidP="00786B3E">
      <w:r>
        <w:t>— los costes relacionados con el IVA son soportados por un socio, que puede recuperar el IVA; el IVA de los socios no es subvencionable.</w:t>
      </w:r>
    </w:p>
    <w:p w:rsidR="00786B3E" w:rsidRDefault="00786B3E" w:rsidP="00786B3E">
      <w:r>
        <w:t>4) en el proyecto marco en el que el beneficiario cascada más la subvención a otras entidades (por ejemplo, bonos de eficiencia energética) evaluamos la posibilidad de recuperar el IVA con respecto a estas entidades que obtienen una subvención del beneficiario, es decir, si el coste relacionado con el IVA es soportado por una entidad que puede recuperar el IVA, el importe del IVA no es subvencionable, pero si el coste relacionado con el IVA es soportado por una entidad que no puede recuperar el IVA, el importe del IVA es subvencionable.</w:t>
      </w:r>
    </w:p>
    <w:p w:rsidR="00786B3E" w:rsidRDefault="00786B3E" w:rsidP="00786B3E"/>
    <w:p w:rsidR="00786B3E" w:rsidRDefault="00786B3E" w:rsidP="00786B3E">
      <w:pPr>
        <w:pStyle w:val="P68B1DB1-Normal1"/>
      </w:pPr>
      <w:r>
        <w:t>Respuesta.</w:t>
      </w:r>
    </w:p>
    <w:p w:rsidR="00786B3E" w:rsidRDefault="00786B3E" w:rsidP="00786B3E">
      <w:r>
        <w:t>De conformidad con el artículo 64, apartado 1, letra c), inciso ii), del Reglamento (CE) no 2021/1060, en el caso de las operaciones cuyo coste total sea como mínimo de 5 000 000 EUR (IVA incluido), el IVA no será subvencionable, excepto cuando no sea recuperable con arreglo a la legislación nacional en materia de IVA.</w:t>
      </w:r>
    </w:p>
    <w:p w:rsidR="00786B3E" w:rsidRDefault="00786B3E" w:rsidP="00786B3E">
      <w:r>
        <w:t>En su sentencia de 22 de junio de 2 022 en el asunto T-357/19, Italia/Comisión (en lo sucesivo, «sentencia»), el Tribunal General interpretó el artículo 69, apartado 3, letra c), del Reglamento 1303/2013, que establece que el IVA «no será subvencionable salvo cuando no sea recuperable con arreglo a la legislación nacional en materia de IVA». El impacto de esta sentencia en la política de cohesión se analizó y comunicó a los Estados miembros en una carta de 16/12/2022.</w:t>
      </w:r>
    </w:p>
    <w:p w:rsidR="00786B3E" w:rsidRDefault="00786B3E" w:rsidP="00786B3E">
      <w:r>
        <w:t>Aunque las presentes cuestiones se refieren al período 2021-2027 y la sentencia se refiere al período 2014-2020, las operaciones ejecutadas con arreglo al marco jurídico 2021-2027, con un coste total de al menos 5 000 000 EUR (IVA incluido), están sujetas a las mismas normas de subvencionabilidad del IVA que las aplicables al período 2014-2020.</w:t>
      </w:r>
    </w:p>
    <w:p w:rsidR="00786B3E" w:rsidRDefault="0001326E" w:rsidP="00786B3E">
      <w:r>
        <w:t xml:space="preserve">Por lo </w:t>
      </w:r>
      <w:r w:rsidR="00786B3E">
        <w:rPr>
          <w:b/>
        </w:rPr>
        <w:t>que se refiere a las preguntas 1 y 2,</w:t>
      </w:r>
      <w:r w:rsidR="00786B3E">
        <w:t xml:space="preserve"> entendemos que la ejecución se realiza únicamente a nivel del beneficiario, en lugar de cuando una parte de la subvención se paga a un socio (en la pregunta 3) o cuando los fondos son gestionados en cascada por el beneficiario al beneficiario (en la pregunta 4).</w:t>
      </w:r>
    </w:p>
    <w:p w:rsidR="00786B3E" w:rsidRDefault="00786B3E" w:rsidP="00786B3E">
      <w:r>
        <w:t>A este respecto, el Tribunal General precisó en los apartados 66, 67, 69, 70 y 118 de la sentencia que, en proyectos como los contemplados en la sentencia, debe evaluarse si el beneficiario (con independencia de que el beneficiario tenga una empresa interna o una empresa externa) es un sujeto pasivo y si puede recuperar el IVA con arreglo a la legislación nacional en materia de IVA (es decir, mediante la deducción del IVA o por otros medios con arreglo a la legislación nacional en materia de IVA). En particular, el Tribunal General determinó que, en ese asunto, el beneficiario no podía recuperar el IVA porque no era un sujeto pasivo a efectos de la explotación del proyecto (véanse los apartados 107 y 108 de la sentencia). Por lo tanto, en caso de que el beneficiario no pueda recuperar el IVA, el IVA en un proyecto del FEDER, con un coste total de al menos 5 000 000 EUR, sería subvencionable.</w:t>
      </w:r>
    </w:p>
    <w:p w:rsidR="00786B3E" w:rsidRDefault="00786B3E" w:rsidP="00786B3E">
      <w:r>
        <w:lastRenderedPageBreak/>
        <w:t> </w:t>
      </w:r>
      <w:r w:rsidR="0001326E">
        <w:t xml:space="preserve">Por lo </w:t>
      </w:r>
      <w:r>
        <w:rPr>
          <w:b/>
        </w:rPr>
        <w:t>que se refiere a la pregunta 3</w:t>
      </w:r>
      <w:r>
        <w:t>, cuando en una operación parte de la subvención sea pagada por la AG/OI al socio (como parece ser el caso según la pregunta) para ejecutar la operación, la evaluación de la recuperabilidad del IVA deberá realizarse tanto para el beneficiario como para el socio. Si el socio puede recuperar el IVA, el IVA soportado no sería subvencionable.</w:t>
      </w:r>
    </w:p>
    <w:p w:rsidR="00786B3E" w:rsidRDefault="00786B3E" w:rsidP="00786B3E"/>
    <w:p w:rsidR="00786B3E" w:rsidRDefault="00786B3E" w:rsidP="00786B3E">
      <w:r>
        <w:rPr>
          <w:b/>
        </w:rPr>
        <w:t>Por lo que se refiere a la pregunta 4</w:t>
      </w:r>
      <w:r>
        <w:t>, procede señalar, en primer lugar, que la sentencia antes citada no se refería a los denominados «proyectos paraguas». Los «proyectos paraguas» implican intrínsecamente a un beneficiario que recibe una subvención y utiliza en cascada todo el apoyo a diversas entidades que ejecutan el proyecto. Por lo tanto, en los «proyectos marco», la evaluación de la recuperabilidad del IVA tendría que llevarse a cabo a nivel de los beneficiarios, según lo indicado por el Estado miembro en cuestión 4.</w:t>
      </w:r>
    </w:p>
    <w:p w:rsidR="00786B3E" w:rsidRDefault="00786B3E" w:rsidP="00786B3E">
      <w:r>
        <w:t>Si en un «proyecto marco» no toda la ayuda se concede en cascada a otras entidades, sino que parte es ejecutada por el beneficiario, la evaluación de la recuperabilidad del IVA también debe realizarse tanto a nivel del beneficiario como de los beneficiarios.</w:t>
      </w:r>
    </w:p>
    <w:p w:rsidR="00786B3E" w:rsidRDefault="00786B3E" w:rsidP="00786B3E">
      <w:r>
        <w:t>El umbral de 5 millones de euros debe aplicarse al coste total de la operación.</w:t>
      </w:r>
    </w:p>
    <w:p w:rsidR="00786B3E" w:rsidRDefault="00786B3E" w:rsidP="00786B3E"/>
    <w:p w:rsidR="00786B3E" w:rsidRDefault="00786B3E" w:rsidP="00786B3E"/>
    <w:p w:rsidR="00786B3E" w:rsidRDefault="00786B3E" w:rsidP="00786B3E">
      <w:pPr>
        <w:pStyle w:val="Ttulo1"/>
      </w:pPr>
      <w:bookmarkStart w:id="692" w:name="scroll-bookmark-796"/>
      <w:bookmarkStart w:id="693" w:name="scroll-bookmark-797"/>
      <w:bookmarkEnd w:id="692"/>
      <w:r>
        <w:t>QA00286 — Aplicabilidad del artículo 22, apartado 1, párrafo segundo, de la CTE en caso de participación en conferencias fuera de la zona del programa</w:t>
      </w:r>
      <w:bookmarkEnd w:id="693"/>
    </w:p>
    <w:p w:rsidR="00786B3E" w:rsidRDefault="00786B3E" w:rsidP="00786B3E">
      <w:r>
        <w:rPr>
          <w:noProof/>
          <w:lang w:val="es-ES"/>
        </w:rPr>
        <w:drawing>
          <wp:inline distT="0" distB="0" distL="0" distR="0" wp14:anchorId="51A835A3" wp14:editId="3D1E9C0F">
            <wp:extent cx="152435" cy="152435"/>
            <wp:effectExtent l="0" t="0" r="0" b="0"/>
            <wp:docPr id="101391" name="Imagen 1013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22 del Reglamento Interreg</w:t>
      </w:r>
    </w:p>
    <w:p w:rsidR="00786B3E" w:rsidRDefault="00786B3E" w:rsidP="00786B3E">
      <w:r>
        <w:t>Artículo 37 del Reglamento Interreg</w:t>
      </w:r>
    </w:p>
    <w:p w:rsidR="00786B3E" w:rsidRDefault="00786B3E" w:rsidP="00786B3E">
      <w:r>
        <w:rPr>
          <w:noProof/>
          <w:lang w:val="es-ES"/>
        </w:rPr>
        <w:drawing>
          <wp:inline distT="0" distB="0" distL="0" distR="0" wp14:anchorId="5A55D03A" wp14:editId="292226AD">
            <wp:extent cx="152435" cy="152435"/>
            <wp:effectExtent l="0" t="0" r="0" b="0"/>
            <wp:docPr id="101393" name="Imagen 1013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El comité de seguimiento del programa Polonia/Alemania (Sajonia) seleccionó el 17 de octubre de 2023 un proyecto con el objetivo de apoyar una mejor gobernanza de la cooperación mediante el intercambio de mejores prácticas en el ámbito de la transición energética. Uno de los paquetes de trabajo incluye la participación en conferencias internacionales y científicas fuera de la zona del programa para presentar los resultados del trabajo a un público más amplio. La parte del paquete de trabajo representa solo aproximadamente el 5 % del presupuesto del proyecto y la participación en conferencias es un gasto marginal.</w:t>
      </w:r>
    </w:p>
    <w:p w:rsidR="00786B3E" w:rsidRDefault="00786B3E" w:rsidP="00786B3E">
      <w:r>
        <w:lastRenderedPageBreak/>
        <w:t xml:space="preserve">La autoridad de gestión se ha dirigido a la Comisión Europea en relación con la aplicabilidad de las disposiciones establecidas en el artículo 22, apartado 1, párrafo segundo, del Reglamento de la CTE en este caso: </w:t>
      </w:r>
      <w:r>
        <w:rPr>
          <w:i/>
        </w:rPr>
        <w:t>«Cuando la totalidad o parte de una operación se ejecute fuera de la zona del programa dentro o fuera de la Unión, la selección de dicha operación requerirá la aprobación explícita de la autoridad de gestión en el comité de seguimiento o, en su caso, en el comité director»</w:t>
      </w:r>
      <w:r>
        <w:t>. Según la autoridad de gestión, la participación en conferencias en las que el beneficiario no sea el organizador y no lleve a cabo formación no puede considerarse «la totalidad o parte de una operación ejecutada fuera de la zona del programa». Además, la autoridad de gestión señala que debe distinguirse entre, por una parte, las «infraestructuras y equipos» que podrían dejar un «rastro permanente» fuera de la zona del programa y las «actividades blandas», como las conferencias, por otra, que no tienen tal efecto.</w:t>
      </w:r>
    </w:p>
    <w:p w:rsidR="00786B3E" w:rsidRDefault="00786B3E" w:rsidP="00786B3E">
      <w:pPr>
        <w:numPr>
          <w:ilvl w:val="0"/>
          <w:numId w:val="278"/>
        </w:numPr>
      </w:pPr>
      <w:r>
        <w:t xml:space="preserve">¿Podemos confirmar la evaluación de la autoridad de gestión de que, en el caso de un proyecto que prevé la participación de conferencias fuera de la zona del </w:t>
      </w:r>
      <w:proofErr w:type="gramStart"/>
      <w:r>
        <w:t>programa</w:t>
      </w:r>
      <w:proofErr w:type="gramEnd"/>
      <w:r>
        <w:t xml:space="preserve"> pero no organizadas por el beneficiario del proyecto, no es necesaria la aprobación explícita por parte de la autoridad de gestión en el comité de seguimiento?</w:t>
      </w:r>
    </w:p>
    <w:p w:rsidR="00786B3E" w:rsidRDefault="00786B3E" w:rsidP="00786B3E">
      <w:pPr>
        <w:numPr>
          <w:ilvl w:val="0"/>
          <w:numId w:val="278"/>
        </w:numPr>
      </w:pPr>
      <w:r>
        <w:t>¿Hay que distinguir entre medidas «duras» y «blandas» para la aplicabilidad del artículo 22, apartado 1, párrafo segundo, del Reglamento de la CTE?</w:t>
      </w:r>
    </w:p>
    <w:p w:rsidR="00786B3E" w:rsidRDefault="00786B3E" w:rsidP="00786B3E">
      <w:r>
        <w:t>Como nota informativa, la autoridad de gestión se abstuvo durante la votación en el comité de seguimiento probablemente debido a algunas deficiencias destacadas en el cuadro de evaluación.</w:t>
      </w:r>
    </w:p>
    <w:p w:rsidR="00786B3E" w:rsidRDefault="00786B3E" w:rsidP="00786B3E"/>
    <w:p w:rsidR="00786B3E" w:rsidRDefault="00786B3E" w:rsidP="00786B3E">
      <w:pPr>
        <w:pStyle w:val="P68B1DB1-Normal1"/>
      </w:pPr>
      <w:r>
        <w:t>Respuesta.</w:t>
      </w:r>
    </w:p>
    <w:p w:rsidR="00786B3E" w:rsidRDefault="00786B3E" w:rsidP="00786B3E">
      <w:r>
        <w:t>De conformidad con el artículo 37, apartado 1, del Reglamento Interreg</w:t>
      </w:r>
      <w:r>
        <w:rPr>
          <w:i/>
        </w:rPr>
        <w:t>, la totalidad o parte de una operación Interreg puede ejecutarse fuera de un Estado miembro, incluso fuera de la Unión, siempre que la operación Interreg contribuya a los objetivos del programa</w:t>
      </w:r>
      <w:r>
        <w:t xml:space="preserve"> Interreg correspondiente.</w:t>
      </w:r>
    </w:p>
    <w:p w:rsidR="00786B3E" w:rsidRDefault="00786B3E" w:rsidP="00786B3E">
      <w:r>
        <w:t xml:space="preserve">De conformidad con el artículo 22, apartado 1, párrafo tercero, del Reglamento </w:t>
      </w:r>
      <w:r>
        <w:rPr>
          <w:i/>
        </w:rPr>
        <w:t>Interreg, cuando la totalidad o parte de una operación se ejecute fuera de la zona del programa dentro o fuera de la Unión, la selección de dicha operación requerirá la aprobación explícita de la autoridad de gestión en el comité de seguimiento o, en su caso, en el</w:t>
      </w:r>
      <w:r>
        <w:t xml:space="preserve"> comité director. Sobre la base de lo anterior, en caso de que parte de la operación se ejecute fuera de la zona del programa de</w:t>
      </w:r>
      <w:r>
        <w:rPr>
          <w:i/>
        </w:rPr>
        <w:t xml:space="preserve"> </w:t>
      </w:r>
      <w:r>
        <w:t>conformidad con los objetivos del programa Interreg correspondiente, es necesaria la aprobación explícita de la autoridad de gestión para que el comité de seguimiento (o comité director) seleccione esta operación. El artículo 22, apartado 1, párrafo tercero, del Reglamento Interreg no distingue qué parte de la operación se ejecuta fuera de la zona del programa ni si se trata de una medida «dura» o «blanda». Del mismo modo, la disposición se aplica independientemente de la cuantía de los gastos relacionados con esa parte del proyecto.</w:t>
      </w:r>
    </w:p>
    <w:p w:rsidR="00786B3E" w:rsidRDefault="00786B3E" w:rsidP="00786B3E"/>
    <w:p w:rsidR="00786B3E" w:rsidRDefault="00786B3E" w:rsidP="00786B3E"/>
    <w:p w:rsidR="00786B3E" w:rsidRDefault="00786B3E" w:rsidP="00786B3E">
      <w:pPr>
        <w:pStyle w:val="Ttulo1"/>
      </w:pPr>
      <w:bookmarkStart w:id="694" w:name="scroll-bookmark-798"/>
      <w:bookmarkStart w:id="695" w:name="scroll-bookmark-799"/>
      <w:bookmarkEnd w:id="694"/>
      <w:r>
        <w:lastRenderedPageBreak/>
        <w:t>QA00287 — Requisitos para la adquisición de vehículos con arreglo a las normas del FEDER y del FC</w:t>
      </w:r>
      <w:bookmarkEnd w:id="695"/>
    </w:p>
    <w:p w:rsidR="00786B3E" w:rsidRDefault="00786B3E" w:rsidP="00786B3E">
      <w:r>
        <w:rPr>
          <w:noProof/>
          <w:lang w:val="es-ES"/>
        </w:rPr>
        <w:drawing>
          <wp:inline distT="0" distB="0" distL="0" distR="0" wp14:anchorId="1E327A04" wp14:editId="117FA3A7">
            <wp:extent cx="152435" cy="152435"/>
            <wp:effectExtent l="0" t="0" r="0" b="0"/>
            <wp:docPr id="101395" name="Imagen 1013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del Reglamento FEDER</w:t>
      </w:r>
    </w:p>
    <w:p w:rsidR="00786B3E" w:rsidRDefault="00786B3E" w:rsidP="00786B3E">
      <w:r>
        <w:rPr>
          <w:noProof/>
          <w:lang w:val="es-ES"/>
        </w:rPr>
        <w:drawing>
          <wp:inline distT="0" distB="0" distL="0" distR="0" wp14:anchorId="68B5F9FC" wp14:editId="28441ADB">
            <wp:extent cx="152435" cy="152435"/>
            <wp:effectExtent l="0" t="0" r="0" b="0"/>
            <wp:docPr id="101397" name="Imagen 1013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t>Antecedentes:</w:t>
      </w:r>
    </w:p>
    <w:p w:rsidR="00786B3E" w:rsidRDefault="00786B3E" w:rsidP="00786B3E">
      <w:r>
        <w:t>La Autoridad Nacional de Coordinación (ANC) de CZ está preparando instrumentos financieros (principalmente préstamos y garantías preferenciales) para las autoridades de gestión. En el caso de los instrumentos financieros, se considera el apoyo a la compra de turismos, vehículos comerciales ligeros, camiones y máquinas de trabajo (maquinaria de construcción, tractores, etc.).</w:t>
      </w:r>
    </w:p>
    <w:p w:rsidR="00786B3E" w:rsidRDefault="00786B3E" w:rsidP="00786B3E">
      <w:r>
        <w:t>De este modo, la ANC desea verificar el enfoque para establecer las condiciones de financiación de las categorías de vehículos y máquinas mencionadas, de modo que todo se ajuste a las condiciones de subvencionabilidad de los gastos de conformidad con el Reglamento sobre el FEDER y el FC y, al mismo tiempo, con el principio DNSH.</w:t>
      </w:r>
    </w:p>
    <w:p w:rsidR="00786B3E" w:rsidRDefault="00786B3E" w:rsidP="00786B3E">
      <w:pPr>
        <w:pStyle w:val="P68B1DB1-Normal1"/>
      </w:pPr>
      <w:r>
        <w:t> </w:t>
      </w:r>
    </w:p>
    <w:p w:rsidR="00786B3E" w:rsidRDefault="00786B3E" w:rsidP="00786B3E">
      <w:pPr>
        <w:pStyle w:val="P68B1DB1-Normal1"/>
      </w:pPr>
      <w:r>
        <w:t>Pregunta 1 (incluidos los hechos e información pertinentes):</w:t>
      </w:r>
    </w:p>
    <w:p w:rsidR="00786B3E" w:rsidRDefault="00786B3E" w:rsidP="00786B3E">
      <w:r>
        <w:t>En el caso de los instrumentos financieros, ¿son aplicables a los gastos cuya subvencionabilidad se evalúa con arreglo a las normas del FEDER y del FC las condiciones para la adquisición de vehículos establecidas en el anexo I, puntos 6.5 y 6.6, de los criterios técnicos de control? Como alternativa, ¿es posible aplicar requisitos menos estrictos a los vehículos adquiridos, por ejemplo, ¿basta con exigir que los vehículos adquiridos cumplan las normas de emisión aplicables y, al mismo tiempo, sigan cumpliendo el principio DNSH?</w:t>
      </w:r>
    </w:p>
    <w:p w:rsidR="00786B3E" w:rsidRDefault="00786B3E" w:rsidP="00786B3E">
      <w:r>
        <w:t>¿Es posible establecer un requisito de emisiones admisibles de conformidad con el Reglamento n.º 2016/1628 para los gastos de adquisición de vehículos no de carretera, si bien puede afirmarse que esto garantizará el cumplimiento del principio DNSH?</w:t>
      </w:r>
    </w:p>
    <w:p w:rsidR="00786B3E" w:rsidRDefault="00786B3E" w:rsidP="00786B3E">
      <w:r>
        <w:t xml:space="preserve">Nos gustaría pedirle comentarios sobre cómo interpretar correctamente la redacción del artículo 7, apartado 1, letra h), del Reglamento (UE) 2021/1058 para el FEDER y el FC, que establece que </w:t>
      </w:r>
      <w:r>
        <w:rPr>
          <w:i/>
        </w:rPr>
        <w:t>las inversiones relacionadas con la producción, la transformación, el transporte, la distribución, el almacenamiento o la combustión de combustibles</w:t>
      </w:r>
      <w:r>
        <w:t xml:space="preserve"> fósiles están excluidas de la ayuda del FEDER y del FC, con algunas excepciones específicamente indicadas. ¿Se refiere el artículo 7, apartado 1, letra h), del Reglamento únicamente a i) fuentes estables de combustión de combustibles fósiles y mayores inversiones, o ii) la exclusión de la ayuda también se aplica a todos los vehículos y máquinas con motores de combustión?</w:t>
      </w:r>
    </w:p>
    <w:p w:rsidR="00786B3E" w:rsidRDefault="00786B3E" w:rsidP="00786B3E">
      <w:r>
        <w:t>Si se aplica la opción ii), ¿significa esto que todas las máquinas y vehículos (incluidos los turismos, los vehículos comerciales y los camiones, etc.) con motores de combustión están excluidos de la ayuda del FEDER y del FC?</w:t>
      </w:r>
    </w:p>
    <w:p w:rsidR="00786B3E" w:rsidRDefault="00786B3E" w:rsidP="00786B3E"/>
    <w:p w:rsidR="00786B3E" w:rsidRDefault="00786B3E" w:rsidP="00786B3E">
      <w:pPr>
        <w:pStyle w:val="P68B1DB1-Normal1"/>
      </w:pPr>
      <w:r>
        <w:lastRenderedPageBreak/>
        <w:t>Respuesta.</w:t>
      </w:r>
    </w:p>
    <w:p w:rsidR="00786B3E" w:rsidRDefault="00786B3E" w:rsidP="00786B3E">
      <w:r>
        <w:t xml:space="preserve">La forma de ayuda no afecta a las condiciones para la adquisición de vehículos. Para más información, véase </w:t>
      </w:r>
      <w:hyperlink w:anchor="scroll-bookmark-483" w:history="1">
        <w:r>
          <w:rPr>
            <w:rStyle w:val="Hipervnculo"/>
          </w:rPr>
          <w:t>QA00235</w:t>
        </w:r>
      </w:hyperlink>
      <w:r>
        <w:t>.</w:t>
      </w:r>
    </w:p>
    <w:p w:rsidR="00786B3E" w:rsidRDefault="00786B3E" w:rsidP="00786B3E">
      <w:r>
        <w:t>La exclusión de la ayuda del FEDER y del FC está regulada en el artículo 7 del Reglamento (UE) 2021/1058 sobre el FEDER y el FC (Reglamento FEDER/FC). El artículo 7 (1) (h) del Reglamento FEDER/FC excluye el apoyo a las inversiones «relacionadas con la producción, la transformación, el transporte, la distribución, el almacenamiento o la combustión de combustibles fósiles». Así pues, el apoyo a las inversiones en vehículos y maquinaria alimentados, incluso parcialmente, por la combustión de combustibles fósiles no es subvencionable.</w:t>
      </w:r>
    </w:p>
    <w:p w:rsidR="00786B3E" w:rsidRDefault="00786B3E" w:rsidP="00786B3E">
      <w:r>
        <w:t>Las únicas excepciones a la exclusión de la ayuda del FEDER y del FC de conformidad con el artículo 7, apartado 1, letra h), inciso iii), del Reglamento FEDER/FC son las inversiones en «vehículos limpios» utilizados para «fines públicos», así como en vehículos, aeronaves y buques adaptados para ser utilizados por los servicios de protección civil y de bomberos. Sin embargo, del tenor de la cuestión se desprende que los instrumentos financieros tienen por objeto apoyar la compra de turismos, vehículos comerciales ligeros, camiones y máquinas de trabajo (maquinaria de construcción, tractores, etc.) que no entran en las categorías cubiertas por la excepción prevista en el artículo 7, apartado 1, letra h), inciso iii), del Reglamento FEDER/FC.</w:t>
      </w:r>
    </w:p>
    <w:p w:rsidR="00786B3E" w:rsidRDefault="00786B3E" w:rsidP="00786B3E">
      <w:r>
        <w:t>Sobre la base de lo anterior, dado que estas inversiones para los instrumentos financieros están excluidas de la ayuda del FEDER y del FC en virtud del artículo 7 (1) (h) del Reglamento del FEDER/FC, no es necesario comprobar el cumplimiento de los criterios DNSH ni del Reglamento (UE) 2016/1628.</w:t>
      </w:r>
    </w:p>
    <w:p w:rsidR="00786B3E" w:rsidRDefault="00786B3E" w:rsidP="00786B3E"/>
    <w:p w:rsidR="00786B3E" w:rsidRDefault="00786B3E" w:rsidP="00786B3E"/>
    <w:p w:rsidR="00786B3E" w:rsidRDefault="00786B3E" w:rsidP="00786B3E">
      <w:pPr>
        <w:pStyle w:val="Ttulo1"/>
      </w:pPr>
      <w:bookmarkStart w:id="696" w:name="scroll-bookmark-800"/>
      <w:bookmarkStart w:id="697" w:name="scroll-bookmark-801"/>
      <w:bookmarkEnd w:id="696"/>
      <w:r>
        <w:t>QA00288 — Durabilidad del equipo</w:t>
      </w:r>
      <w:bookmarkEnd w:id="697"/>
    </w:p>
    <w:p w:rsidR="00786B3E" w:rsidRDefault="00786B3E" w:rsidP="00786B3E">
      <w:r>
        <w:rPr>
          <w:noProof/>
          <w:lang w:val="es-ES"/>
        </w:rPr>
        <w:drawing>
          <wp:inline distT="0" distB="0" distL="0" distR="0" wp14:anchorId="57C70306" wp14:editId="08CBD141">
            <wp:extent cx="152435" cy="152435"/>
            <wp:effectExtent l="0" t="0" r="0" b="0"/>
            <wp:docPr id="101399" name="Imagen 1013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65 del RDC</w:t>
      </w:r>
    </w:p>
    <w:p w:rsidR="00786B3E" w:rsidRDefault="00786B3E" w:rsidP="00786B3E">
      <w:r>
        <w:rPr>
          <w:noProof/>
          <w:lang w:val="es-ES"/>
        </w:rPr>
        <w:drawing>
          <wp:inline distT="0" distB="0" distL="0" distR="0" wp14:anchorId="0E275673" wp14:editId="162C3739">
            <wp:extent cx="152435" cy="152435"/>
            <wp:effectExtent l="0" t="0" r="0" b="0"/>
            <wp:docPr id="101401" name="Imagen 1014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¿Se aplica el artículo 65 a las operaciones que no incluyan inversiones en infraestructuras ni inversiones productivas? (aplicamos la definición de infraestructura facilitada por la Comisión en el marco de las aclaraciones de la IIRC Plus y la definición de inversión en producción incluida en el considerando (38) del Reglamento (UE) 2021/1058).</w:t>
      </w:r>
    </w:p>
    <w:p w:rsidR="00786B3E" w:rsidRDefault="00786B3E" w:rsidP="00786B3E">
      <w:pPr>
        <w:pStyle w:val="P68B1DB1-Normal4"/>
      </w:pPr>
      <w:r>
        <w:t>Durabilidad de las operaciones relacionadas con la COVID-19 (por ejemplo, EPI, equipos médicos):</w:t>
      </w:r>
    </w:p>
    <w:p w:rsidR="00786B3E" w:rsidRDefault="00786B3E" w:rsidP="00786B3E">
      <w:pPr>
        <w:pStyle w:val="P68B1DB1-Normal4"/>
      </w:pPr>
      <w:r>
        <w:lastRenderedPageBreak/>
        <w:t>Por lo que se refiere a las inversiones en infraestructuras, abarca un bien corporal de carácter permanente que cumple las siguientes condiciones:</w:t>
      </w:r>
    </w:p>
    <w:p w:rsidR="00786B3E" w:rsidRDefault="00786B3E" w:rsidP="00786B3E">
      <w:pPr>
        <w:pStyle w:val="P68B1DB1-Normal4"/>
        <w:numPr>
          <w:ilvl w:val="0"/>
          <w:numId w:val="279"/>
        </w:numPr>
      </w:pPr>
      <w:r>
        <w:t>Tiene un carácter inmóvil (está fijado de forma permanente al suelo o a una propiedad que está permanentemente unida al suelo y, en este caso, pierde su identidad a través de la incorporación y pasa a formar parte de la propiedad inmóvil a la que está sujeta).</w:t>
      </w:r>
    </w:p>
    <w:p w:rsidR="00786B3E" w:rsidRDefault="00786B3E" w:rsidP="00786B3E">
      <w:pPr>
        <w:pStyle w:val="P68B1DB1-Normal4"/>
        <w:numPr>
          <w:ilvl w:val="0"/>
          <w:numId w:val="279"/>
        </w:numPr>
      </w:pPr>
      <w:r>
        <w:t>En condiciones normales de uso, incluido un cuidado y un mantenimiento razonables, tiene un período de vida ilimitado.</w:t>
      </w:r>
    </w:p>
    <w:p w:rsidR="00786B3E" w:rsidRDefault="00786B3E" w:rsidP="00786B3E">
      <w:pPr>
        <w:pStyle w:val="P68B1DB1-Normal4"/>
        <w:numPr>
          <w:ilvl w:val="0"/>
          <w:numId w:val="279"/>
        </w:numPr>
      </w:pPr>
      <w:r>
        <w:t>Conserva su forma y aspecto originales con su uso.</w:t>
      </w:r>
    </w:p>
    <w:p w:rsidR="00786B3E" w:rsidRDefault="00786B3E" w:rsidP="00786B3E">
      <w:pPr>
        <w:pStyle w:val="P68B1DB1-Normal4"/>
      </w:pPr>
      <w:r>
        <w:t>Concepto de inversión productiva:</w:t>
      </w:r>
    </w:p>
    <w:p w:rsidR="00786B3E" w:rsidRDefault="00786B3E" w:rsidP="00786B3E">
      <w:pPr>
        <w:pStyle w:val="P68B1DB1-Normal4"/>
      </w:pPr>
      <w:r>
        <w:t>El considerando (38) del Reglamento FEDER/FC explica cómo deben entenderse las inversiones productivas, utilizando una formulación que siempre ha sido aplicada por la Comisión en su interpretación y orientación, es decir: «inversión en capital fijo o en activos inmateriales con el fin de producir bienes y servicios y contribuir así a la formación bruta de capital y al empleo».</w:t>
      </w:r>
    </w:p>
    <w:p w:rsidR="00786B3E" w:rsidRDefault="00786B3E" w:rsidP="00786B3E">
      <w:r>
        <w:t>Pregunta 2:</w:t>
      </w:r>
    </w:p>
    <w:p w:rsidR="00786B3E" w:rsidRDefault="00786B3E" w:rsidP="00786B3E">
      <w:r>
        <w:t>¿Se aplican las disposiciones sobre durabilidad, de conformidad con el artículo 65 del RDC, en caso de operaciones siguientes?</w:t>
      </w:r>
    </w:p>
    <w:p w:rsidR="00786B3E" w:rsidRDefault="00786B3E" w:rsidP="00786B3E">
      <w:pPr>
        <w:numPr>
          <w:ilvl w:val="0"/>
          <w:numId w:val="280"/>
        </w:numPr>
      </w:pPr>
      <w:r>
        <w:t>operación consistente en la compra de ordenadores portátiles para escuelas públicas</w:t>
      </w:r>
    </w:p>
    <w:p w:rsidR="00786B3E" w:rsidRDefault="00786B3E" w:rsidP="00786B3E">
      <w:pPr>
        <w:numPr>
          <w:ilvl w:val="0"/>
          <w:numId w:val="280"/>
        </w:numPr>
      </w:pPr>
      <w:r>
        <w:t>operación consistente en la adquisición de equipos informáticos para entidades de la administración pública que ejercen el poder público o ejecutan funciones públicas.</w:t>
      </w:r>
    </w:p>
    <w:p w:rsidR="00786B3E" w:rsidRDefault="00786B3E" w:rsidP="00786B3E">
      <w:pPr>
        <w:numPr>
          <w:ilvl w:val="0"/>
          <w:numId w:val="280"/>
        </w:numPr>
      </w:pPr>
      <w:r>
        <w:t>una operación destinada a adaptar los hogares a las personas necesitadas (por ejemplo, personas mayores), sin incluir obras de construcción (= no infraestructuras), sino únicamente la adquisición de algunos equipos y dispositivos que faciliten el funcionamiento de las personas mayores o con discapacidad.</w:t>
      </w:r>
    </w:p>
    <w:p w:rsidR="00786B3E" w:rsidRDefault="00786B3E" w:rsidP="00786B3E">
      <w:r>
        <w:t>Pregunta 3:</w:t>
      </w:r>
    </w:p>
    <w:p w:rsidR="00786B3E" w:rsidRDefault="00786B3E" w:rsidP="00786B3E">
      <w:proofErr w:type="gramStart"/>
      <w:r>
        <w:t>¿Se aplica el examen de la obtención de una ventaja indebida [artículo 65.</w:t>
      </w:r>
      <w:proofErr w:type="gramEnd"/>
      <w:r>
        <w:t>1, letra b)] únicamente a operaciones que incluyan inversiones en infraestructuras o también a operaciones que incluyan inversiones productivas?</w:t>
      </w:r>
    </w:p>
    <w:p w:rsidR="00786B3E" w:rsidRDefault="00786B3E" w:rsidP="00786B3E">
      <w:pPr>
        <w:pStyle w:val="P68B1DB1-Normal1"/>
      </w:pPr>
      <w:r>
        <w:t>Respuestas:</w:t>
      </w:r>
    </w:p>
    <w:p w:rsidR="00786B3E" w:rsidRDefault="00786B3E" w:rsidP="00786B3E">
      <w:r>
        <w:t>Respuesta 1: El artículo 65 del RDC solo se aplica a las operaciones que incluyen inversiones en infraestructuras o inversiones productivas.</w:t>
      </w:r>
    </w:p>
    <w:p w:rsidR="00786B3E" w:rsidRDefault="00786B3E" w:rsidP="00786B3E">
      <w:r>
        <w:t>Respuesta 2: Los ejemplos presentados no constituyen inversiones en infraestructuras o inversiones productivas.</w:t>
      </w:r>
    </w:p>
    <w:p w:rsidR="00786B3E" w:rsidRDefault="00786B3E" w:rsidP="00786B3E">
      <w:r>
        <w:t>Respuesta 3: La obligación de examinar la posible ventaja indebida obtenida en caso de cambio en la propiedad de una infraestructura se aplica tanto a las operaciones que incluyen inversiones en infraestructuras como a las inversiones productivas que incluyen elementos de infraestructura.</w:t>
      </w:r>
    </w:p>
    <w:p w:rsidR="00786B3E" w:rsidRDefault="00786B3E" w:rsidP="00786B3E"/>
    <w:p w:rsidR="00786B3E" w:rsidRDefault="00786B3E" w:rsidP="00786B3E"/>
    <w:p w:rsidR="00786B3E" w:rsidRDefault="00786B3E" w:rsidP="00786B3E"/>
    <w:p w:rsidR="00786B3E" w:rsidRDefault="00786B3E" w:rsidP="00786B3E">
      <w:pPr>
        <w:pStyle w:val="Ttulo1"/>
      </w:pPr>
      <w:bookmarkStart w:id="698" w:name="scroll-bookmark-802"/>
      <w:bookmarkStart w:id="699" w:name="scroll-bookmark-803"/>
      <w:bookmarkEnd w:id="698"/>
      <w:r>
        <w:t>A00290 — Actividades excluidas en virtud del artículo 7 del Reglamento (UE) 2021/1058</w:t>
      </w:r>
      <w:bookmarkEnd w:id="699"/>
    </w:p>
    <w:p w:rsidR="00786B3E" w:rsidRDefault="00786B3E" w:rsidP="00786B3E">
      <w:r>
        <w:rPr>
          <w:noProof/>
          <w:lang w:val="es-ES"/>
        </w:rPr>
        <w:drawing>
          <wp:inline distT="0" distB="0" distL="0" distR="0" wp14:anchorId="394F3716" wp14:editId="2F01155E">
            <wp:extent cx="152435" cy="152435"/>
            <wp:effectExtent l="0" t="0" r="0" b="0"/>
            <wp:docPr id="101403" name="Imagen 1014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 7 FEDER</w:t>
      </w:r>
    </w:p>
    <w:p w:rsidR="00786B3E" w:rsidRDefault="00786B3E" w:rsidP="00786B3E">
      <w:r>
        <w:rPr>
          <w:noProof/>
          <w:lang w:val="es-ES"/>
        </w:rPr>
        <w:drawing>
          <wp:inline distT="0" distB="0" distL="0" distR="0" wp14:anchorId="579D90D6" wp14:editId="52CA4BD7">
            <wp:extent cx="152435" cy="152435"/>
            <wp:effectExtent l="0" t="0" r="0" b="0"/>
            <wp:docPr id="101405" name="Imagen 1014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AG quiere publicar una convocatoria fotovoltaica, pero no está claro cómo aplicar las disposiciones del artículo 7, apartado 1, del Reglamento (UE) 2021/1058, con referencia a las letras b), c), f) y h).</w:t>
      </w:r>
    </w:p>
    <w:p w:rsidR="00786B3E" w:rsidRDefault="00786B3E" w:rsidP="00786B3E">
      <w:r>
        <w:t> El objetivo de la convocatoria es promover las energías renovables de conformidad con la Directiva (UE) 2018/2001, incluidos los criterios de sostenibilidad establecidos en ella:</w:t>
      </w:r>
    </w:p>
    <w:p w:rsidR="00786B3E" w:rsidRDefault="00786B3E" w:rsidP="00786B3E">
      <w:r>
        <w:t>La cuestión es si las empresas que se presentan a continuación pueden participar en dicha convocatoria:</w:t>
      </w:r>
    </w:p>
    <w:p w:rsidR="00786B3E" w:rsidRDefault="00786B3E" w:rsidP="00786B3E">
      <w:pPr>
        <w:numPr>
          <w:ilvl w:val="0"/>
          <w:numId w:val="281"/>
        </w:numPr>
      </w:pPr>
      <w:r>
        <w:t>Empresas cuyas actividades figuran en el anexo I de la Directiva 2003/87/CE: ¿se aplica la exclusión en general a todas las empresas cuyas actividades figuran en el anexo I o se aplica a las que reciben (o recibieron) derechos de emisión del RCDE con el fin de reducir sus emisiones?</w:t>
      </w:r>
    </w:p>
    <w:p w:rsidR="00786B3E" w:rsidRDefault="00786B3E" w:rsidP="00786B3E">
      <w:pPr>
        <w:numPr>
          <w:ilvl w:val="0"/>
          <w:numId w:val="281"/>
        </w:numPr>
      </w:pPr>
      <w:proofErr w:type="gramStart"/>
      <w:r>
        <w:t xml:space="preserve">Las empresas (o los supermercados) que, entre sus diversas actividades, también tienen la comercialización de productos del tabaco, pero de hecho no llevan a cabo tal actividad, </w:t>
      </w:r>
      <w:r w:rsidR="002F3719">
        <w:t xml:space="preserve">ya que, </w:t>
      </w:r>
      <w:r>
        <w:t>no están autorizadas?</w:t>
      </w:r>
      <w:proofErr w:type="gramEnd"/>
    </w:p>
    <w:p w:rsidR="00786B3E" w:rsidRDefault="00786B3E" w:rsidP="00786B3E">
      <w:pPr>
        <w:numPr>
          <w:ilvl w:val="0"/>
          <w:numId w:val="281"/>
        </w:numPr>
      </w:pPr>
      <w:r>
        <w:t xml:space="preserve">Empresas que se ocupan de actividades de eliminación de residuos en vertederos: la convocatoria fotovoltaica no incentiva las inversiones en instalaciones de vertederos, sino que genera energía verde para la </w:t>
      </w:r>
      <w:proofErr w:type="spellStart"/>
      <w:r>
        <w:t>autoelectricidad</w:t>
      </w:r>
      <w:proofErr w:type="spellEnd"/>
      <w:r>
        <w:t>.</w:t>
      </w:r>
    </w:p>
    <w:p w:rsidR="00786B3E" w:rsidRDefault="00786B3E" w:rsidP="00786B3E">
      <w:pPr>
        <w:numPr>
          <w:ilvl w:val="0"/>
          <w:numId w:val="281"/>
        </w:numPr>
      </w:pPr>
      <w:r>
        <w:t>¿Deben excluirse las empresas que se ocupan de la distribución, el almacenamiento o la combustión de combustibles fósiles (por ejemplo, distribuidores de benceno)? La convocatoria fotovoltaica no se refiere a la compra o modernización de plantas de producción o transformación de combustibles fósiles (como la expansión de los distribuidores de combustible), sino a la producción de energía verde.</w:t>
      </w:r>
    </w:p>
    <w:p w:rsidR="00786B3E" w:rsidRDefault="00786B3E" w:rsidP="00786B3E"/>
    <w:p w:rsidR="00786B3E" w:rsidRDefault="00786B3E" w:rsidP="00786B3E">
      <w:pPr>
        <w:pStyle w:val="P68B1DB1-Normal4"/>
      </w:pPr>
      <w:r>
        <w:t> </w:t>
      </w:r>
    </w:p>
    <w:p w:rsidR="00786B3E" w:rsidRDefault="00786B3E" w:rsidP="00786B3E"/>
    <w:p w:rsidR="00786B3E" w:rsidRDefault="00786B3E" w:rsidP="00786B3E">
      <w:pPr>
        <w:pStyle w:val="P68B1DB1-Normal1"/>
      </w:pPr>
      <w:r>
        <w:lastRenderedPageBreak/>
        <w:t>Respuesta.</w:t>
      </w:r>
    </w:p>
    <w:p w:rsidR="00786B3E" w:rsidRDefault="00786B3E" w:rsidP="00786B3E">
      <w:r>
        <w:t>De conformidad con el artículo 63, apartado 1, del RDC, la subvencionabilidad del gasto se determinará sobre la base de normas nacionales, excepto cuando en el presente Reglamento o en los Reglamentos específicos de cada Fondo se establezcan normas específicas. Para poder optar a la ayuda del FEDER, la inversión prevista debe entrar en el ámbito de aplicación del FEDER, tal como se establece en el artículo 5 del Reglamento FEDER/FC, y contribuir a uno de los objetivos específicos establecidos en el artículo 3 del Reglamento del FEDER/FC.</w:t>
      </w:r>
    </w:p>
    <w:p w:rsidR="00786B3E" w:rsidRDefault="00786B3E" w:rsidP="00786B3E"/>
    <w:p w:rsidR="00786B3E" w:rsidRDefault="00786B3E" w:rsidP="00786B3E">
      <w:r>
        <w:t>El artículo 7, apartado 1, del Reglamento FEDER/FC establece que el FEDER no apoyará, entre otras cosas:</w:t>
      </w:r>
    </w:p>
    <w:p w:rsidR="00786B3E" w:rsidRDefault="00786B3E" w:rsidP="00786B3E">
      <w:r>
        <w:t>b) inversiones para lograr la reducción de las emisiones de gases de efecto invernadero procedentes de las actividades enumeradas en el anexo I de la Directiva 2003/87/CE;</w:t>
      </w:r>
    </w:p>
    <w:p w:rsidR="00786B3E" w:rsidRDefault="00786B3E" w:rsidP="00786B3E">
      <w:r>
        <w:t>C) la fabricación, la transformación y la comercialización de tabaco y productos del tabaco;</w:t>
      </w:r>
    </w:p>
    <w:p w:rsidR="00786B3E" w:rsidRDefault="00786B3E" w:rsidP="00786B3E">
      <w:r>
        <w:t>f) inversiones en la eliminación de residuos en vertederos, excepto:</w:t>
      </w:r>
    </w:p>
    <w:p w:rsidR="00786B3E" w:rsidRDefault="00786B3E" w:rsidP="00786B3E">
      <w:r>
        <w:t>I) en el caso de las regiones ultraperiféricas, únicamente en casos debidamente justificados; o</w:t>
      </w:r>
    </w:p>
    <w:p w:rsidR="00786B3E" w:rsidRDefault="00786B3E" w:rsidP="00786B3E">
      <w:r>
        <w:t>II) en el caso de las inversiones para el desmantelamiento, la reconversión o la seguridad de los vertederos existentes, siempre que dichas inversiones no aumenten su capacidad;</w:t>
      </w:r>
    </w:p>
    <w:p w:rsidR="00786B3E" w:rsidRDefault="00786B3E" w:rsidP="00786B3E">
      <w:r>
        <w:t>h) inversiones relacionadas con la producción, la transformación, el transporte, la distribución, el almacenamiento o la combustión de combustibles fósiles, [...].</w:t>
      </w:r>
    </w:p>
    <w:p w:rsidR="00786B3E" w:rsidRDefault="00786B3E" w:rsidP="00786B3E"/>
    <w:p w:rsidR="00786B3E" w:rsidRDefault="00786B3E" w:rsidP="00786B3E">
      <w:pPr>
        <w:pStyle w:val="P68B1DB1-Normal6"/>
      </w:pPr>
      <w:r>
        <w:t>Pregunta 1</w:t>
      </w:r>
    </w:p>
    <w:p w:rsidR="00786B3E" w:rsidRDefault="00786B3E" w:rsidP="00786B3E">
      <w:r>
        <w:t>El considerando 41 del Reglamento FEDER/FC aclara que la exclusión prevista en el artículo 7, apartado 1, letra b), del Reglamento FEDER/FC está justificada a la luz de la necesidad de evitar la duplicación de la financiación disponible, que ya existe como parte de la Directiva 2003/87/CE.</w:t>
      </w:r>
    </w:p>
    <w:p w:rsidR="00786B3E" w:rsidRDefault="00786B3E" w:rsidP="00786B3E">
      <w:r>
        <w:t>El artículo 7, apartado 1, letra b), del Reglamento FEDER/FC prohíbe expresamente las inversiones destinadas a lograr la reducción de las emisiones de gases de efecto invernadero procedentes de las actividades enumeradas en el anexo I de la Directiva 2003/87/CE, independientemente de que hayan recibido o no derechos de emisión gratuitos del RCDE. Con ello se pretende evitar diluir los incentivos creados por la tarificación del carbono.  </w:t>
      </w:r>
    </w:p>
    <w:p w:rsidR="00786B3E" w:rsidRDefault="00786B3E" w:rsidP="00786B3E">
      <w:r>
        <w:t>Sobre la base de la información facilitada, entendemos que la inversión prevista (instalación fotovoltaica) lograría una reducción de las emisiones de gases de efecto invernadero de las actividades en cuestión, pasando de parte de su consumo eléctrico a cero emisiones de carbono. Por lo tanto, la inversión no puede optar a la ayuda del FEDER.</w:t>
      </w:r>
    </w:p>
    <w:p w:rsidR="00786B3E" w:rsidRDefault="00786B3E" w:rsidP="00786B3E"/>
    <w:p w:rsidR="00786B3E" w:rsidRDefault="00786B3E" w:rsidP="00786B3E">
      <w:pPr>
        <w:pStyle w:val="P68B1DB1-Normal6"/>
      </w:pPr>
      <w:r>
        <w:t>Pregunta 2</w:t>
      </w:r>
    </w:p>
    <w:p w:rsidR="00786B3E" w:rsidRDefault="00786B3E" w:rsidP="00786B3E">
      <w:r>
        <w:lastRenderedPageBreak/>
        <w:t>El artículo 7, apartado 1, letra c), del Reglamento FEDER/FC tiene por objeto garantizar que la ayuda con cargo al presupuesto de la UE sea coherente con el objetivo sanitario de reducir el consumo de tabaco.</w:t>
      </w:r>
    </w:p>
    <w:p w:rsidR="00786B3E" w:rsidRDefault="00786B3E" w:rsidP="00786B3E">
      <w:r>
        <w:t xml:space="preserve">El apoyo del FEDER a un bar, tienda o supermercado que, entre sus diversas actividades, también tiene la comercialización de productos del tabaco, en forma de instalación fotovoltaica, no parece constituir un apoyo a la comercialización del tabaco, </w:t>
      </w:r>
      <w:r w:rsidR="002F3719">
        <w:t xml:space="preserve">ya que, </w:t>
      </w:r>
      <w:r>
        <w:t>no promueve ni aumenta dicha actividad.</w:t>
      </w:r>
    </w:p>
    <w:p w:rsidR="00786B3E" w:rsidRDefault="00786B3E" w:rsidP="00786B3E">
      <w:r>
        <w:t>Por lo tanto, este tipo de inversión podría optar a la ayuda del FEDER con arreglo a las normas nacionales y sobre la base de una evaluación caso por caso para garantizar, entre otras cosas, que la ayuda no fomentaría la comercialización de los productos del tabaco.</w:t>
      </w:r>
    </w:p>
    <w:p w:rsidR="00786B3E" w:rsidRDefault="00786B3E" w:rsidP="00786B3E"/>
    <w:p w:rsidR="00786B3E" w:rsidRDefault="00786B3E" w:rsidP="00786B3E">
      <w:pPr>
        <w:pStyle w:val="P68B1DB1-Normal6"/>
      </w:pPr>
      <w:r>
        <w:t>Pregunta 3</w:t>
      </w:r>
    </w:p>
    <w:p w:rsidR="00786B3E" w:rsidRDefault="00786B3E" w:rsidP="00786B3E">
      <w:r>
        <w:t>El artículo 7, apartado 1, letra f), del Reglamento FEDER/FC tiene por objeto garantizar que la ayuda con cargo al presupuesto de la UE sea coherente con los objetivos medioambientales de</w:t>
      </w:r>
      <w:hyperlink w:anchor="scroll-bookmark-804" w:history="1">
        <w:r>
          <w:rPr>
            <w:rStyle w:val="Hipervnculo"/>
          </w:rPr>
          <w:t>la UE [</w:t>
        </w:r>
      </w:hyperlink>
      <w:r>
        <w:t xml:space="preserve"> 1], lo</w:t>
      </w:r>
      <w:r>
        <w:rPr>
          <w:b/>
        </w:rPr>
        <w:t xml:space="preserve"> </w:t>
      </w:r>
      <w:r>
        <w:t>que implica una disminución progresiva del porcentaje de depósito de residuos en vertederos en todos los Estados miembros.</w:t>
      </w:r>
    </w:p>
    <w:p w:rsidR="00786B3E" w:rsidRDefault="00786B3E" w:rsidP="00786B3E">
      <w:r>
        <w:t xml:space="preserve">La ayuda del FEDER a las empresas que se ocupan de actividades de eliminación de residuos en vertederos en forma de instalación fotovoltaica no parece constituir un apoyo a la eliminación de residuos en vertederos, </w:t>
      </w:r>
      <w:r w:rsidR="002F3719">
        <w:t xml:space="preserve">ya que, </w:t>
      </w:r>
      <w:r>
        <w:t>no promueve ni aumenta dicha actividad. Por lo tanto, este tipo de inversión podría optar a la ayuda del FEDER con arreglo a las normas nacionales y sobre la base de una evaluación caso por caso para garantizar, entre otras cosas, que la ayuda no respaldaría la eliminación de residuos en vertederos.</w:t>
      </w:r>
    </w:p>
    <w:p w:rsidR="00786B3E" w:rsidRDefault="00786B3E" w:rsidP="00786B3E"/>
    <w:p w:rsidR="00786B3E" w:rsidRDefault="00786B3E" w:rsidP="00786B3E">
      <w:pPr>
        <w:pStyle w:val="P68B1DB1-Normal6"/>
      </w:pPr>
      <w:r>
        <w:t>Pregunta 4</w:t>
      </w:r>
    </w:p>
    <w:p w:rsidR="00786B3E" w:rsidRDefault="00786B3E" w:rsidP="00786B3E">
      <w:r>
        <w:t>El artículo 7, apartado 1, letra h), del Reglamento FEDER/FC tiene por objeto garantizar que la ayuda con cargo al presupuesto de la UE sea coherente con los objetivos climáticos de la UE establecidos en el Pacto Verde de la UE y no dé lugar a activos obsoletos.</w:t>
      </w:r>
    </w:p>
    <w:p w:rsidR="00786B3E" w:rsidRDefault="00786B3E" w:rsidP="00786B3E">
      <w:r>
        <w:t>El apoyo del FEDER a las empresas que se ocupan de la distribución y el almacenamiento de combustibles fósiles, como las estaciones de gas, en forma de instalación fotovoltaica, no parece promover ni aumentar la distribución y el almacenamiento de combustibles fósiles. Por lo tanto, este tipo de inversión podría optar a la ayuda del FEDER con arreglo a las normas nacionales y sobre la base de una evaluación caso por caso para garantizar, entre otras cosas, que la ayuda no fomentaría ni aumentaría la distribución y el almacenamiento de combustibles fósiles.</w:t>
      </w:r>
    </w:p>
    <w:p w:rsidR="00786B3E" w:rsidRDefault="00786B3E" w:rsidP="00786B3E"/>
    <w:p w:rsidR="00786B3E" w:rsidRDefault="00786B3E" w:rsidP="00786B3E">
      <w:r>
        <w:t>TIERNA _</w:t>
      </w:r>
    </w:p>
    <w:p w:rsidR="00786B3E" w:rsidRDefault="00FC0FB1" w:rsidP="00786B3E">
      <w:hyperlink w:anchor="scroll-bookmark-805" w:history="1">
        <w:r w:rsidR="00786B3E">
          <w:rPr>
            <w:rStyle w:val="Hipervnculo"/>
          </w:rPr>
          <w:t>[1]</w:t>
        </w:r>
      </w:hyperlink>
      <w:r w:rsidR="00786B3E">
        <w:rPr>
          <w:b/>
        </w:rPr>
        <w:t xml:space="preserve"> </w:t>
      </w:r>
      <w:r w:rsidR="00786B3E">
        <w:t>Directiva (UE) 2018/850 del Parlamento Europeo y del Consejo, de 30 de mayo de 2018, por la que se modifica la Directiva 1999/31/CE relativa al vertido de residuos</w:t>
      </w:r>
    </w:p>
    <w:p w:rsidR="00786B3E" w:rsidRDefault="00786B3E" w:rsidP="00786B3E"/>
    <w:p w:rsidR="00786B3E" w:rsidRDefault="00786B3E" w:rsidP="00786B3E"/>
    <w:p w:rsidR="00786B3E" w:rsidRDefault="00786B3E" w:rsidP="00786B3E">
      <w:pPr>
        <w:pStyle w:val="Ttulo1"/>
      </w:pPr>
      <w:bookmarkStart w:id="700" w:name="scroll-bookmark-806"/>
      <w:bookmarkStart w:id="701" w:name="scroll-bookmark-807"/>
      <w:bookmarkEnd w:id="700"/>
      <w:r>
        <w:t>QA00291 — Términos de «actividad productiva», «inversión en infraestructuras e inversiones productivas» — (art. 65 (1) RDC)</w:t>
      </w:r>
      <w:bookmarkEnd w:id="701"/>
    </w:p>
    <w:p w:rsidR="00786B3E" w:rsidRDefault="00786B3E" w:rsidP="00786B3E">
      <w:r>
        <w:rPr>
          <w:noProof/>
          <w:lang w:val="es-ES"/>
        </w:rPr>
        <w:drawing>
          <wp:inline distT="0" distB="0" distL="0" distR="0" wp14:anchorId="35CC58BD" wp14:editId="7B751822">
            <wp:extent cx="152435" cy="152435"/>
            <wp:effectExtent l="0" t="0" r="0" b="0"/>
            <wp:docPr id="101407" name="Imagen 1014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65 (1) del RDC</w:t>
      </w:r>
    </w:p>
    <w:p w:rsidR="00786B3E" w:rsidRDefault="00786B3E" w:rsidP="00786B3E">
      <w:r>
        <w:t>Considerando 38 del Reglamento (UE) 2021/1058 (Reglamento FEDER)</w:t>
      </w:r>
    </w:p>
    <w:p w:rsidR="00786B3E" w:rsidRDefault="00786B3E" w:rsidP="00786B3E">
      <w:r>
        <w:rPr>
          <w:noProof/>
          <w:lang w:val="es-ES"/>
        </w:rPr>
        <w:drawing>
          <wp:inline distT="0" distB="0" distL="0" distR="0" wp14:anchorId="562BC982" wp14:editId="68DE757D">
            <wp:extent cx="152435" cy="152435"/>
            <wp:effectExtent l="0" t="0" r="0" b="0"/>
            <wp:docPr id="101409" name="Imagen 1014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pStyle w:val="P68B1DB1-Normal1"/>
      </w:pPr>
      <w:r>
        <w:rPr>
          <w:u w:val="single"/>
        </w:rPr>
        <w:t>Pregunta 1 (Art. 65 (1) RDC — interpretación del término «actividad productiva», «inversión en infraestructuras e inversiones productivas»)</w:t>
      </w:r>
      <w:r>
        <w:t>:</w:t>
      </w:r>
    </w:p>
    <w:p w:rsidR="00786B3E" w:rsidRDefault="00786B3E" w:rsidP="00786B3E">
      <w:r>
        <w:t>En primer lugar, nos gustaría plantear cuestiones relativas a la interpretación del término «actividad productiva» utilizado en el artículo 65, apartado 1, letra a), del RDC: «el cese o la transferencia de una actividad productiva fuera de la región de nivel NUTS 2 en la que haya recibido ayuda».</w:t>
      </w:r>
    </w:p>
    <w:p w:rsidR="00786B3E" w:rsidRDefault="00786B3E" w:rsidP="00786B3E"/>
    <w:p w:rsidR="00786B3E" w:rsidRDefault="00786B3E" w:rsidP="00786B3E">
      <w:proofErr w:type="spellStart"/>
      <w:r>
        <w:t>Subpregunta</w:t>
      </w:r>
      <w:proofErr w:type="spellEnd"/>
      <w:r>
        <w:t xml:space="preserve"> 1:</w:t>
      </w:r>
    </w:p>
    <w:p w:rsidR="00786B3E" w:rsidRDefault="00786B3E" w:rsidP="00786B3E">
      <w:r>
        <w:t>¿Podemos interpretar el término «actividad productiva» utilizado en el artículo 65, apartado 1, letra a), del RDC del mismo modo que el término «inversión productiva» utilizado en el considerando 38 del Reglamento del FEDER, es decir</w:t>
      </w:r>
      <w:hyperlink r:id="rId530" w:history="1">
        <w:r>
          <w:rPr>
            <w:rStyle w:val="Hipervnculo"/>
          </w:rPr>
          <w:t>,</w:t>
        </w:r>
      </w:hyperlink>
      <w:r>
        <w:t xml:space="preserve"> como la inversión en capital fijo o en activos inmateriales de las empresas, con el fin de producir bienes y servicios y contribuir así a la formación bruta de capital y al empleo?</w:t>
      </w:r>
    </w:p>
    <w:p w:rsidR="00786B3E" w:rsidRDefault="00786B3E" w:rsidP="00786B3E"/>
    <w:p w:rsidR="00786B3E" w:rsidRDefault="00786B3E" w:rsidP="00786B3E">
      <w:proofErr w:type="spellStart"/>
      <w:r>
        <w:t>Subpregunta</w:t>
      </w:r>
      <w:proofErr w:type="spellEnd"/>
      <w:r>
        <w:t xml:space="preserve"> 2:</w:t>
      </w:r>
    </w:p>
    <w:p w:rsidR="00786B3E" w:rsidRDefault="00786B3E" w:rsidP="00786B3E">
      <w:r>
        <w:t xml:space="preserve">Tras seguir la interpretación establecida en el </w:t>
      </w:r>
      <w:r w:rsidR="00F70C5D">
        <w:t>QA</w:t>
      </w:r>
      <w:r>
        <w:t xml:space="preserve">1, ¿entendemos correctamente que la inversión en I + </w:t>
      </w:r>
      <w:proofErr w:type="gramStart"/>
      <w:r>
        <w:t>D y actividades educativas o en infraestructuras de I + D y educativas no debe considerarse «actividades productivas» en el sentido del artículo 65, apartado 1, letra a), del RDC, sino más bien actividades anteriores a la producción?</w:t>
      </w:r>
      <w:proofErr w:type="gramEnd"/>
    </w:p>
    <w:p w:rsidR="00786B3E" w:rsidRDefault="00786B3E" w:rsidP="00786B3E">
      <w:r>
        <w:t>Desearíamos utilizar el ejemplo del proyecto que tiene por objeto la adquisición de HW y SW con el fin de establecer el repositorio de datos para los datos en la sección D. ¿Puede confirmar que esta actividad no entra en el ámbito de la «actividad productiva» en el sentido del artículo 65, apartado 1, letra a), y que la transferencia de la infraestructura de I + D subvencionada de una región NUTS 2 a otra región NUTS 2 no supone el incumplimiento de la obligación establecida en el artículo 65, apartado 1, letra a)?</w:t>
      </w:r>
    </w:p>
    <w:p w:rsidR="00786B3E" w:rsidRDefault="00786B3E" w:rsidP="00786B3E"/>
    <w:p w:rsidR="00786B3E" w:rsidRDefault="00786B3E" w:rsidP="00786B3E">
      <w:proofErr w:type="spellStart"/>
      <w:r>
        <w:t>Subpregunta</w:t>
      </w:r>
      <w:proofErr w:type="spellEnd"/>
      <w:r>
        <w:t xml:space="preserve"> 3:</w:t>
      </w:r>
    </w:p>
    <w:p w:rsidR="00786B3E" w:rsidRDefault="00786B3E" w:rsidP="00786B3E">
      <w:r>
        <w:t>Si no puede llegarse a la conclusión general de que todas las inversiones en I + D y en actividades educativas o en infraestructuras de I + D y educativas quedan fuera del concepto de «actividades productivas» en el sentido del artículo 65, apartado 1, letra a), del RDC, ¿podemos interpretarlo en el sentido de que la inversión en actividades de I + D y en actividades educativas o en infraestructuras de I + D o infraestructuras educativas que no constituyen ayuda estatal [es decir, actividades no económicas o infraestructuras utilizadas principalmente para actividades no económicas o para actividades económicas solo de forma accesoria en el sentido del artículo 207 de la Comunicación sobre el concepto de ayuda estatal (2016/C 262/01)] no se considera «actividades productivas» en el sentido del artículo 65, apartado 1, letra a), del RDC y, por lo tanto, la obligación establecida en el artículo 65, apartado 1, letra a), no es pertinente para estas inversiones?</w:t>
      </w:r>
    </w:p>
    <w:p w:rsidR="00786B3E" w:rsidRDefault="00786B3E" w:rsidP="00786B3E">
      <w:r>
        <w:t>A continuación, nos gustaría plantear una última pregunta sobre la interpretación de los términos «inversión en infraestructuras o inversiones productivas» utilizados en el artículo 65, apartado 1, del RDC:</w:t>
      </w:r>
    </w:p>
    <w:p w:rsidR="00786B3E" w:rsidRDefault="00786B3E" w:rsidP="00786B3E">
      <w:proofErr w:type="spellStart"/>
      <w:r>
        <w:t>Subpregunta</w:t>
      </w:r>
      <w:proofErr w:type="spellEnd"/>
      <w:r>
        <w:t xml:space="preserve"> 4:</w:t>
      </w:r>
    </w:p>
    <w:p w:rsidR="00786B3E" w:rsidRDefault="00786B3E" w:rsidP="00786B3E">
      <w:r>
        <w:t>¿Es correcto nuestro entendimiento de que, independientemente del tipo de beneficiario en el caso de actividades cuya parte solo sean costes no relacionados con la inversión, como, por ejemplo, los servicios de agente de patentes, los costes de investigación contractual y consultoría, el alquiler, los viajes, los costes de comercialización, los costes de instalación y funcionamiento del stand para la participación de una empresa en una determinada feria o exposición, los costes de personal o los costes de materiales o equipos que no sean activos fijos o inmateriales, tales actividades no se consideran «inversiones en infraestructuras o inversiones productivas» en el sentido del artículo 65, apartado 1, del RDC? ¿Podemos interpretar el término «inversión productiva» y también «inversión en infraestructuras» en el sentido de que su parte obligatoria es la inversión en activos fijos o inmateriales desde el punto de vista contable?</w:t>
      </w:r>
    </w:p>
    <w:p w:rsidR="00786B3E" w:rsidRDefault="00786B3E" w:rsidP="00786B3E">
      <w:pPr>
        <w:pStyle w:val="P68B1DB1-Normal4"/>
      </w:pPr>
      <w:r>
        <w:t> </w:t>
      </w:r>
    </w:p>
    <w:p w:rsidR="00786B3E" w:rsidRDefault="00786B3E" w:rsidP="00786B3E">
      <w:pPr>
        <w:pStyle w:val="P68B1DB1-Normal1"/>
      </w:pPr>
      <w:r>
        <w:t>Respuesta.</w:t>
      </w:r>
    </w:p>
    <w:p w:rsidR="00786B3E" w:rsidRDefault="00786B3E" w:rsidP="00786B3E">
      <w:pPr>
        <w:pStyle w:val="P68B1DB1-Normal4"/>
      </w:pPr>
      <w:proofErr w:type="spellStart"/>
      <w:r>
        <w:t>Subpregunta</w:t>
      </w:r>
      <w:proofErr w:type="spellEnd"/>
      <w:r>
        <w:t xml:space="preserve"> 1:</w:t>
      </w:r>
    </w:p>
    <w:p w:rsidR="00786B3E" w:rsidRDefault="00786B3E" w:rsidP="00786B3E">
      <w:r>
        <w:t>Como se explica en el considerando 38 del Reglamento FEDER/FC, la inversión productiva debe entenderse como inversión en capital fijo o en activos inmateriales de las empresas, con vistas a producir bienes y servicios y contribuir así a la formación bruta de capital y al empleo.</w:t>
      </w:r>
    </w:p>
    <w:p w:rsidR="00786B3E" w:rsidRDefault="00786B3E" w:rsidP="00786B3E">
      <w:r>
        <w:t>Debe garantizarse el cumplimiento de las condiciones establecidas en el artículo 65, apartado 1, letra a), del RDC («cese o transferencia de una actividad productiva») para todas las inversiones productivas cofinanciadas.</w:t>
      </w:r>
    </w:p>
    <w:p w:rsidR="00786B3E" w:rsidRDefault="00786B3E" w:rsidP="00786B3E"/>
    <w:p w:rsidR="00786B3E" w:rsidRDefault="00786B3E" w:rsidP="00786B3E">
      <w:pPr>
        <w:pStyle w:val="P68B1DB1-Normal4"/>
      </w:pPr>
      <w:proofErr w:type="spellStart"/>
      <w:r>
        <w:t>Subpregunta</w:t>
      </w:r>
      <w:proofErr w:type="spellEnd"/>
      <w:r>
        <w:t xml:space="preserve"> 2:</w:t>
      </w:r>
    </w:p>
    <w:p w:rsidR="00786B3E" w:rsidRDefault="00786B3E" w:rsidP="00786B3E">
      <w:r>
        <w:lastRenderedPageBreak/>
        <w:t>El alcance de la operación o inversión no se desprende claramente de la cuestión. En general, en caso de que la organización pueda definirse como una empresa, las inversiones en dicha entidad se consideran inversiones productivas en el sentido del Reglamento.</w:t>
      </w:r>
    </w:p>
    <w:p w:rsidR="00786B3E" w:rsidRDefault="00786B3E" w:rsidP="00786B3E">
      <w:r>
        <w:t xml:space="preserve">Como se explica </w:t>
      </w:r>
      <w:hyperlink r:id="rId531" w:history="1">
        <w:r>
          <w:rPr>
            <w:rStyle w:val="Hipervnculo"/>
          </w:rPr>
          <w:t>en la A00148 — Apoyo del FEDER a actividades de investigación e innovación aplicada emprendidas por empresas distintas de las pymes — QA 21-27 — RegioWiki (europa.eu)</w:t>
        </w:r>
      </w:hyperlink>
      <w:r>
        <w:t xml:space="preserve"> -, la investigación aplicada en las empresas tiene por objeto desarrollar nuevos productos, procesos o servicios o lograr una mejora significativa de los productos, procesos o servicios existentes. Estas actividades entran en el concepto de inversiones productivas, </w:t>
      </w:r>
      <w:r w:rsidR="002F3719">
        <w:t xml:space="preserve">ya que, </w:t>
      </w:r>
      <w:r>
        <w:t xml:space="preserve">constituyen inversiones en capital fijo o en activos inmateriales con el fin de producir bienes y servicios y, por tanto, contribuyen a la formación bruta de capital y al empleo (véase la respuesta a la </w:t>
      </w:r>
      <w:proofErr w:type="spellStart"/>
      <w:r>
        <w:t>subpregunta</w:t>
      </w:r>
      <w:proofErr w:type="spellEnd"/>
      <w:r>
        <w:t xml:space="preserve"> 1). </w:t>
      </w:r>
    </w:p>
    <w:p w:rsidR="00786B3E" w:rsidRDefault="00786B3E" w:rsidP="00786B3E">
      <w:r>
        <w:t>La autoridad de gestión debe garantizar que dichas inversiones sean duraderas y garanticen la eficacia, la equidad y el impacto sostenible de los Fondos.</w:t>
      </w:r>
    </w:p>
    <w:p w:rsidR="00786B3E" w:rsidRDefault="00786B3E" w:rsidP="00786B3E"/>
    <w:p w:rsidR="00786B3E" w:rsidRDefault="00786B3E" w:rsidP="00786B3E">
      <w:pPr>
        <w:pStyle w:val="P68B1DB1-Normal4"/>
      </w:pPr>
      <w:proofErr w:type="spellStart"/>
      <w:r>
        <w:t>Subpreguntas</w:t>
      </w:r>
      <w:proofErr w:type="spellEnd"/>
      <w:r>
        <w:t xml:space="preserve"> 3 y 4:</w:t>
      </w:r>
    </w:p>
    <w:p w:rsidR="00786B3E" w:rsidRDefault="00786B3E" w:rsidP="00786B3E">
      <w:r>
        <w:t>La naturaleza de una actividad u operación apoyada debe evaluarse para considerar si constituye una «inversión productiva», es decir, una inversión en capital fijo o en activos inmateriales de empresas, con el fin de producir bienes y servicios y contribuir así a la formación bruta de capital y al empleo.</w:t>
      </w:r>
    </w:p>
    <w:p w:rsidR="00786B3E" w:rsidRDefault="00786B3E" w:rsidP="00786B3E">
      <w:r>
        <w:t xml:space="preserve">Si una operación productiva o actividad apoyada es propensa a un «cese» o a una «transferencia», debe evaluarse si cumple el requisito de durabilidad basado en el artículo 65, apartado 1, letra a). Como se explica en </w:t>
      </w:r>
      <w:hyperlink w:anchor="scroll-bookmark-352" w:history="1">
        <w:r w:rsidR="00F70C5D">
          <w:rPr>
            <w:rStyle w:val="Hipervnculo"/>
          </w:rPr>
          <w:t>la QA</w:t>
        </w:r>
        <w:r>
          <w:rPr>
            <w:rStyle w:val="Hipervnculo"/>
          </w:rPr>
          <w:t xml:space="preserve">00180, </w:t>
        </w:r>
      </w:hyperlink>
      <w:r>
        <w:t>el artículo 65, apartado 1, letra a), del RDC se refiere a una región, a nivel de NUTS 2, «en la que una operación recibió apoyo». En principio, la evaluación de la transferencia fuera de la región NUTS 2 debe, por tanto, depender de la ubicación de una operación seleccionada por la AG para contribuir a la consecución de los objetivos del programa.</w:t>
      </w:r>
    </w:p>
    <w:p w:rsidR="00786B3E" w:rsidRDefault="00786B3E" w:rsidP="00786B3E">
      <w:r>
        <w:t xml:space="preserve">Cuando, debido a las especificidades de una operación, el establecimiento de su ubicación no sea sencillo (como, por ejemplo, las «universidades virtuales»), la autoridad de gestión y bajo su responsabilidad podrán aplicar otros parámetros justificados para fijar la ubicación de la operación, </w:t>
      </w:r>
      <w:r w:rsidR="00214B1C">
        <w:t xml:space="preserve">por ejemplo, </w:t>
      </w:r>
      <w:r>
        <w:t>teniendo en cuenta la finalidad de las disposiciones sobre durabilidad. De conformidad con el considerando 47 del RDC, las disposiciones en materia de durabilidad deben «garantizar que las inversiones en infraestructuras o inversiones productivas sean duraderas e impedir que los Fondos se utilicen en beneficio indebido», así como «garantizar la eficacia, la equidad y el impacto sostenible de los Fondos».</w:t>
      </w:r>
    </w:p>
    <w:p w:rsidR="00786B3E" w:rsidRDefault="00786B3E" w:rsidP="00786B3E">
      <w:r>
        <w:t xml:space="preserve">Una vez aclarado esto, el artículo 65, apartado 1, del RDC establece normas generales en materia de durabilidad. Si una operación constituye ayuda estatal y las normas de durabilidad en virtud de la ayuda estatal difieren de las del artículo 65, apartado 1, del RDC, la operación debe cumplir las normas de durabilidad en virtud de la ayuda estatal. Si una operación no constituye ayuda estatal o si las normas sobre ayudas estatales aplicables no prevén un período de durabilidad específico, se aplicará el artículo 65, apartado 1, del RDC. Con respecto a la durabilidad de las operaciones apoyadas por el </w:t>
      </w:r>
      <w:r>
        <w:lastRenderedPageBreak/>
        <w:t>FSE + o por el FTJ en virtud del artículo 8, apartado 2, letras k), l) y m), del FTJ, se aplicará el artículo 65, apartado 2, del RDC. </w:t>
      </w:r>
    </w:p>
    <w:p w:rsidR="00786B3E" w:rsidRDefault="00786B3E" w:rsidP="00786B3E"/>
    <w:p w:rsidR="00786B3E" w:rsidRDefault="00786B3E" w:rsidP="00786B3E"/>
    <w:p w:rsidR="00786B3E" w:rsidRDefault="00786B3E" w:rsidP="00786B3E">
      <w:pPr>
        <w:pStyle w:val="Ttulo1"/>
      </w:pPr>
      <w:bookmarkStart w:id="702" w:name="scroll-bookmark-808"/>
      <w:bookmarkStart w:id="703" w:name="scroll-bookmark-809"/>
      <w:bookmarkEnd w:id="702"/>
      <w:r>
        <w:t>QA00292 — Declaración de anticipos</w:t>
      </w:r>
      <w:bookmarkEnd w:id="703"/>
    </w:p>
    <w:p w:rsidR="00786B3E" w:rsidRDefault="00786B3E" w:rsidP="00786B3E">
      <w:r>
        <w:rPr>
          <w:noProof/>
          <w:lang w:val="es-ES"/>
        </w:rPr>
        <w:drawing>
          <wp:inline distT="0" distB="0" distL="0" distR="0" wp14:anchorId="394E2084" wp14:editId="05423535">
            <wp:extent cx="152435" cy="152435"/>
            <wp:effectExtent l="0" t="0" r="0" b="0"/>
            <wp:docPr id="101411" name="Imagen 1014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Artículo 91, apartado 3, letra a), y artículo 63, apartado 2, del RDC</w:t>
      </w:r>
    </w:p>
    <w:p w:rsidR="00786B3E" w:rsidRDefault="00786B3E" w:rsidP="00786B3E">
      <w:r>
        <w:rPr>
          <w:noProof/>
          <w:lang w:val="es-ES"/>
        </w:rPr>
        <w:drawing>
          <wp:inline distT="0" distB="0" distL="0" distR="0" wp14:anchorId="57FFF025" wp14:editId="10AC96A2">
            <wp:extent cx="152435" cy="152435"/>
            <wp:effectExtent l="0" t="0" r="0" b="0"/>
            <wp:docPr id="101413" name="Imagen 1014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HU</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¿Pueden incluirse los siguientes anticipos en la solicitud de pago a la Comisión con arreglo al artículo 91 del RDC?</w:t>
      </w:r>
    </w:p>
    <w:p w:rsidR="00786B3E" w:rsidRDefault="00786B3E" w:rsidP="00786B3E">
      <w:pPr>
        <w:numPr>
          <w:ilvl w:val="0"/>
          <w:numId w:val="282"/>
        </w:numPr>
      </w:pPr>
      <w:r>
        <w:t>Anticipos abonados por la autoridad de gestión (organismo que concede la ayuda) a los beneficiarios</w:t>
      </w:r>
    </w:p>
    <w:p w:rsidR="00786B3E" w:rsidRDefault="00786B3E" w:rsidP="00786B3E">
      <w:pPr>
        <w:numPr>
          <w:ilvl w:val="0"/>
          <w:numId w:val="282"/>
        </w:numPr>
      </w:pPr>
      <w:r>
        <w:t>Anticipos abonados por los beneficiarios a los contratistas</w:t>
      </w:r>
    </w:p>
    <w:p w:rsidR="00786B3E" w:rsidRDefault="00786B3E" w:rsidP="00786B3E">
      <w:pPr>
        <w:pStyle w:val="P68B1DB1-Normal1"/>
      </w:pPr>
      <w:r>
        <w:t>Respuesta</w:t>
      </w:r>
    </w:p>
    <w:p w:rsidR="00786B3E" w:rsidRDefault="00786B3E" w:rsidP="00786B3E">
      <w:r>
        <w:t>De conformidad con el artículo 63, apartado 2, del RDC, los gastos pueden optar a una contribución de los Fondos si han sido contraídos por un beneficiario o socio privado de una operación de APP y pagados en la ejecución de operaciones, entre la fecha de presentación del programa a la Comisión o a partir del 1 de enero de 2021, si esta fecha es anterior, y el 31 de diciembre de 2029.</w:t>
      </w:r>
    </w:p>
    <w:p w:rsidR="00786B3E" w:rsidRDefault="00786B3E" w:rsidP="00786B3E">
      <w:r>
        <w:t>El artículo 91, apartado 3, letra a), del RDC establece que las solicitudes de pago deben incluir el importe total del gasto subvencionable en que hayan incurrido los beneficiarios y pagado en la ejecución de las operaciones, tal como figure en el sistema del organismo que desempeña la función de contabilidad.</w:t>
      </w:r>
    </w:p>
    <w:p w:rsidR="00786B3E" w:rsidRDefault="00786B3E" w:rsidP="00786B3E">
      <w:r>
        <w:t xml:space="preserve">El artículo 91, apartado 5, del RDC establece una excepción a lo dispuesto en el artículo 91, apartado 3, del RDC para los anticipos </w:t>
      </w:r>
      <w:r>
        <w:rPr>
          <w:b/>
        </w:rPr>
        <w:t>abonados a los beneficiarios por el organismo</w:t>
      </w:r>
      <w:r>
        <w:t xml:space="preserve"> que concede la ayuda en el caso de las ayudas estatales y permite incluir dichos anticipos en las solicitudes de pago siempre que se cumplan las condiciones acumulativas establecidas en el artículo 91, apartado 5, del RDC.</w:t>
      </w:r>
    </w:p>
    <w:p w:rsidR="00786B3E" w:rsidRDefault="00786B3E" w:rsidP="00786B3E">
      <w:r>
        <w:t xml:space="preserve">En lo que respecta a </w:t>
      </w:r>
      <w:r>
        <w:rPr>
          <w:b/>
        </w:rPr>
        <w:t>los anticipos abonados por los beneficiarios</w:t>
      </w:r>
      <w:r>
        <w:t xml:space="preserve"> a los contratistas, dichos anticipos podrán incluirse en las solicitudes de pago siempre que se ajusten a las normas nacionales, que sean contraídos por los beneficiarios y pagados dentro del período de subvencionabilidad en aplicación de las obligaciones contractuales y que estén debidamente justificados mediante facturas o documentos de valor probatorio equivalente. Estos anticipos deben estar cubiertos por la prestación de obras, suministros o servicios en el momento de la finalización de la operación.</w:t>
      </w:r>
    </w:p>
    <w:p w:rsidR="00786B3E" w:rsidRDefault="00786B3E" w:rsidP="00786B3E"/>
    <w:p w:rsidR="00786B3E" w:rsidRDefault="00786B3E" w:rsidP="00786B3E"/>
    <w:p w:rsidR="00786B3E" w:rsidRDefault="00786B3E" w:rsidP="00786B3E">
      <w:pPr>
        <w:pStyle w:val="Ttulo1"/>
      </w:pPr>
      <w:bookmarkStart w:id="704" w:name="scroll-bookmark-810"/>
      <w:bookmarkStart w:id="705" w:name="scroll-bookmark-811"/>
      <w:bookmarkEnd w:id="704"/>
      <w:r>
        <w:t>QA00293 — Inclusión de vacaciones retribuidas para los costes directos de personal con arreglo al artículo 55, apartado 2, letra b), del RDC</w:t>
      </w:r>
      <w:bookmarkEnd w:id="705"/>
    </w:p>
    <w:p w:rsidR="00786B3E" w:rsidRDefault="00786B3E" w:rsidP="00786B3E">
      <w:r>
        <w:rPr>
          <w:noProof/>
          <w:lang w:val="es-ES"/>
        </w:rPr>
        <w:drawing>
          <wp:inline distT="0" distB="0" distL="0" distR="0" wp14:anchorId="481B7A80" wp14:editId="61375C6F">
            <wp:extent cx="152435" cy="152435"/>
            <wp:effectExtent l="0" t="0" r="0" b="0"/>
            <wp:docPr id="101415" name="Imagen 1014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55, apartado 2, letra b), del RDC</w:t>
      </w:r>
    </w:p>
    <w:p w:rsidR="00786B3E" w:rsidRDefault="00786B3E" w:rsidP="00786B3E">
      <w:r>
        <w:rPr>
          <w:noProof/>
          <w:lang w:val="es-ES"/>
        </w:rPr>
        <w:drawing>
          <wp:inline distT="0" distB="0" distL="0" distR="0" wp14:anchorId="23E209A9" wp14:editId="31994B1F">
            <wp:extent cx="152435" cy="152435"/>
            <wp:effectExtent l="0" t="0" r="0" b="0"/>
            <wp:docPr id="101417" name="Imagen 1014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t>Pregunta (incluidos los hechos y la información pertinentes):</w:t>
      </w:r>
    </w:p>
    <w:p w:rsidR="00786B3E" w:rsidRDefault="00786B3E" w:rsidP="00786B3E">
      <w:r>
        <w:t>De conformidad con el artículo 55, apartado 2, del RDC, a efectos de determinar los costes directos de personal, una tarifa horaria puede calcularse de una de las siguientes maneras:</w:t>
      </w:r>
    </w:p>
    <w:p w:rsidR="00786B3E" w:rsidRDefault="00786B3E" w:rsidP="00786B3E">
      <w:pPr>
        <w:numPr>
          <w:ilvl w:val="0"/>
          <w:numId w:val="283"/>
        </w:numPr>
      </w:pPr>
      <w:r>
        <w:t>dividiendo entre 1 720 horas los últimos costes salariales brutos anuales documentados en el caso de las personas que trabajan a tiempo completo, o por la prorrata de 1 720 horas correspondiente en el caso de las personas que trabajan a tiempo parcial;</w:t>
      </w:r>
    </w:p>
    <w:p w:rsidR="00786B3E" w:rsidRDefault="00786B3E" w:rsidP="00786B3E">
      <w:pPr>
        <w:numPr>
          <w:ilvl w:val="0"/>
          <w:numId w:val="283"/>
        </w:numPr>
      </w:pPr>
      <w:r>
        <w:t>dividiendo por el tiempo de trabajo mensual medio los últimos costes salariales brutos mensuales documentados de la persona de que se trate con arreglo a la normativa nacional aplicable a la que se haga referencia en el contrato de trabajo o en la decisión de nombramiento (ambos denominados «documento laboral»).</w:t>
      </w:r>
    </w:p>
    <w:p w:rsidR="00786B3E" w:rsidRDefault="00786B3E" w:rsidP="00786B3E">
      <w:r>
        <w:t>Pregunta 1. ¿Es correcto suponer que la opción b) es posible incluso en el caso de que se disponga de los datos sobre los costes salariales brutos anuales?</w:t>
      </w:r>
    </w:p>
    <w:p w:rsidR="00786B3E" w:rsidRDefault="00786B3E" w:rsidP="00786B3E">
      <w:r>
        <w:t>Pregunta 2. En el caso de la opción b), ¿cuál sería el tiempo medio de trabajo mensual?</w:t>
      </w:r>
    </w:p>
    <w:p w:rsidR="00786B3E" w:rsidRDefault="00786B3E" w:rsidP="00786B3E">
      <w:r>
        <w:t>En Croacia, la legislación laboral define la reserva semanal de horas para todos los trabajadores, que no puede superar las 40 horas semanales. De acuerdo con esto, en la práctica la horquilla mensual es la suma de los días del mes, excluidos los sábados y domingos (para una semana de trabajo de 40 horas).  Las horas de trabajo y de vacaciones se incluyen en el contingente mensual de horas. El número total de horas en 2023 es de 2,080, de las cuales 2,000 son horas de trabajo y 80 horas de vacaciones. Por lo tanto, ¿es correcto suponer que el tiempo de trabajo mensual medio para 2023 es de 173 horas (2080/12 = 173) o 167 (2000/12)?</w:t>
      </w:r>
    </w:p>
    <w:p w:rsidR="00786B3E" w:rsidRDefault="00786B3E" w:rsidP="00786B3E"/>
    <w:tbl>
      <w:tblPr>
        <w:tblStyle w:val="ScrollTableNormal"/>
        <w:tblW w:w="5000" w:type="pct"/>
        <w:tblLook w:val="0000" w:firstRow="0" w:lastRow="0" w:firstColumn="0" w:lastColumn="0" w:noHBand="0" w:noVBand="0"/>
      </w:tblPr>
      <w:tblGrid>
        <w:gridCol w:w="1470"/>
        <w:gridCol w:w="5968"/>
        <w:gridCol w:w="1056"/>
      </w:tblGrid>
      <w:tr w:rsidR="00786B3E" w:rsidTr="00786B3E">
        <w:tc>
          <w:tcPr>
            <w:tcW w:w="0" w:type="auto"/>
          </w:tcPr>
          <w:p w:rsidR="00786B3E" w:rsidRDefault="00786B3E" w:rsidP="00786B3E">
            <w:pPr>
              <w:pStyle w:val="P68B1DB1-Normal2"/>
              <w:spacing w:after="0"/>
              <w:jc w:val="left"/>
            </w:pPr>
            <w:r>
              <w:t>Mes</w:t>
            </w:r>
          </w:p>
        </w:tc>
        <w:tc>
          <w:tcPr>
            <w:tcW w:w="0" w:type="auto"/>
          </w:tcPr>
          <w:p w:rsidR="00786B3E" w:rsidRDefault="00786B3E" w:rsidP="00786B3E">
            <w:pPr>
              <w:pStyle w:val="P68B1DB1-Normal2"/>
              <w:spacing w:after="0"/>
              <w:jc w:val="left"/>
            </w:pPr>
            <w:r>
              <w:t>Reserva mensual de horas (horas de trabajo + horas de vacaciones)</w:t>
            </w:r>
          </w:p>
        </w:tc>
        <w:tc>
          <w:tcPr>
            <w:tcW w:w="0" w:type="auto"/>
          </w:tcPr>
          <w:p w:rsidR="00786B3E" w:rsidRDefault="00786B3E" w:rsidP="00786B3E">
            <w:pPr>
              <w:pStyle w:val="P68B1DB1-Normal2"/>
              <w:spacing w:after="0"/>
              <w:jc w:val="left"/>
            </w:pPr>
            <w:r>
              <w:t>Horarios</w:t>
            </w:r>
          </w:p>
        </w:tc>
      </w:tr>
      <w:tr w:rsidR="00786B3E" w:rsidTr="00786B3E">
        <w:tc>
          <w:tcPr>
            <w:tcW w:w="0" w:type="auto"/>
          </w:tcPr>
          <w:p w:rsidR="00786B3E" w:rsidRDefault="00786B3E" w:rsidP="00786B3E">
            <w:pPr>
              <w:pStyle w:val="P68B1DB1-Normal2"/>
              <w:spacing w:after="0"/>
              <w:jc w:val="left"/>
            </w:pPr>
            <w:r>
              <w:t>Enero</w:t>
            </w:r>
          </w:p>
        </w:tc>
        <w:tc>
          <w:tcPr>
            <w:tcW w:w="0" w:type="auto"/>
          </w:tcPr>
          <w:p w:rsidR="00786B3E" w:rsidRDefault="00786B3E" w:rsidP="00786B3E">
            <w:pPr>
              <w:pStyle w:val="P68B1DB1-Normal2"/>
              <w:spacing w:after="0"/>
              <w:jc w:val="left"/>
            </w:pPr>
            <w:r>
              <w:t>176</w:t>
            </w:r>
          </w:p>
        </w:tc>
        <w:tc>
          <w:tcPr>
            <w:tcW w:w="0" w:type="auto"/>
          </w:tcPr>
          <w:p w:rsidR="00786B3E" w:rsidRDefault="00786B3E" w:rsidP="00786B3E">
            <w:pPr>
              <w:pStyle w:val="P68B1DB1-Normal2"/>
              <w:spacing w:after="0"/>
              <w:jc w:val="left"/>
            </w:pPr>
            <w:r>
              <w:t>168</w:t>
            </w:r>
          </w:p>
        </w:tc>
      </w:tr>
      <w:tr w:rsidR="00786B3E" w:rsidTr="00786B3E">
        <w:tc>
          <w:tcPr>
            <w:tcW w:w="0" w:type="auto"/>
          </w:tcPr>
          <w:p w:rsidR="00786B3E" w:rsidRDefault="00786B3E" w:rsidP="00786B3E">
            <w:pPr>
              <w:pStyle w:val="P68B1DB1-Normal2"/>
              <w:spacing w:after="0"/>
              <w:jc w:val="left"/>
            </w:pPr>
            <w:r>
              <w:t>Febrero</w:t>
            </w:r>
          </w:p>
        </w:tc>
        <w:tc>
          <w:tcPr>
            <w:tcW w:w="0" w:type="auto"/>
          </w:tcPr>
          <w:p w:rsidR="00786B3E" w:rsidRDefault="00786B3E" w:rsidP="00786B3E">
            <w:pPr>
              <w:pStyle w:val="P68B1DB1-Normal2"/>
              <w:spacing w:after="0"/>
              <w:jc w:val="left"/>
            </w:pPr>
            <w:r>
              <w:t>160</w:t>
            </w:r>
          </w:p>
        </w:tc>
        <w:tc>
          <w:tcPr>
            <w:tcW w:w="0" w:type="auto"/>
          </w:tcPr>
          <w:p w:rsidR="00786B3E" w:rsidRDefault="00786B3E" w:rsidP="00786B3E">
            <w:pPr>
              <w:pStyle w:val="P68B1DB1-Normal2"/>
              <w:spacing w:after="0"/>
              <w:jc w:val="left"/>
            </w:pPr>
            <w:r>
              <w:t>160</w:t>
            </w:r>
          </w:p>
        </w:tc>
      </w:tr>
      <w:tr w:rsidR="00786B3E" w:rsidTr="00786B3E">
        <w:tc>
          <w:tcPr>
            <w:tcW w:w="0" w:type="auto"/>
          </w:tcPr>
          <w:p w:rsidR="00786B3E" w:rsidRDefault="00786B3E" w:rsidP="00786B3E">
            <w:pPr>
              <w:pStyle w:val="P68B1DB1-Normal2"/>
              <w:spacing w:after="0"/>
              <w:jc w:val="left"/>
            </w:pPr>
            <w:r>
              <w:t>Marzo</w:t>
            </w:r>
          </w:p>
        </w:tc>
        <w:tc>
          <w:tcPr>
            <w:tcW w:w="0" w:type="auto"/>
          </w:tcPr>
          <w:p w:rsidR="00786B3E" w:rsidRDefault="00786B3E" w:rsidP="00786B3E">
            <w:pPr>
              <w:pStyle w:val="P68B1DB1-Normal2"/>
              <w:spacing w:after="0"/>
              <w:jc w:val="left"/>
            </w:pPr>
            <w:r>
              <w:t>184</w:t>
            </w:r>
          </w:p>
        </w:tc>
        <w:tc>
          <w:tcPr>
            <w:tcW w:w="0" w:type="auto"/>
          </w:tcPr>
          <w:p w:rsidR="00786B3E" w:rsidRDefault="00786B3E" w:rsidP="00786B3E">
            <w:pPr>
              <w:pStyle w:val="P68B1DB1-Normal2"/>
              <w:spacing w:after="0"/>
              <w:jc w:val="left"/>
            </w:pPr>
            <w:r>
              <w:t>184</w:t>
            </w:r>
          </w:p>
        </w:tc>
      </w:tr>
      <w:tr w:rsidR="00786B3E" w:rsidTr="00786B3E">
        <w:tc>
          <w:tcPr>
            <w:tcW w:w="0" w:type="auto"/>
          </w:tcPr>
          <w:p w:rsidR="00786B3E" w:rsidRDefault="00786B3E" w:rsidP="00786B3E">
            <w:pPr>
              <w:pStyle w:val="P68B1DB1-Normal2"/>
              <w:spacing w:after="0"/>
              <w:jc w:val="left"/>
            </w:pPr>
            <w:r>
              <w:t>Abril</w:t>
            </w:r>
          </w:p>
        </w:tc>
        <w:tc>
          <w:tcPr>
            <w:tcW w:w="0" w:type="auto"/>
          </w:tcPr>
          <w:p w:rsidR="00786B3E" w:rsidRDefault="00786B3E" w:rsidP="00786B3E">
            <w:pPr>
              <w:pStyle w:val="P68B1DB1-Normal2"/>
              <w:spacing w:after="0"/>
              <w:jc w:val="left"/>
            </w:pPr>
            <w:r>
              <w:t>160</w:t>
            </w:r>
          </w:p>
        </w:tc>
        <w:tc>
          <w:tcPr>
            <w:tcW w:w="0" w:type="auto"/>
          </w:tcPr>
          <w:p w:rsidR="00786B3E" w:rsidRDefault="00786B3E" w:rsidP="00786B3E">
            <w:pPr>
              <w:pStyle w:val="P68B1DB1-Normal2"/>
              <w:spacing w:after="0"/>
              <w:jc w:val="left"/>
            </w:pPr>
            <w:r>
              <w:t>152</w:t>
            </w:r>
          </w:p>
        </w:tc>
      </w:tr>
      <w:tr w:rsidR="00786B3E" w:rsidTr="00786B3E">
        <w:tc>
          <w:tcPr>
            <w:tcW w:w="0" w:type="auto"/>
          </w:tcPr>
          <w:p w:rsidR="00786B3E" w:rsidRDefault="00786B3E" w:rsidP="00786B3E">
            <w:pPr>
              <w:pStyle w:val="P68B1DB1-Normal2"/>
              <w:spacing w:after="0"/>
              <w:jc w:val="left"/>
            </w:pPr>
            <w:r>
              <w:t>Mayo</w:t>
            </w:r>
          </w:p>
        </w:tc>
        <w:tc>
          <w:tcPr>
            <w:tcW w:w="0" w:type="auto"/>
          </w:tcPr>
          <w:p w:rsidR="00786B3E" w:rsidRDefault="00786B3E" w:rsidP="00786B3E">
            <w:pPr>
              <w:pStyle w:val="P68B1DB1-Normal2"/>
              <w:spacing w:after="0"/>
              <w:jc w:val="left"/>
            </w:pPr>
            <w:r>
              <w:t>184</w:t>
            </w:r>
          </w:p>
        </w:tc>
        <w:tc>
          <w:tcPr>
            <w:tcW w:w="0" w:type="auto"/>
          </w:tcPr>
          <w:p w:rsidR="00786B3E" w:rsidRDefault="00786B3E" w:rsidP="00786B3E">
            <w:pPr>
              <w:pStyle w:val="P68B1DB1-Normal2"/>
              <w:spacing w:after="0"/>
              <w:jc w:val="left"/>
            </w:pPr>
            <w:r>
              <w:t>168</w:t>
            </w:r>
          </w:p>
        </w:tc>
      </w:tr>
      <w:tr w:rsidR="00786B3E" w:rsidTr="00786B3E">
        <w:tc>
          <w:tcPr>
            <w:tcW w:w="0" w:type="auto"/>
          </w:tcPr>
          <w:p w:rsidR="00786B3E" w:rsidRDefault="00786B3E" w:rsidP="00786B3E">
            <w:pPr>
              <w:pStyle w:val="P68B1DB1-Normal2"/>
              <w:spacing w:after="0"/>
              <w:jc w:val="left"/>
            </w:pPr>
            <w:r>
              <w:lastRenderedPageBreak/>
              <w:t>Junio</w:t>
            </w:r>
          </w:p>
        </w:tc>
        <w:tc>
          <w:tcPr>
            <w:tcW w:w="0" w:type="auto"/>
          </w:tcPr>
          <w:p w:rsidR="00786B3E" w:rsidRDefault="00786B3E" w:rsidP="00786B3E">
            <w:pPr>
              <w:pStyle w:val="P68B1DB1-Normal2"/>
              <w:spacing w:after="0"/>
              <w:jc w:val="left"/>
            </w:pPr>
            <w:r>
              <w:t>176</w:t>
            </w:r>
          </w:p>
        </w:tc>
        <w:tc>
          <w:tcPr>
            <w:tcW w:w="0" w:type="auto"/>
          </w:tcPr>
          <w:p w:rsidR="00786B3E" w:rsidRDefault="00786B3E" w:rsidP="00786B3E">
            <w:pPr>
              <w:pStyle w:val="P68B1DB1-Normal2"/>
              <w:spacing w:after="0"/>
              <w:jc w:val="left"/>
            </w:pPr>
            <w:r>
              <w:t>160</w:t>
            </w:r>
          </w:p>
        </w:tc>
      </w:tr>
      <w:tr w:rsidR="00786B3E" w:rsidTr="00786B3E">
        <w:tc>
          <w:tcPr>
            <w:tcW w:w="0" w:type="auto"/>
          </w:tcPr>
          <w:p w:rsidR="00786B3E" w:rsidRDefault="00786B3E" w:rsidP="00786B3E">
            <w:pPr>
              <w:pStyle w:val="P68B1DB1-Normal2"/>
              <w:spacing w:after="0"/>
              <w:jc w:val="left"/>
            </w:pPr>
            <w:r>
              <w:t>Julio</w:t>
            </w:r>
          </w:p>
        </w:tc>
        <w:tc>
          <w:tcPr>
            <w:tcW w:w="0" w:type="auto"/>
          </w:tcPr>
          <w:p w:rsidR="00786B3E" w:rsidRDefault="00786B3E" w:rsidP="00786B3E">
            <w:pPr>
              <w:pStyle w:val="P68B1DB1-Normal2"/>
              <w:spacing w:after="0"/>
              <w:jc w:val="left"/>
            </w:pPr>
            <w:r>
              <w:t>168</w:t>
            </w:r>
          </w:p>
        </w:tc>
        <w:tc>
          <w:tcPr>
            <w:tcW w:w="0" w:type="auto"/>
          </w:tcPr>
          <w:p w:rsidR="00786B3E" w:rsidRDefault="00786B3E" w:rsidP="00786B3E">
            <w:pPr>
              <w:pStyle w:val="P68B1DB1-Normal2"/>
              <w:spacing w:after="0"/>
              <w:jc w:val="left"/>
            </w:pPr>
            <w:r>
              <w:t>168</w:t>
            </w:r>
          </w:p>
        </w:tc>
      </w:tr>
      <w:tr w:rsidR="00786B3E" w:rsidTr="00786B3E">
        <w:tc>
          <w:tcPr>
            <w:tcW w:w="0" w:type="auto"/>
          </w:tcPr>
          <w:p w:rsidR="00786B3E" w:rsidRDefault="00786B3E" w:rsidP="00786B3E">
            <w:pPr>
              <w:pStyle w:val="P68B1DB1-Normal2"/>
              <w:spacing w:after="0"/>
              <w:jc w:val="left"/>
            </w:pPr>
            <w:r>
              <w:t>Agosto</w:t>
            </w:r>
          </w:p>
        </w:tc>
        <w:tc>
          <w:tcPr>
            <w:tcW w:w="0" w:type="auto"/>
          </w:tcPr>
          <w:p w:rsidR="00786B3E" w:rsidRDefault="00786B3E" w:rsidP="00786B3E">
            <w:pPr>
              <w:pStyle w:val="P68B1DB1-Normal2"/>
              <w:spacing w:after="0"/>
              <w:jc w:val="left"/>
            </w:pPr>
            <w:r>
              <w:t>184</w:t>
            </w:r>
          </w:p>
        </w:tc>
        <w:tc>
          <w:tcPr>
            <w:tcW w:w="0" w:type="auto"/>
          </w:tcPr>
          <w:p w:rsidR="00786B3E" w:rsidRDefault="00786B3E" w:rsidP="00786B3E">
            <w:pPr>
              <w:pStyle w:val="P68B1DB1-Normal2"/>
              <w:spacing w:after="0"/>
              <w:jc w:val="left"/>
            </w:pPr>
            <w:r>
              <w:t>176</w:t>
            </w:r>
          </w:p>
        </w:tc>
      </w:tr>
      <w:tr w:rsidR="00786B3E" w:rsidTr="00786B3E">
        <w:tc>
          <w:tcPr>
            <w:tcW w:w="0" w:type="auto"/>
          </w:tcPr>
          <w:p w:rsidR="00786B3E" w:rsidRDefault="00786B3E" w:rsidP="00786B3E">
            <w:pPr>
              <w:pStyle w:val="P68B1DB1-Normal2"/>
              <w:spacing w:after="0"/>
              <w:jc w:val="left"/>
            </w:pPr>
            <w:r>
              <w:t>Septiembre</w:t>
            </w:r>
          </w:p>
        </w:tc>
        <w:tc>
          <w:tcPr>
            <w:tcW w:w="0" w:type="auto"/>
          </w:tcPr>
          <w:p w:rsidR="00786B3E" w:rsidRDefault="00786B3E" w:rsidP="00786B3E">
            <w:pPr>
              <w:pStyle w:val="P68B1DB1-Normal2"/>
              <w:spacing w:after="0"/>
              <w:jc w:val="left"/>
            </w:pPr>
            <w:r>
              <w:t>168</w:t>
            </w:r>
          </w:p>
        </w:tc>
        <w:tc>
          <w:tcPr>
            <w:tcW w:w="0" w:type="auto"/>
          </w:tcPr>
          <w:p w:rsidR="00786B3E" w:rsidRDefault="00786B3E" w:rsidP="00786B3E">
            <w:pPr>
              <w:pStyle w:val="P68B1DB1-Normal2"/>
              <w:spacing w:after="0"/>
              <w:jc w:val="left"/>
            </w:pPr>
            <w:r>
              <w:t>168</w:t>
            </w:r>
          </w:p>
        </w:tc>
      </w:tr>
      <w:tr w:rsidR="00786B3E" w:rsidTr="00786B3E">
        <w:tc>
          <w:tcPr>
            <w:tcW w:w="0" w:type="auto"/>
          </w:tcPr>
          <w:p w:rsidR="00786B3E" w:rsidRDefault="00786B3E" w:rsidP="00786B3E">
            <w:pPr>
              <w:pStyle w:val="P68B1DB1-Normal2"/>
              <w:spacing w:after="0"/>
              <w:jc w:val="left"/>
            </w:pPr>
            <w:r>
              <w:t>Octubre</w:t>
            </w:r>
          </w:p>
        </w:tc>
        <w:tc>
          <w:tcPr>
            <w:tcW w:w="0" w:type="auto"/>
          </w:tcPr>
          <w:p w:rsidR="00786B3E" w:rsidRDefault="00786B3E" w:rsidP="00786B3E">
            <w:pPr>
              <w:pStyle w:val="P68B1DB1-Normal2"/>
              <w:spacing w:after="0"/>
              <w:jc w:val="left"/>
            </w:pPr>
            <w:r>
              <w:t>176</w:t>
            </w:r>
          </w:p>
        </w:tc>
        <w:tc>
          <w:tcPr>
            <w:tcW w:w="0" w:type="auto"/>
          </w:tcPr>
          <w:p w:rsidR="00786B3E" w:rsidRDefault="00786B3E" w:rsidP="00786B3E">
            <w:pPr>
              <w:pStyle w:val="P68B1DB1-Normal2"/>
              <w:spacing w:after="0"/>
              <w:jc w:val="left"/>
            </w:pPr>
            <w:r>
              <w:t>176</w:t>
            </w:r>
          </w:p>
        </w:tc>
      </w:tr>
      <w:tr w:rsidR="00786B3E" w:rsidTr="00786B3E">
        <w:tc>
          <w:tcPr>
            <w:tcW w:w="0" w:type="auto"/>
          </w:tcPr>
          <w:p w:rsidR="00786B3E" w:rsidRDefault="00786B3E" w:rsidP="00786B3E">
            <w:pPr>
              <w:pStyle w:val="P68B1DB1-Normal2"/>
              <w:spacing w:after="0"/>
              <w:jc w:val="left"/>
            </w:pPr>
            <w:r>
              <w:t>Noviembre</w:t>
            </w:r>
          </w:p>
        </w:tc>
        <w:tc>
          <w:tcPr>
            <w:tcW w:w="0" w:type="auto"/>
          </w:tcPr>
          <w:p w:rsidR="00786B3E" w:rsidRDefault="00786B3E" w:rsidP="00786B3E">
            <w:pPr>
              <w:pStyle w:val="P68B1DB1-Normal2"/>
              <w:spacing w:after="0"/>
              <w:jc w:val="left"/>
            </w:pPr>
            <w:r>
              <w:t>176</w:t>
            </w:r>
          </w:p>
        </w:tc>
        <w:tc>
          <w:tcPr>
            <w:tcW w:w="0" w:type="auto"/>
          </w:tcPr>
          <w:p w:rsidR="00786B3E" w:rsidRDefault="00786B3E" w:rsidP="00786B3E">
            <w:pPr>
              <w:pStyle w:val="P68B1DB1-Normal2"/>
              <w:spacing w:after="0"/>
              <w:jc w:val="left"/>
            </w:pPr>
            <w:r>
              <w:t>168</w:t>
            </w:r>
          </w:p>
        </w:tc>
      </w:tr>
      <w:tr w:rsidR="00786B3E" w:rsidTr="00786B3E">
        <w:tc>
          <w:tcPr>
            <w:tcW w:w="0" w:type="auto"/>
          </w:tcPr>
          <w:p w:rsidR="00786B3E" w:rsidRDefault="00786B3E" w:rsidP="00786B3E">
            <w:pPr>
              <w:pStyle w:val="P68B1DB1-Normal2"/>
              <w:spacing w:after="0"/>
              <w:jc w:val="left"/>
            </w:pPr>
            <w:r>
              <w:t>Diciembre</w:t>
            </w:r>
          </w:p>
        </w:tc>
        <w:tc>
          <w:tcPr>
            <w:tcW w:w="0" w:type="auto"/>
          </w:tcPr>
          <w:p w:rsidR="00786B3E" w:rsidRDefault="00786B3E" w:rsidP="00786B3E">
            <w:pPr>
              <w:pStyle w:val="P68B1DB1-Normal2"/>
              <w:spacing w:after="0"/>
              <w:jc w:val="left"/>
            </w:pPr>
            <w:r>
              <w:t>168</w:t>
            </w:r>
          </w:p>
        </w:tc>
        <w:tc>
          <w:tcPr>
            <w:tcW w:w="0" w:type="auto"/>
          </w:tcPr>
          <w:p w:rsidR="00786B3E" w:rsidRDefault="00786B3E" w:rsidP="00786B3E">
            <w:pPr>
              <w:pStyle w:val="P68B1DB1-Normal2"/>
              <w:spacing w:after="0"/>
              <w:jc w:val="left"/>
            </w:pPr>
            <w:r>
              <w:t>152</w:t>
            </w:r>
          </w:p>
        </w:tc>
      </w:tr>
      <w:tr w:rsidR="00786B3E" w:rsidTr="00786B3E">
        <w:tc>
          <w:tcPr>
            <w:tcW w:w="0" w:type="auto"/>
          </w:tcPr>
          <w:p w:rsidR="00786B3E" w:rsidRDefault="00786B3E" w:rsidP="00786B3E">
            <w:pPr>
              <w:pStyle w:val="P68B1DB1-Normal2"/>
              <w:spacing w:after="0"/>
              <w:jc w:val="left"/>
            </w:pPr>
            <w:r>
              <w:t>Total</w:t>
            </w:r>
          </w:p>
        </w:tc>
        <w:tc>
          <w:tcPr>
            <w:tcW w:w="0" w:type="auto"/>
          </w:tcPr>
          <w:p w:rsidR="00786B3E" w:rsidRDefault="00786B3E" w:rsidP="00786B3E">
            <w:pPr>
              <w:pStyle w:val="P68B1DB1-Normal2"/>
              <w:spacing w:after="0"/>
              <w:jc w:val="left"/>
            </w:pPr>
            <w:r>
              <w:t>2080</w:t>
            </w:r>
          </w:p>
        </w:tc>
        <w:tc>
          <w:tcPr>
            <w:tcW w:w="0" w:type="auto"/>
          </w:tcPr>
          <w:p w:rsidR="00786B3E" w:rsidRDefault="00786B3E" w:rsidP="00786B3E">
            <w:pPr>
              <w:pStyle w:val="P68B1DB1-Normal2"/>
              <w:spacing w:after="0"/>
              <w:jc w:val="left"/>
            </w:pPr>
            <w:r>
              <w:t>2000</w:t>
            </w:r>
          </w:p>
        </w:tc>
      </w:tr>
      <w:tr w:rsidR="00786B3E" w:rsidTr="00786B3E">
        <w:tc>
          <w:tcPr>
            <w:tcW w:w="0" w:type="auto"/>
          </w:tcPr>
          <w:p w:rsidR="00786B3E" w:rsidRDefault="00786B3E" w:rsidP="00786B3E">
            <w:pPr>
              <w:pStyle w:val="P68B1DB1-Normal2"/>
              <w:spacing w:after="0"/>
              <w:jc w:val="left"/>
            </w:pPr>
            <w:r>
              <w:t>PROMEDIO</w:t>
            </w:r>
          </w:p>
        </w:tc>
        <w:tc>
          <w:tcPr>
            <w:tcW w:w="0" w:type="auto"/>
          </w:tcPr>
          <w:p w:rsidR="00786B3E" w:rsidRDefault="00786B3E" w:rsidP="00786B3E">
            <w:pPr>
              <w:pStyle w:val="P68B1DB1-Normal2"/>
              <w:spacing w:after="0"/>
              <w:jc w:val="left"/>
            </w:pPr>
            <w:r>
              <w:t>173</w:t>
            </w:r>
          </w:p>
        </w:tc>
        <w:tc>
          <w:tcPr>
            <w:tcW w:w="0" w:type="auto"/>
          </w:tcPr>
          <w:p w:rsidR="00786B3E" w:rsidRDefault="00786B3E" w:rsidP="00786B3E">
            <w:pPr>
              <w:pStyle w:val="P68B1DB1-Normal2"/>
              <w:spacing w:after="0"/>
              <w:jc w:val="left"/>
            </w:pPr>
            <w:r>
              <w:t>167</w:t>
            </w:r>
          </w:p>
        </w:tc>
      </w:tr>
    </w:tbl>
    <w:p w:rsidR="00786B3E" w:rsidRDefault="00786B3E" w:rsidP="00786B3E"/>
    <w:p w:rsidR="00786B3E" w:rsidRDefault="00786B3E" w:rsidP="00786B3E">
      <w:r>
        <w:t xml:space="preserve">En el caso de la opción b), ¿es correcto suponer que, al aplicar la tarifa horaria calculada sobre la base de la opción mencionada, el número total de horas declaradas por persona para un mes determinado no puede ser superior a 173/167, </w:t>
      </w:r>
      <w:r w:rsidR="002F3719">
        <w:t xml:space="preserve">ya que, </w:t>
      </w:r>
      <w:r>
        <w:t>fue el número de horas utilizado para el cálculo de dicha tarifa horaria?</w:t>
      </w:r>
    </w:p>
    <w:p w:rsidR="00786B3E" w:rsidRDefault="00786B3E" w:rsidP="00786B3E"/>
    <w:p w:rsidR="00786B3E" w:rsidRDefault="00786B3E" w:rsidP="00786B3E"/>
    <w:p w:rsidR="00786B3E" w:rsidRDefault="00786B3E" w:rsidP="00786B3E">
      <w:pPr>
        <w:pStyle w:val="P68B1DB1-Normal1"/>
      </w:pPr>
      <w:r>
        <w:t>Respuesta.</w:t>
      </w:r>
    </w:p>
    <w:p w:rsidR="00786B3E" w:rsidRDefault="00786B3E" w:rsidP="00786B3E">
      <w:r>
        <w:t>Pregunta 1:</w:t>
      </w:r>
    </w:p>
    <w:p w:rsidR="00786B3E" w:rsidRDefault="00786B3E" w:rsidP="00786B3E">
      <w:r>
        <w:t>El artículo 55, apartado 2, letra b), del Reglamento (UE) n.º 1060/2021 (RDC) establece claramente que ambas opciones son posibles para calcular una tarifa horaria para determinar los costes directos de personal. Así pues, podemos confirmar que la opción b) es posible incluso en el caso de que se disponga de los datos sobre los costes salariales brutos anuales. Sin embargo, cabe destacar que, en el caso de la opción a), el denominador (es decir, 1.720 horas) es un «tiempo de trabajo» anual estándar que puede utilizarse directamente, sin que el Estado miembro esté obligado a realizar ningún cálculo.</w:t>
      </w:r>
    </w:p>
    <w:p w:rsidR="00786B3E" w:rsidRDefault="00786B3E" w:rsidP="00786B3E"/>
    <w:p w:rsidR="00786B3E" w:rsidRDefault="00786B3E" w:rsidP="00786B3E"/>
    <w:p w:rsidR="00786B3E" w:rsidRDefault="00786B3E" w:rsidP="00786B3E">
      <w:r>
        <w:t>Pregunta 2:</w:t>
      </w:r>
    </w:p>
    <w:p w:rsidR="00786B3E" w:rsidRDefault="00786B3E" w:rsidP="00786B3E">
      <w:r>
        <w:t>El RDC no establece ninguna norma sobre cómo debe establecerse el tiempo de trabajo mensual medio (denominador) a efectos del artículo 55, apartado 2, letra b), del RDC. Por lo tanto, al calcular una tarifa horaria para determinar los costes directos de personal sobre la base de esta disposición, corresponde al Estado miembro establecer el tiempo de trabajo mensual medio, de conformidad con las normas nacionales aplicables mencionadas en el documento de empleo.</w:t>
      </w:r>
    </w:p>
    <w:p w:rsidR="00786B3E" w:rsidRDefault="00786B3E" w:rsidP="00786B3E">
      <w:r>
        <w:t>Al aplicar la tarifa horaria calculada, el número total de horas declaradas por persona para el mes (que no necesariamente tiene que ser el número real de horas trabajadas) no puede superar el número de horas utilizadas para el cálculo de dicha tarifa horaria, tal como se establece en el artículo 55, apartado 3, del RDC.</w:t>
      </w:r>
    </w:p>
    <w:p w:rsidR="00786B3E" w:rsidRDefault="00786B3E" w:rsidP="00786B3E">
      <w:r>
        <w:t xml:space="preserve">En el caso de un proyecto ejecutado a lo largo de varios años, la autoridad de gestión puede optar por actualizar la tarifa horaria del coste de personal una vez que se disponga de nuevos datos, o bien por aplicar el mismo coste durante todo el período de ejecución. Si el período de ejecución es particularmente largo, sería una buena práctica </w:t>
      </w:r>
      <w:r>
        <w:lastRenderedPageBreak/>
        <w:t>establecer fases intermedias en las que se pueda revisar la tarifa horaria del coste de personal y cómo se haría.</w:t>
      </w:r>
    </w:p>
    <w:p w:rsidR="00786B3E" w:rsidRDefault="00786B3E" w:rsidP="00786B3E"/>
    <w:p w:rsidR="00786B3E" w:rsidRDefault="00786B3E" w:rsidP="00786B3E"/>
    <w:p w:rsidR="00786B3E" w:rsidRDefault="00786B3E" w:rsidP="00786B3E">
      <w:pPr>
        <w:pStyle w:val="Ttulo1"/>
      </w:pPr>
      <w:bookmarkStart w:id="706" w:name="scroll-bookmark-812"/>
      <w:bookmarkStart w:id="707" w:name="scroll-bookmark-813"/>
      <w:bookmarkEnd w:id="706"/>
      <w:r>
        <w:t xml:space="preserve">QA716 </w:t>
      </w:r>
      <w:r w:rsidR="00DF0906">
        <w:t>EMFAF</w:t>
      </w:r>
      <w:r>
        <w:t xml:space="preserve"> Transferir o cambiar el pabellón de los buques pesqueros</w:t>
      </w:r>
      <w:bookmarkEnd w:id="707"/>
    </w:p>
    <w:p w:rsidR="00786B3E" w:rsidRDefault="00786B3E" w:rsidP="00786B3E">
      <w:r>
        <w:rPr>
          <w:noProof/>
          <w:lang w:val="es-ES"/>
        </w:rPr>
        <w:drawing>
          <wp:inline distT="0" distB="0" distL="0" distR="0" wp14:anchorId="60E3BCFA" wp14:editId="1BD59F0F">
            <wp:extent cx="152435" cy="152435"/>
            <wp:effectExtent l="0" t="0" r="0" b="0"/>
            <wp:docPr id="101419" name="Imagen 1014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15 del Reglamento FEMPA</w:t>
      </w:r>
    </w:p>
    <w:p w:rsidR="00786B3E" w:rsidRDefault="00786B3E" w:rsidP="00786B3E">
      <w:r>
        <w:rPr>
          <w:noProof/>
          <w:lang w:val="es-ES"/>
        </w:rPr>
        <w:drawing>
          <wp:inline distT="0" distB="0" distL="0" distR="0" wp14:anchorId="6D43CCED" wp14:editId="5D198F11">
            <wp:extent cx="152435" cy="152435"/>
            <wp:effectExtent l="0" t="0" r="0" b="0"/>
            <wp:docPr id="101421" name="Imagen 1014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Alemania</w:t>
      </w:r>
    </w:p>
    <w:p w:rsidR="00786B3E" w:rsidRDefault="00786B3E" w:rsidP="00786B3E"/>
    <w:p w:rsidR="00786B3E" w:rsidRDefault="00786B3E" w:rsidP="00786B3E">
      <w:pPr>
        <w:pStyle w:val="P68B1DB1-Normal1"/>
      </w:pPr>
      <w:r>
        <w:br/>
        <w:t>Pregunta 1:</w:t>
      </w:r>
    </w:p>
    <w:p w:rsidR="00786B3E" w:rsidRDefault="00786B3E" w:rsidP="00786B3E">
      <w:pPr>
        <w:pStyle w:val="P68B1DB1-Normal11"/>
      </w:pPr>
      <w:r>
        <w:t>En junio de 2023, Alemania recibió una interpretación del artículo 25, apartado 1, del Reglamento (UE) n.º 508/2014 (Reglamento FEMP), en la que se afirmaba que este artículo solo está concebido para medidas de inversión para buques pesqueros y que, en caso de desmantelamiento temporal, el beneficiario solo tiene que ser propietario en el momento del pago. Ahora se plantea la cuestión de si el artículo 15 del Reglamento FEMPA puede interpretarse de forma análoga al artículo 25, apartado 1, del Reglamento del FEMP.</w:t>
      </w:r>
    </w:p>
    <w:p w:rsidR="00786B3E" w:rsidRDefault="00786B3E" w:rsidP="00786B3E"/>
    <w:p w:rsidR="00786B3E" w:rsidRDefault="00786B3E" w:rsidP="00786B3E">
      <w:pPr>
        <w:pStyle w:val="P68B1DB1-Normal1"/>
      </w:pPr>
      <w:r>
        <w:t>Respuesta.</w:t>
      </w:r>
    </w:p>
    <w:p w:rsidR="00786B3E" w:rsidRDefault="00786B3E" w:rsidP="00786B3E">
      <w:r>
        <w:t>El artículo 15 del FEMPA [Reglamento (UE) 2021/1139] establece que, cuando la ayuda se conceda con respecto a un buque de la Unión, el buque no podrá transferirse ni volver a enarbolar su pabellón fuera de la Unión durante al menos cinco años a partir del pago final de la operación subvencionada.» La consecuencia implícita de una transferencia o cambio de pabellón de un buque antes de cinco años sería una corrección financiera del Estado miembro. </w:t>
      </w:r>
    </w:p>
    <w:p w:rsidR="00786B3E" w:rsidRDefault="00786B3E" w:rsidP="00786B3E">
      <w:r>
        <w:t>La finalidad de la disposición, que es similar a la de la disposición 25 (1) del Reglamento del FEMP, es garantizar que la ayuda del FEMPA se utilice para lograr un impacto positivo máximo duradero dentro de la Unión y no se transfiera fuera del ámbito de efecto previsto demasiado pronto, evitando así ventajas indebidas. </w:t>
      </w:r>
    </w:p>
    <w:p w:rsidR="00786B3E" w:rsidRDefault="00786B3E" w:rsidP="00786B3E">
      <w:r>
        <w:t>De la expresión «apoyo concedido a un buque de la Unión» se desprende que la ayuda a la que aquí se hace referencia se refiere directamente al buque. Por lo tanto, el artículo 15 del Reglamento FEMPA solo se refiere a las inversiones que tienen un efecto duradero en el propio buque. La ayuda «concedida» a un buque pesquero de la Unión debe entenderse como una inversión que mejora el buque, por lo que también se transfiere como parte del buque. No incluye apoyo que genere beneficios inmateriales (por ejemplo, compensación, formación). </w:t>
      </w:r>
    </w:p>
    <w:p w:rsidR="00786B3E" w:rsidRDefault="00786B3E" w:rsidP="00786B3E"/>
    <w:p w:rsidR="00786B3E" w:rsidRDefault="00786B3E" w:rsidP="00786B3E">
      <w:pPr>
        <w:pStyle w:val="P68B1DB1-Normal4"/>
      </w:pPr>
      <w:r>
        <w:t>NOTA:</w:t>
      </w:r>
    </w:p>
    <w:p w:rsidR="00786B3E" w:rsidRDefault="00786B3E" w:rsidP="00786B3E">
      <w:r>
        <w:rPr>
          <w:i/>
        </w:rPr>
        <w:lastRenderedPageBreak/>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pPr>
        <w:pStyle w:val="P68B1DB1-Normal4"/>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708" w:name="scroll-bookmark-814"/>
      <w:bookmarkStart w:id="709" w:name="scroll-bookmark-815"/>
      <w:bookmarkEnd w:id="708"/>
      <w:r>
        <w:t xml:space="preserve">QA714: </w:t>
      </w:r>
      <w:r w:rsidR="00DF0906">
        <w:t>EMFAF</w:t>
      </w:r>
      <w:r>
        <w:t xml:space="preserve"> Cese permanente — requisito mínimo de actividad pesquera</w:t>
      </w:r>
      <w:bookmarkEnd w:id="709"/>
    </w:p>
    <w:p w:rsidR="00786B3E" w:rsidRDefault="00786B3E" w:rsidP="00786B3E">
      <w:r>
        <w:rPr>
          <w:noProof/>
          <w:lang w:val="es-ES"/>
        </w:rPr>
        <w:drawing>
          <wp:inline distT="0" distB="0" distL="0" distR="0" wp14:anchorId="38925977" wp14:editId="617EFF59">
            <wp:extent cx="152435" cy="152435"/>
            <wp:effectExtent l="0" t="0" r="0" b="0"/>
            <wp:docPr id="101423" name="Imagen 1014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Artículo 20, apartado 2, letra c), del Reglamento FEMPA</w:t>
      </w:r>
    </w:p>
    <w:p w:rsidR="00786B3E" w:rsidRDefault="00786B3E" w:rsidP="00786B3E">
      <w:r>
        <w:rPr>
          <w:noProof/>
          <w:lang w:val="es-ES"/>
        </w:rPr>
        <w:drawing>
          <wp:inline distT="0" distB="0" distL="0" distR="0" wp14:anchorId="6016E05B" wp14:editId="68A9F9E5">
            <wp:extent cx="152435" cy="152435"/>
            <wp:effectExtent l="0" t="0" r="0" b="0"/>
            <wp:docPr id="101425" name="Imagen 1014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Italia</w:t>
      </w:r>
    </w:p>
    <w:p w:rsidR="00786B3E" w:rsidRDefault="00786B3E" w:rsidP="00786B3E"/>
    <w:p w:rsidR="00786B3E" w:rsidRDefault="00786B3E" w:rsidP="00786B3E">
      <w:pPr>
        <w:pStyle w:val="P68B1DB1-Normal1"/>
      </w:pPr>
      <w:r>
        <w:br/>
        <w:t>Pregunta 1:</w:t>
      </w:r>
    </w:p>
    <w:p w:rsidR="00786B3E" w:rsidRDefault="00786B3E" w:rsidP="00786B3E">
      <w:r>
        <w:t>Por la presente se pregunta si, sobre la base del sistema de pesca utilizado, la metodología proporcional establecida en el punto 276 de la Comunicación de la Comisión C (2023) 1598 puede aplicarse a efectos de la verificación del cumplimiento del artículo 20, apartado 2, letra c), del Reglamento (UE) 2021/1139 (Reglamento FEMPA). </w:t>
      </w:r>
    </w:p>
    <w:p w:rsidR="00786B3E" w:rsidRDefault="00786B3E" w:rsidP="00786B3E">
      <w:r>
        <w:t> </w:t>
      </w:r>
    </w:p>
    <w:p w:rsidR="00786B3E" w:rsidRDefault="00786B3E" w:rsidP="00786B3E">
      <w:pPr>
        <w:pStyle w:val="P68B1DB1-Normal1"/>
      </w:pPr>
      <w:r>
        <w:t>Respuesta.</w:t>
      </w:r>
    </w:p>
    <w:p w:rsidR="00786B3E" w:rsidRDefault="00786B3E" w:rsidP="00786B3E">
      <w:pPr>
        <w:pStyle w:val="P68B1DB1-Normal11"/>
      </w:pPr>
      <w:r>
        <w:t>La Comunicación de la Comisión sobre las Directrices aplicables a las ayudas estatales en el sector de la pesca y la acuicultura [C (2023) 1598 final, de 17 de marzo de 2023 (en lo sucesivo, «las Directrices»)], se aplica en el caso de las medidas de ayuda estatal notificadas al evaluar si las ayudas al sector de la pesca y la acuicultura pueden considerarse compatibles con el mercado interior a tenor del artículo 107, apartado 2, o (3) del TFUE. Las disposiciones del artículo 20 del Reglamento FEMPA se aplican al apoyo del FEMPA en forma de compensación por la paralización definitiva de las actividades pesqueras. Este apoyo no constituye ayuda estatal. Por lo tanto, las disposiciones del punto 276 de las Directrices no son aplicables a la compensación por la paralización definitiva de las actividades pesqueras en el sentido del artículo 20, apartado 2, letra c), del Reglamento FEMPA. </w:t>
      </w:r>
    </w:p>
    <w:p w:rsidR="00786B3E" w:rsidRDefault="00786B3E" w:rsidP="00786B3E"/>
    <w:p w:rsidR="00786B3E" w:rsidRDefault="00786B3E" w:rsidP="00786B3E">
      <w:pPr>
        <w:pStyle w:val="P68B1DB1-Normal4"/>
      </w:pPr>
      <w:r>
        <w:t>NOTA:</w:t>
      </w:r>
    </w:p>
    <w:p w:rsidR="00786B3E" w:rsidRDefault="00786B3E" w:rsidP="00786B3E">
      <w:r>
        <w:rPr>
          <w:i/>
        </w:rPr>
        <w:t xml:space="preserve">De conformidad con el artículo 12 del Reglamento (UE) 2021/1139 (Reglamento FEMPA), las operaciones seleccionadas por los Estados miembros deben entrar en el ámbito de aplicación de las prioridades y los objetivos específicos establecidos en el artículo 8, </w:t>
      </w:r>
      <w:r>
        <w:rPr>
          <w:i/>
        </w:rPr>
        <w:lastRenderedPageBreak/>
        <w:t>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710" w:name="scroll-bookmark-816"/>
      <w:bookmarkStart w:id="711" w:name="scroll-bookmark-817"/>
      <w:bookmarkEnd w:id="710"/>
      <w:r>
        <w:t xml:space="preserve">QA715: </w:t>
      </w:r>
      <w:r w:rsidR="00DF0906">
        <w:t>EMFAF</w:t>
      </w:r>
      <w:r>
        <w:t xml:space="preserve"> Intensidad de la ayuda para el apoyo preparatorio de los grupos de acción local</w:t>
      </w:r>
      <w:bookmarkEnd w:id="711"/>
    </w:p>
    <w:p w:rsidR="00786B3E" w:rsidRDefault="00786B3E" w:rsidP="00786B3E">
      <w:r>
        <w:rPr>
          <w:noProof/>
          <w:lang w:val="es-ES"/>
        </w:rPr>
        <w:drawing>
          <wp:inline distT="0" distB="0" distL="0" distR="0" wp14:anchorId="5BE4A32D" wp14:editId="6D54DF25">
            <wp:extent cx="152435" cy="152435"/>
            <wp:effectExtent l="0" t="0" r="0" b="0"/>
            <wp:docPr id="101427" name="Imagen 1014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Anexo III, punto 13, del Reglamento FEMPA</w:t>
      </w:r>
    </w:p>
    <w:p w:rsidR="00786B3E" w:rsidRDefault="00786B3E" w:rsidP="00786B3E">
      <w:r>
        <w:rPr>
          <w:noProof/>
          <w:lang w:val="es-ES"/>
        </w:rPr>
        <w:drawing>
          <wp:inline distT="0" distB="0" distL="0" distR="0" wp14:anchorId="6C017A90" wp14:editId="0FC7C45A">
            <wp:extent cx="152435" cy="152435"/>
            <wp:effectExtent l="0" t="0" r="0" b="0"/>
            <wp:docPr id="101429" name="Imagen 1014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t>Pregunta 1:</w:t>
      </w:r>
    </w:p>
    <w:p w:rsidR="00786B3E" w:rsidRDefault="00786B3E" w:rsidP="00786B3E">
      <w:r>
        <w:t xml:space="preserve">En Regio Wiki, el QA632 </w:t>
      </w:r>
      <w:hyperlink r:id="rId532" w:history="1">
        <w:r>
          <w:rPr>
            <w:rStyle w:val="Hipervnculo"/>
          </w:rPr>
          <w:t>«</w:t>
        </w:r>
      </w:hyperlink>
      <w:r>
        <w:t>INTENSIDAD DE AYUDA MAXIMUM MÁXIMO PARA LAS OPERACIONES DEL DLP» llega a la siguiente conclusión: a las operaciones resultantes de la estrategia de los GAL, así como a los costes de preparación y desarrollo de capacidades de los GAL, se aplicarán las disposiciones del artículo 41 del FEMPA para definir la intensidad máxima de la ayuda. En el caso de los costes de funcionamiento justificados de los GAL, podrá aplicarse el porcentaje máximo de intensidad de ayuda del 100 % del punto 12 del anexo III.». </w:t>
      </w:r>
    </w:p>
    <w:p w:rsidR="00786B3E" w:rsidRDefault="00786B3E" w:rsidP="00786B3E">
      <w:r>
        <w:t> </w:t>
      </w:r>
    </w:p>
    <w:p w:rsidR="00786B3E" w:rsidRDefault="00786B3E" w:rsidP="00786B3E">
      <w:r>
        <w:t>La ayuda prevista en el artículo 34 (1) (a) del RDC («apoyo preparatorio»): </w:t>
      </w:r>
    </w:p>
    <w:p w:rsidR="00786B3E" w:rsidRDefault="00786B3E" w:rsidP="00786B3E">
      <w:pPr>
        <w:numPr>
          <w:ilvl w:val="0"/>
          <w:numId w:val="284"/>
        </w:numPr>
      </w:pPr>
      <w:r>
        <w:t xml:space="preserve">es de interés colectivo, </w:t>
      </w:r>
      <w:r w:rsidR="002F3719">
        <w:t xml:space="preserve">ya que, </w:t>
      </w:r>
      <w:r>
        <w:t>tiene por objeto apoyar una estrategia para la comunidad local; </w:t>
      </w:r>
    </w:p>
    <w:p w:rsidR="00786B3E" w:rsidRDefault="00786B3E" w:rsidP="00786B3E">
      <w:pPr>
        <w:numPr>
          <w:ilvl w:val="0"/>
          <w:numId w:val="284"/>
        </w:numPr>
      </w:pPr>
      <w:r>
        <w:t xml:space="preserve">garantiza el acceso público a sus resultados, </w:t>
      </w:r>
      <w:r w:rsidR="002F3719">
        <w:t xml:space="preserve">ya que, </w:t>
      </w:r>
      <w:r>
        <w:t>cualquier persona elegible puede solicitar un proyecto en el marco de la estrategia de desarrollo local. </w:t>
      </w:r>
    </w:p>
    <w:p w:rsidR="00786B3E" w:rsidRDefault="00786B3E" w:rsidP="00786B3E">
      <w:r>
        <w:t>Así pues, parece cumplirse la disposición de la fila 13 del anexo III del Reglamento (UE) no 2021/1139, lo que significa que la intensidad máxima de ayuda para el apoyo preparatorio en el marco del DLP es del 100 %. </w:t>
      </w:r>
    </w:p>
    <w:p w:rsidR="00786B3E" w:rsidRDefault="00786B3E" w:rsidP="00786B3E"/>
    <w:p w:rsidR="00786B3E" w:rsidRDefault="00786B3E" w:rsidP="00786B3E">
      <w:pPr>
        <w:pStyle w:val="P68B1DB1-Normal1"/>
      </w:pPr>
      <w:r>
        <w:t>Respuesta.</w:t>
      </w:r>
    </w:p>
    <w:p w:rsidR="00786B3E" w:rsidRDefault="00786B3E" w:rsidP="00786B3E">
      <w:r>
        <w:t xml:space="preserve">Las disposiciones del artículo 41 y del anexo III del FEMPA [Reglamento (UE) 2021/1139] se aplican para definir la intensidad máxima de la ayuda en virtud del artículo 34, apartado 1, letra a), del RDC [Reglamento (UE) 2021/1060] para el desarrollo de </w:t>
      </w:r>
      <w:r>
        <w:lastRenderedPageBreak/>
        <w:t>capacidades y las acciones preparatorias de apoyo al diseño y la futura aplicación de la estrategia.  </w:t>
      </w:r>
    </w:p>
    <w:p w:rsidR="00786B3E" w:rsidRDefault="00786B3E" w:rsidP="00786B3E">
      <w:r>
        <w:t> </w:t>
      </w:r>
    </w:p>
    <w:p w:rsidR="00786B3E" w:rsidRDefault="00786B3E" w:rsidP="00786B3E">
      <w:r>
        <w:t xml:space="preserve">Los costes correspondientes pueden estar sujetos a diferentes porcentajes máximos de intensidad de la ayuda. En consonancia con la fila 13 del anexo III del Reglamento FEMPA, en el caso de las </w:t>
      </w:r>
      <w:r>
        <w:rPr>
          <w:i/>
        </w:rPr>
        <w:t>operaciones relacionadas con el DLP apoyadas en virtud del artículo 30 del Reglamento FEMPA, que cumplan al menos uno de los criterios siguientes</w:t>
      </w:r>
      <w:r>
        <w:t>: </w:t>
      </w:r>
    </w:p>
    <w:p w:rsidR="00786B3E" w:rsidRDefault="00786B3E" w:rsidP="00786B3E">
      <w:r>
        <w:rPr>
          <w:i/>
        </w:rPr>
        <w:t>I) sean de interés colectivo;</w:t>
      </w:r>
      <w:r>
        <w:t> </w:t>
      </w:r>
    </w:p>
    <w:p w:rsidR="00786B3E" w:rsidRDefault="00786B3E" w:rsidP="00786B3E">
      <w:r>
        <w:rPr>
          <w:i/>
        </w:rPr>
        <w:t>II) que tengan un beneficiario colectivo; o</w:t>
      </w:r>
      <w:r>
        <w:t> </w:t>
      </w:r>
    </w:p>
    <w:p w:rsidR="00786B3E" w:rsidRDefault="00786B3E" w:rsidP="00786B3E">
      <w:r>
        <w:rPr>
          <w:i/>
        </w:rPr>
        <w:t>III) tengan características innovadoras, cuando proceda, a nivel local y garanticen el acceso del público a sus resultados.</w:t>
      </w:r>
      <w:r>
        <w:t> </w:t>
      </w:r>
    </w:p>
    <w:p w:rsidR="00786B3E" w:rsidRDefault="00786B3E" w:rsidP="00786B3E">
      <w:r>
        <w:t> </w:t>
      </w:r>
    </w:p>
    <w:p w:rsidR="00786B3E" w:rsidRDefault="00786B3E" w:rsidP="00786B3E">
      <w:r>
        <w:t>Pueden beneficiarse de un porcentaje máximo de intensidad de ayuda del 100 % si al menos uno de los tres criterios especificados anteriormente se aplica a la ayuda preparatoria en el marco del DLP, y la ayuda puede beneficiarse de una intensidad máxima de ayuda del 100 %.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p w:rsidR="00786B3E" w:rsidRDefault="00786B3E" w:rsidP="00786B3E"/>
    <w:p w:rsidR="00786B3E" w:rsidRDefault="00786B3E" w:rsidP="00786B3E">
      <w:pPr>
        <w:pStyle w:val="Ttulo1"/>
      </w:pPr>
      <w:bookmarkStart w:id="712" w:name="scroll-bookmark-818"/>
      <w:bookmarkStart w:id="713" w:name="scroll-bookmark-819"/>
      <w:bookmarkEnd w:id="712"/>
      <w:r>
        <w:t>QA00294 — Medidas aplicadas por la autoridad de gestión — Normas de comunicación — Interreg</w:t>
      </w:r>
      <w:bookmarkEnd w:id="713"/>
    </w:p>
    <w:p w:rsidR="00786B3E" w:rsidRDefault="00786B3E" w:rsidP="00786B3E">
      <w:r>
        <w:rPr>
          <w:noProof/>
          <w:lang w:val="es-ES"/>
        </w:rPr>
        <w:drawing>
          <wp:inline distT="0" distB="0" distL="0" distR="0" wp14:anchorId="7DC462AB" wp14:editId="720A403D">
            <wp:extent cx="152435" cy="152435"/>
            <wp:effectExtent l="0" t="0" r="0" b="0"/>
            <wp:docPr id="101431" name="Imagen 1014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36 del Reglamento (UE) 2021/1059 (Reglamento Interreg)</w:t>
      </w:r>
    </w:p>
    <w:p w:rsidR="00786B3E" w:rsidRDefault="00786B3E" w:rsidP="00786B3E">
      <w:r>
        <w:rPr>
          <w:noProof/>
          <w:lang w:val="es-ES"/>
        </w:rPr>
        <w:drawing>
          <wp:inline distT="0" distB="0" distL="0" distR="0" wp14:anchorId="0E4F69C3" wp14:editId="17990C39">
            <wp:extent cx="152435" cy="152435"/>
            <wp:effectExtent l="0" t="0" r="0" b="0"/>
            <wp:docPr id="101433" name="Imagen 1014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lastRenderedPageBreak/>
        <w:br/>
        <w:t>Pregunta 1 (incluidos los hechos e información pertinentes):</w:t>
      </w:r>
    </w:p>
    <w:p w:rsidR="00786B3E" w:rsidRDefault="00786B3E" w:rsidP="00786B3E">
      <w:r>
        <w:t>De conformidad con el artículo 36, apartado 6, del Reglamento Interreg, la autoridad de gestión aplicará medidas cancelando hasta el 2 % de la ayuda de los fondos en caso de que un socio de una operación Interreg o un perceptor final no haya adoptado medidas correctoras para respetar las disposiciones en materia de transparencia y comunicación.</w:t>
      </w:r>
    </w:p>
    <w:p w:rsidR="00786B3E" w:rsidRDefault="00786B3E" w:rsidP="00786B3E">
      <w:pPr>
        <w:numPr>
          <w:ilvl w:val="0"/>
          <w:numId w:val="285"/>
        </w:numPr>
      </w:pPr>
      <w:r>
        <w:t>¿Cuándo debe aplicar la AG una corrección financiera y cómo puede decidir sobre la corrección que debe aplicarse?</w:t>
      </w:r>
    </w:p>
    <w:p w:rsidR="00786B3E" w:rsidRDefault="00786B3E" w:rsidP="00786B3E">
      <w:pPr>
        <w:numPr>
          <w:ilvl w:val="0"/>
          <w:numId w:val="285"/>
        </w:numPr>
      </w:pPr>
      <w:r>
        <w:t>¿A qué corrección se aplica? ¿Debe aplicarse al presupuesto del socio de que se trate o puede aplicarse a una factura o acción específica? ¿Qué ocurre si la AG utiliza opciones de costes simplificados para reembolsar al socio del proyecto?</w:t>
      </w:r>
    </w:p>
    <w:p w:rsidR="00786B3E" w:rsidRDefault="00786B3E" w:rsidP="00786B3E">
      <w:pPr>
        <w:numPr>
          <w:ilvl w:val="0"/>
          <w:numId w:val="285"/>
        </w:numPr>
      </w:pPr>
      <w:r>
        <w:t>¿Puede aplicarse la corrección varias veces?</w:t>
      </w:r>
    </w:p>
    <w:p w:rsidR="00786B3E" w:rsidRDefault="00786B3E" w:rsidP="00786B3E">
      <w:r>
        <w:rPr>
          <w:i/>
        </w:rPr>
        <w:t> </w:t>
      </w:r>
      <w:r>
        <w:rPr>
          <w:b/>
        </w:rPr>
        <w:t>Respuesta.</w:t>
      </w:r>
    </w:p>
    <w:p w:rsidR="00786B3E" w:rsidRDefault="00786B3E" w:rsidP="00786B3E">
      <w:pPr>
        <w:numPr>
          <w:ilvl w:val="0"/>
          <w:numId w:val="286"/>
        </w:numPr>
      </w:pPr>
      <w:r>
        <w:t>De conformidad con el artículo 36, apartado 6, del Reglamento Interreg, cuando no se hayan puesto en marcha medidas correctoras, la autoridad de gestión está obligada a aplicar medidas, teniendo en cuenta el principio de proporcionalidad, cancelando hasta el 2 % de la ayuda de los fondos al beneficiario que no cumpla lo dispuesto en el artículo 47 del Reglamento (UE) 2021/1060 o en el artículo 36, apartado 4, y (5) del Reglamento Interreg, o al perceptor final que no cumpla lo dispuesto en el artículo 36, apartado 5, del Reglamento Interreg. Antes de aplicar las medidas mencionadas, la autoridad de gestión debe permitir al beneficiario/destinatario final adoptar medidas correctoras. La decisión sobre las medidas que deben aplicarse en cada caso debe basarse en la evaluación de la autoridad de gestión con arreglo a su propio procedimiento y teniendo en cuenta el principio de proporcionalidad.</w:t>
      </w:r>
    </w:p>
    <w:p w:rsidR="00786B3E" w:rsidRDefault="00786B3E" w:rsidP="00786B3E">
      <w:pPr>
        <w:numPr>
          <w:ilvl w:val="0"/>
          <w:numId w:val="286"/>
        </w:numPr>
      </w:pPr>
      <w:r>
        <w:t>La cancelación de hasta el 2 % debe aplicarse a la ayuda de los fondos de la operación atribuible al beneficiario/perceptor final que no cumpla lo dispuesto en el artículo 47 del Reglamento (UE) 2021/1060 o en el artículo 36, apartado 4, y (5) del Reglamento Interreg. Esto es independiente de las formas de reembolso (costes reales u opciones de costes simplificados). La cancelación puede aplicarse a la ayuda de los fondos concedidos al beneficiario/perceptor final o a la ayuda de los fondos sobre la base de una solicitud de pago.</w:t>
      </w:r>
    </w:p>
    <w:p w:rsidR="00786B3E" w:rsidRDefault="00786B3E" w:rsidP="00786B3E">
      <w:pPr>
        <w:numPr>
          <w:ilvl w:val="0"/>
          <w:numId w:val="286"/>
        </w:numPr>
      </w:pPr>
      <w:r>
        <w:t>Las medidas previstas en el artículo 36, apartado 6, del Reglamento Interreg pueden ser aplicadas por la autoridad de gestión una o varias veces; la única restricción legal a este respecto es que no pueden superar el 2 % de la ayuda de los fondos.</w:t>
      </w:r>
    </w:p>
    <w:p w:rsidR="00786B3E" w:rsidRDefault="00786B3E" w:rsidP="00786B3E"/>
    <w:p w:rsidR="00786B3E" w:rsidRDefault="00786B3E" w:rsidP="00786B3E">
      <w:r>
        <w:t>(NOTA: La pregunta y la respuesta son aplicables a las operaciones incluidas en el ámbito de aplicación del Reglamento Interreg. Las operaciones ejecutadas en el marco del objetivo de inversión en empleo y crecimiento deben cumplir lo dispuesto en el artículo 50, apartado 3, del RDC.)</w:t>
      </w:r>
    </w:p>
    <w:p w:rsidR="00786B3E" w:rsidRDefault="00786B3E" w:rsidP="00786B3E"/>
    <w:p w:rsidR="00786B3E" w:rsidRDefault="00786B3E" w:rsidP="00786B3E"/>
    <w:p w:rsidR="00786B3E" w:rsidRDefault="00786B3E" w:rsidP="00786B3E">
      <w:pPr>
        <w:pStyle w:val="Ttulo1"/>
      </w:pPr>
      <w:bookmarkStart w:id="714" w:name="scroll-bookmark-820"/>
      <w:bookmarkStart w:id="715" w:name="scroll-bookmark-821"/>
      <w:bookmarkEnd w:id="714"/>
      <w:r>
        <w:t>QA00295 — Publicación de documentos del Comité de seguimiento</w:t>
      </w:r>
      <w:bookmarkEnd w:id="715"/>
    </w:p>
    <w:p w:rsidR="00786B3E" w:rsidRDefault="00786B3E" w:rsidP="00786B3E">
      <w:r>
        <w:rPr>
          <w:noProof/>
          <w:lang w:val="es-ES"/>
        </w:rPr>
        <w:drawing>
          <wp:inline distT="0" distB="0" distL="0" distR="0" wp14:anchorId="6576AAE4" wp14:editId="1486D1E9">
            <wp:extent cx="152435" cy="152435"/>
            <wp:effectExtent l="0" t="0" r="0" b="0"/>
            <wp:docPr id="101435" name="Imagen 1014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Artículos 38 y 69 (5) del RDC</w:t>
      </w:r>
    </w:p>
    <w:p w:rsidR="00786B3E" w:rsidRDefault="00786B3E" w:rsidP="00786B3E">
      <w:r>
        <w:rPr>
          <w:noProof/>
          <w:lang w:val="es-ES"/>
        </w:rPr>
        <w:drawing>
          <wp:inline distT="0" distB="0" distL="0" distR="0" wp14:anchorId="132F8C66" wp14:editId="2229D3BD">
            <wp:extent cx="152435" cy="152435"/>
            <wp:effectExtent l="0" t="0" r="0" b="0"/>
            <wp:docPr id="101437" name="Imagen 1014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El artículo 38, apartado 4</w:t>
      </w:r>
      <w:r>
        <w:rPr>
          <w:i/>
        </w:rPr>
        <w:t xml:space="preserve">, del RDC establece que «el reglamento interno del comité de seguimiento y los datos </w:t>
      </w:r>
      <w:r>
        <w:rPr>
          <w:i/>
          <w:u w:val="single"/>
        </w:rPr>
        <w:t>e información compartidos con el comité de</w:t>
      </w:r>
      <w:r>
        <w:rPr>
          <w:i/>
        </w:rPr>
        <w:t xml:space="preserve"> seguimiento se publicarán en el sitio web a que se refiere el artículo 49, apartado 1, sin perjuicio de lo </w:t>
      </w:r>
      <w:proofErr w:type="spellStart"/>
      <w:r>
        <w:rPr>
          <w:i/>
        </w:rPr>
        <w:t>dispuesto</w:t>
      </w:r>
      <w:r>
        <w:t>en</w:t>
      </w:r>
      <w:proofErr w:type="spellEnd"/>
      <w:r>
        <w:t xml:space="preserve"> el artículo 69, apartado 5,».</w:t>
      </w:r>
    </w:p>
    <w:p w:rsidR="00786B3E" w:rsidRDefault="00786B3E" w:rsidP="00786B3E">
      <w:r>
        <w:t>En Portugal, la práctica actual de las autoridades de gestión del programa FSE + consiste en publicar en el sitio web únicamente las versiones finales de los documentos compartidos y, en su caso, aprobados en el MC. ¿Cumpliría esta interpretación los requisitos del artículo 38, apartado 4, del RDC? ¿Se aplicaría la misma lógica en caso de consulta escrita: ¿bastaría con publicar únicamente los documentos finales o adoptados (por ejemplo, los criterios de selección)?</w:t>
      </w:r>
    </w:p>
    <w:p w:rsidR="00786B3E" w:rsidRDefault="00786B3E" w:rsidP="00786B3E">
      <w:r>
        <w:t> </w:t>
      </w:r>
    </w:p>
    <w:p w:rsidR="00786B3E" w:rsidRDefault="00786B3E" w:rsidP="00786B3E">
      <w:pPr>
        <w:pStyle w:val="P68B1DB1-Normal1"/>
      </w:pPr>
      <w:r>
        <w:t>Respuesta.</w:t>
      </w:r>
    </w:p>
    <w:p w:rsidR="00786B3E" w:rsidRDefault="00786B3E" w:rsidP="00786B3E">
      <w:r>
        <w:t>Sobre la base del artículo 38, apartado 4, del RDC, los datos y la información compartidos con el comité de seguimiento deben publicarse en el sitio web del programa a que se refiere el artículo 49, apartado 1, del RDC, sin perjuicio de lo dispuesto en el artículo 69, apartado 5.</w:t>
      </w:r>
    </w:p>
    <w:p w:rsidR="00786B3E" w:rsidRDefault="00786B3E" w:rsidP="00786B3E">
      <w:r>
        <w:t>La razón de ser de esta disposición es doble: si bien su objetivo es garantizar la transparencia del trabajo del comité de seguimiento, también garantiza que los ciudadanos y las partes interesadas o afectadas por las decisiones del comité de seguimiento en relación con el uso de los fondos estén debidamente informadas. Por lo tanto, es importante garantizar que la aplicación de esta disposición proporcione a los ciudadanos y a las partes interesadas un acceso fácil y sencillo a la documentación examinada y, en su caso, aprobada por el comité de seguimiento.</w:t>
      </w:r>
    </w:p>
    <w:p w:rsidR="00786B3E" w:rsidRDefault="00786B3E" w:rsidP="00786B3E">
      <w:r>
        <w:t xml:space="preserve">Sobre la base de lo anterior, los documentos presentados al comité de seguimiento deben estar disponibles en el sitio web del programa a que se refiere el artículo 49, apartado 1, del RDC, excepto en el caso de los documentos que entran en el ámbito de aplicación de la excepción prevista en el artículo 69, apartado 5, del </w:t>
      </w:r>
      <w:proofErr w:type="spellStart"/>
      <w:r>
        <w:t>RDC,</w:t>
      </w:r>
      <w:r>
        <w:rPr>
          <w:i/>
        </w:rPr>
        <w:t>a</w:t>
      </w:r>
      <w:proofErr w:type="spellEnd"/>
      <w:r>
        <w:rPr>
          <w:i/>
        </w:rPr>
        <w:t xml:space="preserve"> saber, «cuando el Derecho de la Unión o el Derecho nacional excluya dicha publicación por motivos de seguridad, orden público, investigaciones penales o protección de datos personales de conformidad con el Reglamento (UE) n.o</w:t>
      </w:r>
      <w:r>
        <w:t xml:space="preserve"> 2016/679».</w:t>
      </w:r>
    </w:p>
    <w:p w:rsidR="00786B3E" w:rsidRDefault="00786B3E" w:rsidP="00786B3E">
      <w:r>
        <w:lastRenderedPageBreak/>
        <w:t>El proceso de presentación de un documento al comité de seguimiento, incluida la naturaleza de los documentos, las personas habilitadas y el procedimiento, así como el calendario y los detalles técnicos de la publicación, incluidos los que vayan más allá de los requisitos mínimos establecidos en el RDC, está sujeto al reglamento interno del comité de seguimiento.</w:t>
      </w:r>
    </w:p>
    <w:p w:rsidR="00786B3E" w:rsidRDefault="00786B3E" w:rsidP="00786B3E">
      <w:r>
        <w:t>Es aceptable sustituir un documento presentado previamente al comité de seguimiento y ya publicado en el sitio web del programa por su versión final resultante del examen o aprobación de conformidad con el artículo 40 del RDC, para facilitar la identificación y el acceso a los documentos finales aprobados o examinados.</w:t>
      </w:r>
    </w:p>
    <w:p w:rsidR="00786B3E" w:rsidRDefault="00786B3E" w:rsidP="00786B3E">
      <w:r>
        <w:t>Sin embargo, las disposiciones anteriores solo establecen los requisitos mínimos relativos a la transparencia del trabajo del comité de seguimiento. Los Estados miembros y la autoridad de gestión son libres de hacer más para garantizar la transparencia del trabajo del comité de seguimiento.</w:t>
      </w:r>
    </w:p>
    <w:p w:rsidR="00786B3E" w:rsidRDefault="00786B3E" w:rsidP="00786B3E"/>
    <w:p w:rsidR="00786B3E" w:rsidRDefault="00786B3E" w:rsidP="00786B3E"/>
    <w:p w:rsidR="00786B3E" w:rsidRDefault="00786B3E" w:rsidP="00786B3E">
      <w:pPr>
        <w:pStyle w:val="Ttulo1"/>
      </w:pPr>
      <w:bookmarkStart w:id="716" w:name="scroll-bookmark-822"/>
      <w:bookmarkStart w:id="717" w:name="scroll-bookmark-823"/>
      <w:bookmarkEnd w:id="716"/>
      <w:r>
        <w:t>QA00026 — Financiación cruzada</w:t>
      </w:r>
      <w:bookmarkEnd w:id="717"/>
    </w:p>
    <w:p w:rsidR="00786B3E" w:rsidRDefault="00786B3E" w:rsidP="00786B3E">
      <w:r>
        <w:rPr>
          <w:noProof/>
          <w:lang w:val="es-ES"/>
        </w:rPr>
        <w:drawing>
          <wp:inline distT="0" distB="0" distL="0" distR="0" wp14:anchorId="39ACB35B" wp14:editId="31697EA7">
            <wp:extent cx="152435" cy="152435"/>
            <wp:effectExtent l="0" t="0" r="0" b="0"/>
            <wp:docPr id="101439" name="Imagen 1014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25, apartado 2, del Reglamento sobre disposiciones comunes.</w:t>
      </w:r>
    </w:p>
    <w:p w:rsidR="00786B3E" w:rsidRDefault="00786B3E" w:rsidP="00786B3E">
      <w:r>
        <w:rPr>
          <w:noProof/>
          <w:lang w:val="es-ES"/>
        </w:rPr>
        <w:drawing>
          <wp:inline distT="0" distB="0" distL="0" distR="0" wp14:anchorId="372CA948" wp14:editId="4766F61D">
            <wp:extent cx="152435" cy="152435"/>
            <wp:effectExtent l="0" t="0" r="0" b="0"/>
            <wp:docPr id="101441" name="Imagen 1014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Pr>
        <w:pStyle w:val="P68B1DB1-Normal1"/>
      </w:pPr>
      <w:r>
        <w:t>Pregunta 1 (incluidos los hechos e información pertinentes):</w:t>
      </w:r>
    </w:p>
    <w:p w:rsidR="00786B3E" w:rsidRDefault="00786B3E" w:rsidP="00786B3E">
      <w:pPr>
        <w:pStyle w:val="P68B1DB1-Normal9"/>
      </w:pPr>
      <w:r>
        <w:t>Artículo 25.2</w:t>
      </w:r>
    </w:p>
    <w:p w:rsidR="00786B3E" w:rsidRDefault="00786B3E" w:rsidP="00786B3E">
      <w:pPr>
        <w:pStyle w:val="P68B1DB1-Normal4"/>
      </w:pPr>
      <w:r>
        <w:t>2.El FEDER y el FSE + podrán financiar, de forma complementaria y con un límite del 15% de la ayuda de dichos Fondos por cada prioridad de un programa, la totalidad o una parte de una operación cuyos costes sean elegibles para la ayuda del otro Fondo según las normas de elegibilidad que se le apliquen, a condición de que esos costes sean necesarios para la ejecución de la operación. [...]</w:t>
      </w:r>
    </w:p>
    <w:p w:rsidR="00786B3E" w:rsidRDefault="00786B3E" w:rsidP="00786B3E">
      <w:pPr>
        <w:numPr>
          <w:ilvl w:val="0"/>
          <w:numId w:val="287"/>
        </w:numPr>
      </w:pPr>
      <w:r>
        <w:t>¿Cómo debemos entender la condición de que «</w:t>
      </w:r>
      <w:r>
        <w:rPr>
          <w:i/>
        </w:rPr>
        <w:t xml:space="preserve">tales costes son necesarios </w:t>
      </w:r>
      <w:r>
        <w:rPr>
          <w:b/>
          <w:i/>
        </w:rPr>
        <w:t>para la aplicación</w:t>
      </w:r>
      <w:r>
        <w:rPr>
          <w:b/>
        </w:rPr>
        <w:t>»</w:t>
      </w:r>
      <w:r>
        <w:t xml:space="preserve">? </w:t>
      </w:r>
      <w:proofErr w:type="gramStart"/>
      <w:r>
        <w:rPr>
          <w:b/>
          <w:u w:val="single"/>
        </w:rPr>
        <w:t>¿Cuál es la ejecución del</w:t>
      </w:r>
      <w:r>
        <w:t xml:space="preserve"> programa, la ejecución de la prioridad o la ejecución, por ejemplo, de la operación «principal» del FSE + que requiere algunos costes necesarios del FEDER que recibirán apoyo del FSE +.</w:t>
      </w:r>
      <w:proofErr w:type="gramEnd"/>
    </w:p>
    <w:p w:rsidR="00786B3E" w:rsidRDefault="00786B3E" w:rsidP="00786B3E">
      <w:pPr>
        <w:numPr>
          <w:ilvl w:val="0"/>
          <w:numId w:val="287"/>
        </w:numPr>
      </w:pPr>
      <w:r>
        <w:t>Hemos entendido que la financiación cruzada puede apoyar parte de una operación (igual que 2014 2020) o una operación completa (nueva para 2021 2027). ¿Cómo debemos aplicar la nueva posibilidad de contar con una operación plenamente apoyada en el marco de la financiación cruzada?</w:t>
      </w:r>
    </w:p>
    <w:p w:rsidR="00786B3E" w:rsidRDefault="00786B3E" w:rsidP="00786B3E">
      <w:r>
        <w:t xml:space="preserve">(2.1)   Por ejemplo, los costes de las operaciones son costes subvencionables del FEDER, pero a) la operación en sí debe ser subvencionable para el FSE + y asignarse a uno de los objetivos específicos del FSE + O b) ¿debe asignarse a un objetivo específico del FEDER? Si es la posibilidad b), ¿cómo deberíamos incluir el objetivo específico del FEDER en una prioridad del FSE + con cargo a un solo Fondo? Si es a) ¿debería el texto del programa </w:t>
      </w:r>
      <w:r>
        <w:lastRenderedPageBreak/>
        <w:t>mencionar, por ejemplo, que las infraestructuras recibirán apoyo mediante financiación cruzada, en el marco de la prioridad del FSE +, aunque no sea obligatorio mencionar el uso de la financiación cruzada en el PO?</w:t>
      </w:r>
    </w:p>
    <w:p w:rsidR="00786B3E" w:rsidRDefault="00786B3E" w:rsidP="00786B3E">
      <w:r>
        <w:t>(2.2)   Si los costes subvencionables del FEDER financiados por el FSE + son una operación independiente de la operación principal del FSE +, ¿cómo debe demostrar el Estado miembro que los costes del FEDER son necesarios para la ejecución [de la operación principal del FSE +]?</w:t>
      </w:r>
    </w:p>
    <w:p w:rsidR="00786B3E" w:rsidRDefault="00786B3E" w:rsidP="00786B3E">
      <w:pPr>
        <w:numPr>
          <w:ilvl w:val="0"/>
          <w:numId w:val="288"/>
        </w:numPr>
      </w:pPr>
      <w:r>
        <w:t>Los cambios en el artículo exigen confirmar de nuevo qué normas de los Fondos serán aplicables: si las operaciones/costes del FSE se financian con cargo al FEDER:</w:t>
      </w:r>
    </w:p>
    <w:p w:rsidR="00786B3E" w:rsidRDefault="00786B3E" w:rsidP="00786B3E">
      <w:r>
        <w:t>(3.1)</w:t>
      </w:r>
      <w:proofErr w:type="gramStart"/>
      <w:r>
        <w:t>   ¿</w:t>
      </w:r>
      <w:proofErr w:type="gramEnd"/>
      <w:r>
        <w:t>qué categorías de intervención deberían mencionarse en el PO (la relacionada con la operación del FEDER?)</w:t>
      </w:r>
    </w:p>
    <w:p w:rsidR="00786B3E" w:rsidRDefault="00786B3E" w:rsidP="00786B3E">
      <w:r>
        <w:t>(3.2)</w:t>
      </w:r>
      <w:proofErr w:type="gramStart"/>
      <w:r>
        <w:t>   ¿</w:t>
      </w:r>
      <w:proofErr w:type="gramEnd"/>
      <w:r>
        <w:t>Deberían utilizarse indicadores comunes del FSE +?</w:t>
      </w:r>
    </w:p>
    <w:p w:rsidR="00786B3E" w:rsidRDefault="00786B3E" w:rsidP="00786B3E">
      <w:r>
        <w:t>(3.3)</w:t>
      </w:r>
      <w:proofErr w:type="gramStart"/>
      <w:r>
        <w:t>   ¿</w:t>
      </w:r>
      <w:proofErr w:type="gramEnd"/>
      <w:r>
        <w:t>Qué condiciones favorecedoras serán aplicables?</w:t>
      </w:r>
    </w:p>
    <w:p w:rsidR="00786B3E" w:rsidRDefault="00786B3E" w:rsidP="00786B3E">
      <w:r>
        <w:t>(3.4)</w:t>
      </w:r>
      <w:proofErr w:type="gramStart"/>
      <w:r>
        <w:t>   ¿</w:t>
      </w:r>
      <w:proofErr w:type="gramEnd"/>
      <w:r>
        <w:t>Para qué Fondo se incluirán los importes en los cálculos para comprobar la concentración temática?</w:t>
      </w:r>
    </w:p>
    <w:p w:rsidR="00786B3E" w:rsidRDefault="00786B3E" w:rsidP="00786B3E">
      <w:pPr>
        <w:numPr>
          <w:ilvl w:val="0"/>
          <w:numId w:val="289"/>
        </w:numPr>
      </w:pPr>
      <w:r>
        <w:t>¿Cómo se garantizará la notificación de la financiación cruzada?</w:t>
      </w:r>
    </w:p>
    <w:p w:rsidR="00786B3E" w:rsidRDefault="00786B3E" w:rsidP="00786B3E">
      <w:pPr>
        <w:numPr>
          <w:ilvl w:val="0"/>
          <w:numId w:val="289"/>
        </w:numPr>
      </w:pPr>
      <w:r>
        <w:t>¿Cómo interpretar que los costes son necesarios para la ejecución? ¿Podría confirmar que comparte las interpretaciones que figuran a continuación y proporcionar un razonamiento jurídico más sólido?</w:t>
      </w:r>
    </w:p>
    <w:p w:rsidR="00786B3E" w:rsidRDefault="00786B3E" w:rsidP="00786B3E">
      <w:r>
        <w:rPr>
          <w:u w:val="single"/>
        </w:rPr>
        <w:t>Caso 1:</w:t>
      </w:r>
      <w:r>
        <w:t xml:space="preserve"> FEDER que apoya algunos costes del FSE +: una infraestructura local construida parcialmente a través de la formación o de voluntarios locales. En este caso, los costes del FSE son claramente necesarios para construir la infraestructura. Puede recurrirse a la financiación cruzada.</w:t>
      </w:r>
    </w:p>
    <w:p w:rsidR="00786B3E" w:rsidRDefault="00786B3E" w:rsidP="00786B3E">
      <w:r>
        <w:rPr>
          <w:u w:val="single"/>
        </w:rPr>
        <w:t>Caso 2:</w:t>
      </w:r>
      <w:r>
        <w:t xml:space="preserve"> FEDER que apoya algunos costes del FSE +: El FEDER apoya la construcción de un centro de EFP. Los costes/operaciones del FSE + son formaciones en este centro. La acción del FSE + no es necesaria para construir el centro, por lo que no puede utilizarse la financiación cruzada. </w:t>
      </w:r>
    </w:p>
    <w:p w:rsidR="00786B3E" w:rsidRDefault="00786B3E" w:rsidP="00786B3E">
      <w:r>
        <w:rPr>
          <w:u w:val="single"/>
        </w:rPr>
        <w:t>Caso 3</w:t>
      </w:r>
      <w:r>
        <w:t>: Apoyo del FSE + a los costes del FEDER: Un Estado miembro tiene previsto invertir con el FSE + en infraestructuras domésticas para un grupo de personas mayores o con discapacidad del FSE +. Proporciona a otro grupo de personas de edad avanzada o con discapacidad mejores servicios apoyados por el FSE +. Dado que la infraestructura no es necesaria para la mejora de los servicios, no puede recurrirse a la financiación cruzada.</w:t>
      </w:r>
    </w:p>
    <w:p w:rsidR="00786B3E" w:rsidRDefault="00786B3E" w:rsidP="00786B3E">
      <w:r>
        <w:rPr>
          <w:u w:val="single"/>
        </w:rPr>
        <w:t>Caso 4:</w:t>
      </w:r>
      <w:r>
        <w:t xml:space="preserve"> El FSE + apoya los costes del FEDER. El FSE + apoya algunas formaciones. Los costes/operaciones del FEDER apoyan la construcción del centro de EFP. Este caso es menos claro y podría depender de las posibilidades de organizar la formación en otro lugar o no. Además, es probablemente teórico porque el 15 % del FSE + probablemente será demasiado pequeño para apoyar la construcción de una infraestructura. Sin embargo, los costes del FEDER podrían ser necesarios si se prevé un elevado número de operaciones del FSE + en el mismo lugar.</w:t>
      </w:r>
    </w:p>
    <w:p w:rsidR="00786B3E" w:rsidRDefault="00786B3E" w:rsidP="00786B3E">
      <w:r>
        <w:rPr>
          <w:u w:val="single"/>
        </w:rPr>
        <w:lastRenderedPageBreak/>
        <w:t>Caso 5</w:t>
      </w:r>
      <w:r>
        <w:t>: El FSE + apoya los costes del FEDER. El FSE + apoya algunas formaciones en un centro de EFP que requerirán algunos costes del FEDER para mejorar la accesibilidad o renovar algunas salas. Los costes/operación del FEDER son necesarios para la operación del FSE +. Puede recurrirse a la financiación cruzada.</w:t>
      </w:r>
    </w:p>
    <w:p w:rsidR="00786B3E" w:rsidRDefault="00786B3E" w:rsidP="00786B3E"/>
    <w:p w:rsidR="00786B3E" w:rsidRDefault="00786B3E" w:rsidP="00786B3E">
      <w:pPr>
        <w:pStyle w:val="P68B1DB1-Normal1"/>
      </w:pPr>
      <w:r>
        <w:t>Respuesta.</w:t>
      </w:r>
    </w:p>
    <w:p w:rsidR="00786B3E" w:rsidRDefault="00786B3E" w:rsidP="00786B3E">
      <w:pPr>
        <w:numPr>
          <w:ilvl w:val="0"/>
          <w:numId w:val="290"/>
        </w:numPr>
      </w:pPr>
      <w:r>
        <w:t>El artículo 25, apartado 2, del RDC permite al FEDER y al FSE + financiar</w:t>
      </w:r>
      <w:r>
        <w:rPr>
          <w:b/>
        </w:rPr>
        <w:t>, de manera complementaria y con un límite del 15 % de la ayuda de dichos Fondos para cada prioridad de</w:t>
      </w:r>
      <w:r>
        <w:t xml:space="preserve"> un programa, la totalidad o parte de una operación cuyos costes puedan optar a la ayuda del otro Fondo sobre la base de las normas de subvencionabilidad aplicadas a dicho Fondo, siempre </w:t>
      </w:r>
      <w:r>
        <w:rPr>
          <w:b/>
        </w:rPr>
        <w:t>que dichos costes sean necesarios para</w:t>
      </w:r>
      <w:r>
        <w:t xml:space="preserve"> la ejecución.  A diferencia del período 2014-2020, la financiación complementaria por parte del FEDER y el FSE +, de conformidad con el artículo 25, apartado 2, del RDC, está permitida para «la totalidad o parte de una operación»; sin embargo, en ambas situaciones, la ayuda de los Fondos a los costes subvencionables en el marco del otro Fondo debe ser necesaria para la consecución del objetivo y la meta específicos de la prioridad en virtud de la cual se ejecutan. No obstante, esta disposición debe leerse en relación con el artículo 73, apartado 2, letra a), del RDC, que establece la responsabilidad de la autoridad de gestión para garantizar que las operaciones seleccionadas contribuyan eficazmente a la consecución de los objetivos específicos del programa. Por consiguiente, en el caso de las operaciones que estén total o parcialmente objeto de financiación cruzada, la condición de que «tales costes sean necesarios para la ejecución» debe aplicarse al objetivo específico en virtud del cual se ejecutan.</w:t>
      </w:r>
    </w:p>
    <w:p w:rsidR="00786B3E" w:rsidRDefault="00786B3E" w:rsidP="00786B3E"/>
    <w:p w:rsidR="00786B3E" w:rsidRDefault="00786B3E" w:rsidP="00786B3E">
      <w:pPr>
        <w:numPr>
          <w:ilvl w:val="0"/>
          <w:numId w:val="291"/>
        </w:numPr>
      </w:pPr>
      <w:r>
        <w:t>A diferencia del período 2014-2020, el nuevo artículo 25, apartado 2, del RDC también permite la financiación complementaria de toda una operación (además de la financiación parcial que ocurrió en 2014-2020). Sin embargo, la financiación cruzada es diferente de las transferencias: la parte o la totalidad de la operación sujeta a financiación cruzada debe cumplir las normas de subvencionabilidad del otro fondo, pero no son aplicables otras disposiciones del otro fondo. Además, los recursos no se transfieren a otro Fondo, es decir, se mantienen como recursos del Fondo, a pesar de ser utilizados para financiar los costes subvencionables del otro Fondo.</w:t>
      </w:r>
    </w:p>
    <w:p w:rsidR="00786B3E" w:rsidRDefault="00786B3E" w:rsidP="00786B3E">
      <w:r>
        <w:t>(2.1)   Los elementos de financiación cruzada deben cumplir las normas de subvencionabilidad del otro fondo. Más concretamente, en caso de que el coste total de la operación sea cofinanciado por el FSE + pero esté sujeto a financiación cruzada de conformidad con las normas de subvencionabilidad aplicables al FEDER, dicha operación debe cumplir las normas de subvencionabilidad del FEDER. No se aplica ninguna otra disposición específica del FEDER. Además, la operación debe recibir apoyo en el marco de un objetivo específico del FSE + y debe demostrarse que su ejecución es necesaria para la ejecución de dicho objetivo específico del programa del FSE +.</w:t>
      </w:r>
    </w:p>
    <w:p w:rsidR="00786B3E" w:rsidRDefault="00786B3E" w:rsidP="00786B3E">
      <w:r>
        <w:lastRenderedPageBreak/>
        <w:t>Aunque el Reglamento sobre disposiciones comunes no exige que se mencione explícitamente la financiación cruzada en el texto del programa, el artículo 22, apartado 3, letra d), inciso i), del RDC exige que se facilite información sobre el tipo de acciones que deben apoyarse. Por lo tanto, en caso de que la autoridad de gestión tenga previsto hacer uso de esta posibilidad para toda una operación, esto puede tener un impacto en el tipo de acciones identificadas en el programa. Además, los planes de financiación cruzada también deben indicarse en la sección 2.1.1.1.3 «Desglose indicativo de los recursos programados (UE) por tipos de intervención». La autoridad de gestión debe seleccionar códigos relacionados con el tipo de intervención que vaya a subvencionarse de conformidad con las normas de subvencionabilidad del otro fondo, es decir, en el caso de un objetivo específico del FSE + apoyado por la acción del tipo FEDER, los códigos pertinentes relacionados con el FEDER deben seleccionarse e incluirse en la sección 2.1.1.1.3 del programa.</w:t>
      </w:r>
    </w:p>
    <w:p w:rsidR="00786B3E" w:rsidRDefault="00786B3E" w:rsidP="00786B3E">
      <w:r>
        <w:t>(2.2)   Es responsabilidad de la autoridad de gestión asegurarse y documentar que la operación financiada total o parcialmente mediante financiación cruzada procedente del otro fondo es necesaria para la ejecución del mismo objetivo específico del programa en virtud del cual se ejecuta.</w:t>
      </w:r>
    </w:p>
    <w:p w:rsidR="00786B3E" w:rsidRDefault="00786B3E" w:rsidP="00786B3E">
      <w:pPr>
        <w:numPr>
          <w:ilvl w:val="0"/>
          <w:numId w:val="292"/>
        </w:numPr>
      </w:pPr>
      <w:r>
        <w:t>En caso de que una prioridad del FEDER sea la financiación de costes subvencionables en el marco del FSE +, los elementos de financiación cruzada deben cumplir las disposiciones relativas a la subvencionabilidad del FSE +. Dado que el artículo 25, apartado 2, del RDC solo determina que la ayuda se basa en las normas de subvencionabilidad del otro Fondo, significa que solo se aplicarán las normas de subvencionabilidad del otro Fondo.</w:t>
      </w:r>
    </w:p>
    <w:p w:rsidR="00786B3E" w:rsidRDefault="00786B3E" w:rsidP="00786B3E">
      <w:r>
        <w:t>(3.1)   De conformidad con el anexo I del RDC, en caso de que el FEDER apoye acciones del tipo FSE + necesarias para la ejecución, se aplicará el código 172. (NOTA: Por el contrario, si el FSE + financia acciones del tipo FEDER necesarias para la ejecución, deben utilizarse los códigos pertinentes enumerados para el FEDER en el anexo I del RDC.) Cabe señalar que, de conformidad con el artículo 73, apartado 2, letra g), del RDC, al seleccionar las operaciones, la autoridad de gestión debe garantizar que las operaciones seleccionadas se atribuyan a un tipo de intervención. </w:t>
      </w:r>
    </w:p>
    <w:p w:rsidR="00786B3E" w:rsidRDefault="00786B3E" w:rsidP="00786B3E">
      <w:r>
        <w:t>(3.2)   Los indicadores comunes no entran en el ámbito de aplicación de las normas de subvencionabilidad. Por lo tanto, el seguimiento de los indicadores comunes y la presentación de informes sobre ellos deben seguir las normas del fondo que proporcionan los recursos financieros de la operación. En el caso concreto de la cuestión, deben seguirse las normas del FEDER.</w:t>
      </w:r>
    </w:p>
    <w:p w:rsidR="00786B3E" w:rsidRDefault="00786B3E" w:rsidP="00786B3E">
      <w:r>
        <w:t>(3.3)   Las condiciones favorables están vinculadas a objetivos específicos. Los elementos objeto de financiación cruzada (en este ejemplo específico) se siguen aplicando en el marco de los objetivos específicos del FEDER. Por lo tanto, serán aplicables las condiciones favorecedoras pertinentes para el objetivo específico en virtud de las cuales se ejecuta la operación financiada.</w:t>
      </w:r>
    </w:p>
    <w:p w:rsidR="00786B3E" w:rsidRDefault="00786B3E" w:rsidP="00786B3E">
      <w:r>
        <w:t>(3.4)   En caso de que una prioridad del FEDER financie total o parcialmente una operación mediante financiación cruzada, el FEDER sigue prestando ayuda financiera. El importe de la financiación cruzada debe contabilizarse con respecto a las disposiciones de concentración temática del FEDER.</w:t>
      </w:r>
    </w:p>
    <w:p w:rsidR="00786B3E" w:rsidRDefault="00786B3E" w:rsidP="00786B3E">
      <w:pPr>
        <w:numPr>
          <w:ilvl w:val="0"/>
          <w:numId w:val="293"/>
        </w:numPr>
      </w:pPr>
      <w:r>
        <w:lastRenderedPageBreak/>
        <w:t>Por lo que se refiere a la notificación, el anexo VII del RDC incluye la plantilla para la presentación periódica de informes con arreglo al artículo 42. El cuadro 2 de esta plantilla proporcionará datos sobre «Desglose de los datos financieros acumulados por tipo de intervención». En este cuadro, la evolución del importe de la financiación cruzada irá seguida de códigos de intervención que reflejen la financiación cruzada para cada objetivo y prioridad específicos.  El uso de los códigos de intervención del otro Fondo permitirá controlar el cumplimiento del límite máximo del 15 % establecido en el artículo 25, apartado 2, del RDC. Los Estados miembros facilitarán este cuadro cinco veces al año.</w:t>
      </w:r>
    </w:p>
    <w:p w:rsidR="00786B3E" w:rsidRDefault="00786B3E" w:rsidP="00786B3E">
      <w:pPr>
        <w:numPr>
          <w:ilvl w:val="0"/>
          <w:numId w:val="293"/>
        </w:numPr>
      </w:pPr>
      <w:r>
        <w:t>En consonancia con los puntos anteriores (en particular, los puntos 1 y 2.2), es responsabilidad de la autoridad de gestión asegurarse y documentar que la operación financiada total o parcialmente mediante financiación cruzada procedente del otro fondo es necesaria para la realización del mismo objetivo específico del programa en el marco del cual se ejecuta.</w:t>
      </w:r>
    </w:p>
    <w:p w:rsidR="00786B3E" w:rsidRDefault="00786B3E" w:rsidP="00786B3E">
      <w:r>
        <w:t>Por lo que se refiere a los casos específicos para los que se solicita confirmación, sin conocer la estructura del programa en el que se prevé su ejecución, la información no es suficiente para determinar si pueden ser aceptables para la financiación cruzada. Sobre la base de la información facilitada y en consonancia con lo anterior, todos ellos pueden optar a financiación cruzada, pero la confirmación final solo puede facilitarse en el contexto de la estructura del programa con el que se financian.</w:t>
      </w:r>
    </w:p>
    <w:p w:rsidR="00786B3E" w:rsidRDefault="00786B3E" w:rsidP="00786B3E"/>
    <w:p w:rsidR="00786B3E" w:rsidRDefault="00786B3E" w:rsidP="00786B3E"/>
    <w:p w:rsidR="00786B3E" w:rsidRDefault="00786B3E" w:rsidP="00786B3E">
      <w:pPr>
        <w:pStyle w:val="Ttulo1"/>
      </w:pPr>
      <w:bookmarkStart w:id="718" w:name="scroll-bookmark-824"/>
      <w:bookmarkStart w:id="719" w:name="scroll-bookmark-825"/>
      <w:bookmarkEnd w:id="718"/>
      <w:r>
        <w:t>QA00296 — Reembolso de los gastos tras el cumplimiento de una condición favorecedora no cumplida previamente — consecuencias</w:t>
      </w:r>
      <w:bookmarkEnd w:id="719"/>
    </w:p>
    <w:p w:rsidR="00786B3E" w:rsidRDefault="00786B3E" w:rsidP="00786B3E">
      <w:r>
        <w:rPr>
          <w:noProof/>
          <w:lang w:val="es-ES"/>
        </w:rPr>
        <w:drawing>
          <wp:inline distT="0" distB="0" distL="0" distR="0" wp14:anchorId="53FC90E6" wp14:editId="1B4FA3A5">
            <wp:extent cx="152435" cy="152435"/>
            <wp:effectExtent l="0" t="0" r="0" b="0"/>
            <wp:docPr id="101443" name="Imagen 1014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15 del RDC </w:t>
      </w:r>
    </w:p>
    <w:p w:rsidR="00786B3E" w:rsidRDefault="00786B3E" w:rsidP="00786B3E">
      <w:r>
        <w:t>Artículo 73 del RDC </w:t>
      </w:r>
    </w:p>
    <w:p w:rsidR="00786B3E" w:rsidRDefault="00786B3E" w:rsidP="00786B3E">
      <w:r>
        <w:t>Artículo 74 del RDC </w:t>
      </w:r>
    </w:p>
    <w:p w:rsidR="00786B3E" w:rsidRDefault="00786B3E" w:rsidP="00786B3E">
      <w:r>
        <w:t>Artículo 96 y 97 del RDC </w:t>
      </w:r>
    </w:p>
    <w:p w:rsidR="00786B3E" w:rsidRDefault="00786B3E" w:rsidP="00786B3E">
      <w:r>
        <w:rPr>
          <w:noProof/>
          <w:lang w:val="es-ES"/>
        </w:rPr>
        <w:drawing>
          <wp:inline distT="0" distB="0" distL="0" distR="0" wp14:anchorId="5945AD7B" wp14:editId="611D3EE5">
            <wp:extent cx="152435" cy="152435"/>
            <wp:effectExtent l="0" t="0" r="0" b="0"/>
            <wp:docPr id="101445" name="Imagen 1014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Siguiendo el procedimiento previsto en el artículo 15, apartado 4, del RDC, es decir, cuando una condición favorable pasa de no cumplirse a cumplirse, ¿cómo tramitará la Comisión las solicitudes de pago presentadas por el Estado miembro, que incluye los gastos efectuados por los beneficiarios y que se incluyó previamente en el apéndice 2 de la solicitud de pago antes de que se cumpliera la condición favorable?</w:t>
      </w:r>
    </w:p>
    <w:p w:rsidR="00786B3E" w:rsidRDefault="00786B3E" w:rsidP="00786B3E"/>
    <w:p w:rsidR="00786B3E" w:rsidRDefault="00786B3E" w:rsidP="00786B3E">
      <w:pPr>
        <w:pStyle w:val="P68B1DB1-Normal1"/>
      </w:pPr>
      <w:r>
        <w:t>Respuesta.</w:t>
      </w:r>
    </w:p>
    <w:p w:rsidR="00786B3E" w:rsidRDefault="00786B3E" w:rsidP="00786B3E">
      <w:r>
        <w:t>Cuando el Estado miembro haya informado a la Comisión de que se ha cumplido una condición favorable que previamente no se había cumplido y la Comisión adopte una decisión de conformidad con el artículo 15, apartado 4, del RDC en la que esté de acuerdo con el Estado miembro, el Estado miembro debe declarar el gasto en la parte principal de la solicitud de pago para que la Comisión pueda reembolsar los importes. El cumplimiento de la condición favorable no activará automáticamente los pagos de la Comisión por los gastos previamente introducidos en el apéndice 2 (o en el apéndice 3 para los programas FAMI, IGFV y FSI) de la solicitud de pago, por lo que los importes deben reintroducirse en la parte principal de una nueva solicitud de pago.</w:t>
      </w:r>
    </w:p>
    <w:p w:rsidR="00786B3E" w:rsidRDefault="00786B3E" w:rsidP="00786B3E">
      <w:r>
        <w:t>Es importante recordar que los Estados miembros velarán por que los gastos consignados en las cuentas sean legales y regulares, incluidos todos los gastos declarados en relación con una condición favorecedora no cumplida previamente que se haya incurrido cuando no se cumplió la condición favorecedora.</w:t>
      </w:r>
    </w:p>
    <w:p w:rsidR="00786B3E" w:rsidRDefault="00786B3E" w:rsidP="00786B3E"/>
    <w:p w:rsidR="00786B3E" w:rsidRDefault="00786B3E" w:rsidP="00786B3E"/>
    <w:p w:rsidR="00786B3E" w:rsidRDefault="00786B3E" w:rsidP="00786B3E"/>
    <w:p w:rsidR="00786B3E" w:rsidRDefault="00786B3E" w:rsidP="00786B3E">
      <w:pPr>
        <w:pStyle w:val="Ttulo1"/>
      </w:pPr>
      <w:bookmarkStart w:id="720" w:name="scroll-bookmark-826"/>
      <w:bookmarkStart w:id="721" w:name="scroll-bookmark-827"/>
      <w:bookmarkEnd w:id="720"/>
      <w:r>
        <w:t>QA00298 — Utilización de OCS a la luz del artículo 56, apartado 1, del RDC</w:t>
      </w:r>
      <w:bookmarkEnd w:id="721"/>
    </w:p>
    <w:p w:rsidR="00786B3E" w:rsidRDefault="00786B3E" w:rsidP="00786B3E">
      <w:r>
        <w:rPr>
          <w:noProof/>
          <w:lang w:val="es-ES"/>
        </w:rPr>
        <w:drawing>
          <wp:inline distT="0" distB="0" distL="0" distR="0" wp14:anchorId="3A02B0A8" wp14:editId="143FF23A">
            <wp:extent cx="152435" cy="152435"/>
            <wp:effectExtent l="0" t="0" r="0" b="0"/>
            <wp:docPr id="101447" name="Imagen 1014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56, apartado 1, del Reglamento sobre disposiciones comunes.</w:t>
      </w:r>
    </w:p>
    <w:p w:rsidR="00786B3E" w:rsidRDefault="00786B3E" w:rsidP="00786B3E">
      <w:r>
        <w:rPr>
          <w:noProof/>
          <w:lang w:val="es-ES"/>
        </w:rPr>
        <w:drawing>
          <wp:inline distT="0" distB="0" distL="0" distR="0" wp14:anchorId="743C62B3" wp14:editId="4BA35FBE">
            <wp:extent cx="152435" cy="152435"/>
            <wp:effectExtent l="0" t="0" r="0" b="0"/>
            <wp:docPr id="101449" name="Imagen 1014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¿Es posible utilizar las disposiciones del artículo 56 (1) del RDC para apoyar un proyecto que forme parte de una operación más amplia, mientras que el resto de los proyectos de la operación se basan en costes reales?</w:t>
      </w:r>
    </w:p>
    <w:p w:rsidR="00786B3E" w:rsidRDefault="00786B3E" w:rsidP="00786B3E">
      <w:r>
        <w:t>Medio:</w:t>
      </w:r>
    </w:p>
    <w:p w:rsidR="00786B3E" w:rsidRDefault="00786B3E" w:rsidP="00786B3E">
      <w:r>
        <w:t>En uno de los programas regionales existen operaciones modulares, planificadas como apoyo global a proyectos de I + D. Una operación de este tipo la ejecuta un beneficiario (una empresa) en el marco de un contrato de financiación. Sin embargo, hay hasta 5 proyectos dentro del mismo (cada uno con su propio presupuesto, calendario e indicadores establecidos explícitamente en el contrato).</w:t>
      </w:r>
    </w:p>
    <w:p w:rsidR="00786B3E" w:rsidRDefault="00786B3E" w:rsidP="00786B3E">
      <w:r>
        <w:t xml:space="preserve">Cada uno de los proyectos (o «módulos» según la AG los llama) se financia sobre la base de una base jurídica diferente, </w:t>
      </w:r>
      <w:r w:rsidR="002F3719">
        <w:t xml:space="preserve">ya que, </w:t>
      </w:r>
      <w:r>
        <w:t>toda la operación puede contener varios tipos de ayudas estatales, aunque solo el primero es obligatorio:</w:t>
      </w:r>
    </w:p>
    <w:p w:rsidR="00786B3E" w:rsidRDefault="00786B3E" w:rsidP="00786B3E">
      <w:pPr>
        <w:numPr>
          <w:ilvl w:val="0"/>
          <w:numId w:val="294"/>
        </w:numPr>
      </w:pPr>
      <w:r>
        <w:t>Obras de I + D basadas en el artículo 25 del RGEC (obligatorio)</w:t>
      </w:r>
    </w:p>
    <w:p w:rsidR="00786B3E" w:rsidRDefault="00786B3E" w:rsidP="00786B3E">
      <w:pPr>
        <w:numPr>
          <w:ilvl w:val="0"/>
          <w:numId w:val="294"/>
        </w:numPr>
      </w:pPr>
      <w:r>
        <w:lastRenderedPageBreak/>
        <w:t>Ejecución previa de obras de I + D del módulo 1, sobre la base del artículo 28 del RGEC (facultativo)</w:t>
      </w:r>
    </w:p>
    <w:p w:rsidR="00786B3E" w:rsidRDefault="00786B3E" w:rsidP="00786B3E">
      <w:pPr>
        <w:numPr>
          <w:ilvl w:val="0"/>
          <w:numId w:val="294"/>
        </w:numPr>
      </w:pPr>
      <w:r>
        <w:t>Infraestructura de I + D necesaria para llevar a cabo el módulo 1, sobre la base del artículo 14 del RGEC — Ayuda a la inversión (facultativa)</w:t>
      </w:r>
    </w:p>
    <w:p w:rsidR="00786B3E" w:rsidRDefault="00786B3E" w:rsidP="00786B3E">
      <w:pPr>
        <w:numPr>
          <w:ilvl w:val="0"/>
          <w:numId w:val="294"/>
        </w:numPr>
      </w:pPr>
      <w:r>
        <w:t>Aplicación de los efectos de I + D del módulo 1 en la práctica empresarial, sobre la base del artículo 14 del RGEC — ayuda a la inversión (facultativa)</w:t>
      </w:r>
    </w:p>
    <w:p w:rsidR="00786B3E" w:rsidRDefault="00786B3E" w:rsidP="00786B3E">
      <w:pPr>
        <w:numPr>
          <w:ilvl w:val="0"/>
          <w:numId w:val="294"/>
        </w:numPr>
      </w:pPr>
      <w:r>
        <w:t>Desarrollo de competencias del personal de la empresa relacionadas con nuevos procesos/modelos de negocio basados en ayudas de minimis (facultativas).</w:t>
      </w:r>
    </w:p>
    <w:p w:rsidR="00786B3E" w:rsidRDefault="00786B3E" w:rsidP="00786B3E">
      <w:r>
        <w:t>Los costes de personal solo figuran en el módulo 1, y la AG desearía utilizar el artículo 56 (1) para financiar únicamente otros costes relacionados con este módulo.</w:t>
      </w:r>
    </w:p>
    <w:p w:rsidR="00786B3E" w:rsidRDefault="00786B3E" w:rsidP="00786B3E">
      <w:r>
        <w:t>Dado que los módulos 3 y 4 serán en la mayoría de los casos mucho más caros que cualquier otro módulo, el 40 % de los costes de personal del módulo 1 para cubrir todos los demás gastos de la operación en su conjunto no resulta atractivo.</w:t>
      </w:r>
    </w:p>
    <w:p w:rsidR="00786B3E" w:rsidRDefault="00786B3E" w:rsidP="00786B3E">
      <w:r>
        <w:t>Los módulos 2 a 5 se basan en los costes reales.</w:t>
      </w:r>
    </w:p>
    <w:p w:rsidR="00786B3E" w:rsidRDefault="00786B3E" w:rsidP="00786B3E"/>
    <w:p w:rsidR="00786B3E" w:rsidRDefault="00786B3E" w:rsidP="00786B3E">
      <w:pPr>
        <w:pStyle w:val="P68B1DB1-Normal1"/>
      </w:pPr>
      <w:r>
        <w:t>Respuesta.</w:t>
      </w:r>
    </w:p>
    <w:p w:rsidR="00786B3E" w:rsidRDefault="00786B3E" w:rsidP="00786B3E">
      <w:r>
        <w:t>El artículo 56, apartado 1, del RDC establece que puede utilizarse un tipo fijo de hasta el 40 % de los costes directos de personal subvencionables para cubrir el resto de los costes subvencionables de una operación. El Estado miembro no estará obligado a efectuar un cálculo para determinar el tipo aplicable.</w:t>
      </w:r>
    </w:p>
    <w:p w:rsidR="00786B3E" w:rsidRDefault="00786B3E" w:rsidP="00786B3E">
      <w:r>
        <w:t>De conformidad con el artículo 2, punto (4), letra a), del RDC, por «operación» se entiende un proyecto, contrato, acción o grupo de proyectos seleccionados en el marco de los programas de que se trate.</w:t>
      </w:r>
    </w:p>
    <w:p w:rsidR="00786B3E" w:rsidRDefault="00786B3E" w:rsidP="00786B3E">
      <w:r>
        <w:t xml:space="preserve">Corresponde a la autoridad de gestión definir el alcance de la operación. Según la configuración descrita, entendemos que la autoridad de gestión la ha definido como una operación compuesta por varios proyectos/módulos. De conformidad con el artículo 56, apartado 1, del RDC, el tipo fijo de hasta el 40 % debe cubrir todos los costes subvencionables </w:t>
      </w:r>
      <w:r>
        <w:rPr>
          <w:b/>
        </w:rPr>
        <w:t>restantes de</w:t>
      </w:r>
      <w:r>
        <w:t xml:space="preserve"> la operación y no de uno de los proyectos o módulos de la operación. Por lo tanto, si el Estado miembro hace uso del artículo 56, apartado 1, del RDC, no podrán declararse otros costes (es decir, los costes relacionados con otros módulos) además de los costes directos de personal y los costes cubiertos por el tipo fijo de hasta el 40 %.</w:t>
      </w:r>
    </w:p>
    <w:p w:rsidR="00786B3E" w:rsidRDefault="00786B3E" w:rsidP="00786B3E"/>
    <w:p w:rsidR="00786B3E" w:rsidRDefault="00786B3E" w:rsidP="00786B3E"/>
    <w:p w:rsidR="00786B3E" w:rsidRDefault="00786B3E" w:rsidP="00786B3E"/>
    <w:p w:rsidR="00786B3E" w:rsidRDefault="00786B3E" w:rsidP="00786B3E">
      <w:pPr>
        <w:pStyle w:val="Ttulo1"/>
      </w:pPr>
      <w:bookmarkStart w:id="722" w:name="scroll-bookmark-828"/>
      <w:bookmarkStart w:id="723" w:name="scroll-bookmark-829"/>
      <w:bookmarkEnd w:id="722"/>
      <w:r>
        <w:lastRenderedPageBreak/>
        <w:t>QA00299 — Admisibilidad de máquinas alimentadas por combustión de combustibles fósiles aplicando planes de gestión Natura 2000</w:t>
      </w:r>
      <w:bookmarkEnd w:id="723"/>
    </w:p>
    <w:p w:rsidR="00786B3E" w:rsidRDefault="00786B3E" w:rsidP="00786B3E">
      <w:r>
        <w:rPr>
          <w:noProof/>
          <w:lang w:val="es-ES"/>
        </w:rPr>
        <w:drawing>
          <wp:inline distT="0" distB="0" distL="0" distR="0" wp14:anchorId="559CD975" wp14:editId="7D4F4ABF">
            <wp:extent cx="152435" cy="152435"/>
            <wp:effectExtent l="0" t="0" r="0" b="0"/>
            <wp:docPr id="101451" name="Imagen 1014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apartado 1, inciso iii), del Reglamento FEDER/FC</w:t>
      </w:r>
    </w:p>
    <w:p w:rsidR="00786B3E" w:rsidRDefault="00786B3E" w:rsidP="00786B3E">
      <w:r>
        <w:rPr>
          <w:noProof/>
          <w:lang w:val="es-ES"/>
        </w:rPr>
        <w:drawing>
          <wp:inline distT="0" distB="0" distL="0" distR="0" wp14:anchorId="65F37B25" wp14:editId="48C81AB9">
            <wp:extent cx="152435" cy="152435"/>
            <wp:effectExtent l="0" t="0" r="0" b="0"/>
            <wp:docPr id="101453" name="Imagen 1014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Croacia tiene previsto financiar medidas para la restauración y conservación de los espacios Natura 2000 en el marco del objetivo específico (OE) 2.7, según lo previsto en el marco de acción prioritaria y en los planes de gestión de Natura 2000. Algunas de estas actividades requieren a menudo el uso de maquinaria, como cosechadoras de malas hierbas, tractores, carretillas, etc., impulsadas por la combustión de combustibles fósiles, debido al entorno específico en el que operan y a requisitos específicos.</w:t>
      </w:r>
    </w:p>
    <w:p w:rsidR="00786B3E" w:rsidRDefault="00786B3E" w:rsidP="00786B3E">
      <w:r>
        <w:t xml:space="preserve">El artículo 7 del Reglamento FEDER/FC establece </w:t>
      </w:r>
      <w:proofErr w:type="spellStart"/>
      <w:proofErr w:type="gramStart"/>
      <w:r>
        <w:t>que</w:t>
      </w:r>
      <w:r>
        <w:rPr>
          <w:i/>
        </w:rPr>
        <w:t>«</w:t>
      </w:r>
      <w:proofErr w:type="gramEnd"/>
      <w:r>
        <w:rPr>
          <w:i/>
        </w:rPr>
        <w:t>el</w:t>
      </w:r>
      <w:proofErr w:type="spellEnd"/>
      <w:r>
        <w:rPr>
          <w:i/>
        </w:rPr>
        <w:t xml:space="preserve"> FEDER y el Fondo de Cohesión no apoyarán las inversiones relacionadas con la producción, la transformación, el transporte, la distribución, el almacenamiento o la combustión de combustibles fósiles, con excepción de las inversiones en vehículos, aeronaves y buques diseñados y construidos o adaptados para su uso por los servicios de protección civil y </w:t>
      </w:r>
      <w:proofErr w:type="spellStart"/>
      <w:r>
        <w:rPr>
          <w:i/>
        </w:rPr>
        <w:t>de</w:t>
      </w:r>
      <w:r>
        <w:t>bomberos</w:t>
      </w:r>
      <w:proofErr w:type="spellEnd"/>
      <w:r>
        <w:t>».</w:t>
      </w:r>
    </w:p>
    <w:p w:rsidR="00786B3E" w:rsidRDefault="00786B3E" w:rsidP="00786B3E">
      <w:r>
        <w:t>En este marco jurídico, la primera pregunta se refiere a la posibilidad de incluir «maquinaria» en la definición de «vehículos» incluida en el artículo 7, apartado 1, inciso iii), del Reglamento FEDER/FC, teniendo en cuenta que la prestación de servicios de protección civil y de bomberos no se garantiza únicamente mediante la adquisición de vehículos, sino también de otros tipos de maquinaria.</w:t>
      </w:r>
    </w:p>
    <w:p w:rsidR="00786B3E" w:rsidRDefault="00786B3E" w:rsidP="00786B3E">
      <w:r>
        <w:t>La segunda pregunta se refiere a la posibilidad de permitir inversiones en maquinaria de apoyo de la UE, como cosechadoras de malas hierbas, tractores, carretillas, etc., impulsadas por la combustión de combustibles fósiles, cuyo uso no solo sirve para llevar a cabo las actividades previstas en las instalaciones de gestión de Natura 2000, sino también para proporcionar «servicios de protección civil e incendios». A modo de ejemplo, la adquisición de tallos y cosechadoras de humedales para gestionar los prados y humedales, cuyo principal objetivo es alcanzar los objetivos del OE 2.7, también contribuye en paralelo a proporcionar beneficios en materia de prevención de incendios y protección contra las inundaciones. </w:t>
      </w:r>
    </w:p>
    <w:p w:rsidR="00786B3E" w:rsidRDefault="00786B3E" w:rsidP="00786B3E">
      <w:r>
        <w:t>En este contexto, ¿puede optar a la ayuda de la UE la adquisición de máquinas alimentadas mediante la combustión de combustibles fósiles utilizadas para llevar a cabo las actividades del plan de gestión Natura 2000, prestando al mismo tiempo servicios de protección civil e incendios?</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 xml:space="preserve">La adquisición de una máquina alimentada por la combustión de combustibles fósiles puede optar a financiación de la UE si dicha máquina puede considerarse «un vehículo» </w:t>
      </w:r>
      <w:r>
        <w:lastRenderedPageBreak/>
        <w:t xml:space="preserve">en el sentido del artículo 7, apartado 1, letra h), inciso iii), del Reglamento FEDER/FC y </w:t>
      </w:r>
      <w:r>
        <w:rPr>
          <w:i/>
        </w:rPr>
        <w:t xml:space="preserve">si está «diseñada y fabricada o adaptada para su uso por los servicios de protección civil </w:t>
      </w:r>
      <w:proofErr w:type="spellStart"/>
      <w:r>
        <w:rPr>
          <w:i/>
        </w:rPr>
        <w:t>y</w:t>
      </w:r>
      <w:r>
        <w:t>de</w:t>
      </w:r>
      <w:proofErr w:type="spellEnd"/>
      <w:r>
        <w:t xml:space="preserve"> bomberos», aunque, paralelamente, contribuya a la consecución de los objetivos del plan de gestión Natura 2000. El cumplimiento de las condiciones mencionadas debe comprobarse caso por caso.  </w:t>
      </w:r>
    </w:p>
    <w:p w:rsidR="00786B3E" w:rsidRDefault="00786B3E" w:rsidP="00786B3E"/>
    <w:p w:rsidR="00786B3E" w:rsidRDefault="00786B3E" w:rsidP="00786B3E"/>
    <w:p w:rsidR="00786B3E" w:rsidRDefault="00786B3E" w:rsidP="00786B3E">
      <w:pPr>
        <w:pStyle w:val="Ttulo1"/>
      </w:pPr>
      <w:bookmarkStart w:id="724" w:name="scroll-bookmark-830"/>
      <w:bookmarkStart w:id="725" w:name="scroll-bookmark-831"/>
      <w:bookmarkEnd w:id="724"/>
      <w:r>
        <w:t>QA00303 — Ámbito de aplicación de STEP y relación con las normas de subvencionabilidad en el marco de los fondos</w:t>
      </w:r>
      <w:bookmarkEnd w:id="725"/>
    </w:p>
    <w:p w:rsidR="00786B3E" w:rsidRDefault="00786B3E" w:rsidP="00786B3E">
      <w:r>
        <w:rPr>
          <w:noProof/>
          <w:lang w:val="es-ES"/>
        </w:rPr>
        <w:drawing>
          <wp:inline distT="0" distB="0" distL="0" distR="0" wp14:anchorId="3FB614B5" wp14:editId="47453401">
            <wp:extent cx="152435" cy="152435"/>
            <wp:effectExtent l="0" t="0" r="0" b="0"/>
            <wp:docPr id="101455" name="Imagen 1014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Artículos 3, 5 y 7 del Reglamento FEDER</w:t>
      </w:r>
    </w:p>
    <w:p w:rsidR="00786B3E" w:rsidRDefault="00786B3E" w:rsidP="00786B3E">
      <w:r>
        <w:t>Artículos 2, 8, 9 y 11 del Reglamento del FTJ</w:t>
      </w:r>
    </w:p>
    <w:p w:rsidR="00786B3E" w:rsidRDefault="00786B3E" w:rsidP="00786B3E">
      <w:r>
        <w:t>Artículos 4, 12 bis y 16 del Reglamento del FSE +</w:t>
      </w:r>
    </w:p>
    <w:p w:rsidR="00786B3E" w:rsidRDefault="00786B3E" w:rsidP="00786B3E">
      <w:r>
        <w:t>Artículo 73 del RDC</w:t>
      </w:r>
    </w:p>
    <w:p w:rsidR="00786B3E" w:rsidRDefault="00786B3E" w:rsidP="00786B3E">
      <w:r>
        <w:rPr>
          <w:noProof/>
          <w:lang w:val="es-ES"/>
        </w:rPr>
        <w:drawing>
          <wp:inline distT="0" distB="0" distL="0" distR="0" wp14:anchorId="44E8D272" wp14:editId="32DE2F37">
            <wp:extent cx="152435" cy="152435"/>
            <wp:effectExtent l="0" t="0" r="0" b="0"/>
            <wp:docPr id="101457" name="Imagen 1014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3"/>
      </w:pPr>
      <w:r>
        <w:t>Admisibilidad: relación entre el artículo 2 de STEP y el RDC y las normas específicas de los fondos</w:t>
      </w:r>
    </w:p>
    <w:p w:rsidR="00786B3E" w:rsidRDefault="00786B3E" w:rsidP="00786B3E">
      <w:pPr>
        <w:pStyle w:val="P68B1DB1-Normal1"/>
      </w:pPr>
      <w:r>
        <w:t>Pregunta 1:</w:t>
      </w:r>
    </w:p>
    <w:p w:rsidR="00786B3E" w:rsidRDefault="00786B3E" w:rsidP="00786B3E">
      <w:r>
        <w:t>¿Qué tecnologías pueden acogerse al Reglamento STEP? ¿Facilitará la Comisión una lista de tecnologías admisibles en el marco de STEP? ¿Pueden las tecnologías STEP aplicarse a todos los sectores, incluido el sector del transporte marítimo o el alimentario? ¿Es el tipo de tecnología que importa y no el ámbito en el que se aplica?</w:t>
      </w:r>
    </w:p>
    <w:p w:rsidR="00786B3E" w:rsidRDefault="00786B3E" w:rsidP="00786B3E">
      <w:proofErr w:type="spellStart"/>
      <w:r>
        <w:t>Subpregunta</w:t>
      </w:r>
      <w:proofErr w:type="spellEnd"/>
      <w:r>
        <w:t xml:space="preserve"> 1.a: ¿Es posible, por ejemplo, financiar en el marco de STEP los planes de electrificación de los puertos para reducir las emisiones de los buques durante su estancia en el puerto o cargar buques con propulsión eléctrica y baterías?</w:t>
      </w:r>
      <w:r>
        <w:rPr>
          <w:b/>
        </w:rPr>
        <w:t xml:space="preserve"> </w:t>
      </w:r>
    </w:p>
    <w:p w:rsidR="00786B3E" w:rsidRDefault="00786B3E" w:rsidP="00786B3E">
      <w:pPr>
        <w:pStyle w:val="P68B1DB1-Normal1"/>
      </w:pPr>
      <w:r>
        <w:t>Respuesta a la pregunta 1</w:t>
      </w:r>
    </w:p>
    <w:p w:rsidR="00786B3E" w:rsidRDefault="00786B3E" w:rsidP="00786B3E">
      <w:proofErr w:type="spellStart"/>
      <w:r>
        <w:t>Step</w:t>
      </w:r>
      <w:proofErr w:type="spellEnd"/>
      <w:r>
        <w:t xml:space="preserve"> apoya el desarrollo y la fabricación de tecnologías críticas en tres ámbitos tecnológicos: tecnologías digitales e innovación de tecnología avanzada, tecnologías limpias y eficientes en el uso de los recursos, y biotecnologías. De hecho, se considera el tipo de tecnología, siempre que entre en los ámbitos tecnológicos STEP, independientemente de su aplicación específica (incluido el transporte marítimo).</w:t>
      </w:r>
    </w:p>
    <w:p w:rsidR="00786B3E" w:rsidRDefault="00786B3E" w:rsidP="00786B3E">
      <w:r>
        <w:t xml:space="preserve">La </w:t>
      </w:r>
      <w:hyperlink r:id="rId533" w:history="1">
        <w:r>
          <w:rPr>
            <w:rStyle w:val="Hipervnculo"/>
          </w:rPr>
          <w:t>Guía</w:t>
        </w:r>
      </w:hyperlink>
      <w:r>
        <w:t xml:space="preserve"> STEP describe además los ámbitos tecnológicos incluidos en el ámbito de aplicación de STEP y presenta (en la sección 2), para cada ámbito de STEP, una lista indicativa y no exhaustiva de ejemplos y definiciones pertinentes de tecnologías que podrían tenerse en cuenta en el ámbito de los ámbitos de STEP, también sobre la base de publicaciones de la Unión.</w:t>
      </w:r>
    </w:p>
    <w:p w:rsidR="00786B3E" w:rsidRDefault="00786B3E" w:rsidP="00786B3E">
      <w:r>
        <w:lastRenderedPageBreak/>
        <w:t>Una tecnología podría recibir el apoyo de STEP siempre que sea fundamental y específica para el desarrollo y la fabricación de los productos finales dentro del ámbito de aplicación de STEP y cumpla las condiciones de STEP (por ejemplo, relacionada con el carácter innovador o la prevención o reducción de dependencias estratégicas). El despliegue de una tecnología de este tipo no podría apoyarse como inversión STEP.</w:t>
      </w:r>
    </w:p>
    <w:p w:rsidR="00786B3E" w:rsidRDefault="00786B3E" w:rsidP="00786B3E">
      <w:r>
        <w:t>La admisibilidad de una tecnología concreta debe evaluarse caso por caso con arreglo a las condiciones establecidas en el artículo 2 de STEP y a las normas específicas del instrumento o fondo en virtud del cual se financia la tecnología.</w:t>
      </w:r>
    </w:p>
    <w:p w:rsidR="00786B3E" w:rsidRDefault="00786B3E" w:rsidP="00786B3E">
      <w:pPr>
        <w:pStyle w:val="P68B1DB1-Normal1"/>
      </w:pPr>
      <w:r>
        <w:t xml:space="preserve">Respuesta a la </w:t>
      </w:r>
      <w:proofErr w:type="spellStart"/>
      <w:r>
        <w:t>subpregunta</w:t>
      </w:r>
      <w:proofErr w:type="spellEnd"/>
      <w:r>
        <w:t xml:space="preserve"> 1.a:</w:t>
      </w:r>
    </w:p>
    <w:p w:rsidR="00786B3E" w:rsidRDefault="00786B3E" w:rsidP="00786B3E">
      <w:r>
        <w:t>El desarrollo y la fabricación de tecnologías limpias y eficientes en el uso de los recursos, incluidas las tecnologías de propulsión eólica y eléctrica, podrían estar en consonancia con el artículo 2 de STEP, siempre que cumplan las condiciones de STEP. Sin embargo, el despliegue de estas tecnologías en los puertos no podría.</w:t>
      </w:r>
    </w:p>
    <w:p w:rsidR="00786B3E" w:rsidRDefault="00786B3E" w:rsidP="00786B3E"/>
    <w:p w:rsidR="00786B3E" w:rsidRDefault="00786B3E" w:rsidP="00786B3E"/>
    <w:p w:rsidR="00786B3E" w:rsidRDefault="00786B3E" w:rsidP="00786B3E">
      <w:pPr>
        <w:pStyle w:val="P68B1DB1-Normal1"/>
      </w:pPr>
      <w:r>
        <w:t>Pregunta 2</w:t>
      </w:r>
    </w:p>
    <w:p w:rsidR="00786B3E" w:rsidRDefault="00786B3E" w:rsidP="00786B3E">
      <w:r>
        <w:t>¿Cuál es la relación entre la admisibilidad en virtud de STEP (artículo 2 del Reglamento STEP) y la admisibilidad con arreglo a los fondos? ¿Qué nuevas tecnologías pueden optar al FEDER y al FTJ en el marco de STEP?</w:t>
      </w:r>
    </w:p>
    <w:p w:rsidR="00786B3E" w:rsidRDefault="00786B3E" w:rsidP="00786B3E">
      <w:pPr>
        <w:pStyle w:val="P68B1DB1-Normal1"/>
      </w:pPr>
      <w:r>
        <w:t> Respuesta a la pregunta 2</w:t>
      </w:r>
    </w:p>
    <w:p w:rsidR="00786B3E" w:rsidRDefault="00786B3E" w:rsidP="00786B3E">
      <w:r>
        <w:t>Para que se considere que la inversión/tecnología pertinente de STEP debe cumplir el artículo 2 del Reglamento STEP (véase la respuesta a la pregunta 1).</w:t>
      </w:r>
    </w:p>
    <w:p w:rsidR="00786B3E" w:rsidRDefault="00786B3E" w:rsidP="00786B3E">
      <w:r>
        <w:t>Las inversiones compatibles con el artículo 2 del Reglamento STEP deben ser subvencionables y estar incluidas en el ámbito de aplicación de los fondos: deben cumplir las normas de subvencionabilidad establecidas en el RDC y los reglamentos específicos de los fondos (como se indica en el considerando 19 del Reglamento STEP).</w:t>
      </w:r>
    </w:p>
    <w:p w:rsidR="00786B3E" w:rsidRDefault="00786B3E" w:rsidP="00786B3E">
      <w:r>
        <w:t>Por lo que respecta al FEDER y al FTJ, las inversiones deben cumplir, en particular, los artículos 5 y 7 del Reglamento FEDER/FC y los artículos 8 y 9 del Reglamento del FTJ (exclusiones del ámbito de aplicación), es decir, la inversión STEP no puede financiarse si están excluidas del ámbito de aplicación de los fondos.</w:t>
      </w:r>
    </w:p>
    <w:p w:rsidR="00786B3E" w:rsidRDefault="00786B3E" w:rsidP="00786B3E">
      <w:r>
        <w:t>En lo que respecta al FSE +, las operaciones STEP deben contribuir a los objetivos específicos del FSE + (artículo 4 del FSE +) y cumplir las normas de subvencionabilidad, en particular las establecidas en el artículo 16 del FSE +.</w:t>
      </w:r>
    </w:p>
    <w:p w:rsidR="00786B3E" w:rsidRDefault="00786B3E" w:rsidP="00786B3E">
      <w:pPr>
        <w:pStyle w:val="P68B1DB1-Normal1"/>
      </w:pPr>
      <w:r>
        <w:t> </w:t>
      </w:r>
    </w:p>
    <w:p w:rsidR="00786B3E" w:rsidRDefault="00786B3E" w:rsidP="00786B3E">
      <w:pPr>
        <w:pStyle w:val="Ttulo2"/>
      </w:pPr>
      <w:bookmarkStart w:id="726" w:name="scroll-bookmark-832"/>
      <w:r>
        <w:t xml:space="preserve">Admisibilidad con arreglo a las normas específicas de los Fondos: ámbito de aplicación de la ayuda, inversión en empresas distintas de las pymes </w:t>
      </w:r>
      <w:bookmarkEnd w:id="726"/>
    </w:p>
    <w:p w:rsidR="00786B3E" w:rsidRDefault="00786B3E" w:rsidP="00786B3E">
      <w:pPr>
        <w:pStyle w:val="P68B1DB1-Normal1"/>
      </w:pPr>
      <w:r>
        <w:t>Pregunta 3</w:t>
      </w:r>
    </w:p>
    <w:p w:rsidR="00786B3E" w:rsidRDefault="00786B3E" w:rsidP="00786B3E">
      <w:r>
        <w:lastRenderedPageBreak/>
        <w:t>¿Será posible el apoyo del FEDER a empresas distintas de las pymes en las regiones en transición y en las regiones menos desarrolladas?</w:t>
      </w:r>
    </w:p>
    <w:p w:rsidR="00786B3E" w:rsidRDefault="00786B3E" w:rsidP="00786B3E">
      <w:pPr>
        <w:pStyle w:val="P68B1DB1-Normal1"/>
      </w:pPr>
      <w:r>
        <w:t> Respuesta a la pregunta 3</w:t>
      </w:r>
    </w:p>
    <w:p w:rsidR="00786B3E" w:rsidRDefault="00786B3E" w:rsidP="00786B3E">
      <w:r>
        <w:t>De conformidad con el nuevo artículo 5, apartado 2, letra e), del Reglamento sobre el Fondo Europeo de Desarrollo Regional, el FEDER (como se explica en el considerando 19 del Reglamento STEP) apoyará inversiones productivas en empresas distintas de las pymes cuando contribuyan al objetivo específico de STEP en el marco del OP 1, o al objetivo específico de STEP en el marco del OP 2, en regiones menos desarrolladas y en transición (en todos los Estados miembros), así como en regiones más desarrolladas de Estados miembros cuyo PIB medio per cápita sea inferior a la media de la EU-27, medido en estándares de poder adquisitivo y calculado sobre la base de las cifras de la Unión para el período 2015-2017, manteniendo al mismo tiempo la atención prestada a las pymes. Esos Estados miembros son: BG, CZ, EE, EL, ES, HR, IT, CY, LV, LT, HU, MT, PL, PT, RO, SI Y SK. (Fuente: Eurostat). La financiación sigue estando sujeta a las normas aplicables en materia de ayudas estatales.</w:t>
      </w:r>
    </w:p>
    <w:p w:rsidR="00786B3E" w:rsidRDefault="00786B3E" w:rsidP="00786B3E">
      <w:r>
        <w:t xml:space="preserve">En el marco de Interreg, las inversiones productivas en empresas distintas de las pymes son subvencionables siempre que la cobertura geográfica del programa </w:t>
      </w:r>
      <w:r>
        <w:rPr>
          <w:b/>
        </w:rPr>
        <w:t>dentro de la Unión</w:t>
      </w:r>
      <w:r>
        <w:t xml:space="preserve"> consista </w:t>
      </w:r>
      <w:r>
        <w:rPr>
          <w:b/>
        </w:rPr>
        <w:t>exclusivamente</w:t>
      </w:r>
      <w:r>
        <w:t xml:space="preserve"> en las regiones enumeradas anteriormente.</w:t>
      </w:r>
    </w:p>
    <w:p w:rsidR="00786B3E" w:rsidRDefault="00786B3E" w:rsidP="00786B3E"/>
    <w:p w:rsidR="00786B3E" w:rsidRDefault="00786B3E" w:rsidP="00786B3E">
      <w:pPr>
        <w:pStyle w:val="P68B1DB1-Normal1"/>
      </w:pPr>
      <w:r>
        <w:t>Pregunta 4</w:t>
      </w:r>
    </w:p>
    <w:p w:rsidR="00786B3E" w:rsidRDefault="00786B3E" w:rsidP="00786B3E">
      <w:r>
        <w:t>¿Se aplica la ayuda a empresas distintas de las pymes independientemente de la categoría de región o zona en el marco del FTJ?</w:t>
      </w:r>
    </w:p>
    <w:p w:rsidR="00786B3E" w:rsidRDefault="00786B3E" w:rsidP="00786B3E">
      <w:pPr>
        <w:pStyle w:val="P68B1DB1-Normal1"/>
      </w:pPr>
      <w:r>
        <w:t>Respuesta a la pregunta 4</w:t>
      </w:r>
    </w:p>
    <w:p w:rsidR="00786B3E" w:rsidRDefault="00786B3E" w:rsidP="00786B3E">
      <w:r>
        <w:t>El nuevo párrafo añadido al artículo 8, apartado 2, del FTJ, relativo a las inversiones productivas en empresas distintas de las pymes, no restringe las inversiones productivas relacionadas con las pymes a las zonas asistidas («zona asistida»: una zona «a» o una «zona «c»»; «zonas «a»»: zonas designadas en un mapa de ayudas regionales de conformidad con el artículo 107, apartado 3, letra a), del Tratado, y «zonas «c»»: zonas designadas en un mapa de ayudas regionales de conformidad con el artículo 107, apartado 3, letra c), del Tratado. Sin embargo, estas inversiones productivas deben ser compatibles con la contribución prevista a la transición a la neutralidad climática en una región designada cubierta por el plan territorial de transición justa, tal como se establece en los planes territoriales de transición justa, y deben cumplir las normas aplicables sobre ayudas estatales y las normas aplicables establecidas en el RDC y el Reglamento del FTJ.</w:t>
      </w:r>
    </w:p>
    <w:p w:rsidR="00786B3E" w:rsidRDefault="00786B3E" w:rsidP="00786B3E"/>
    <w:p w:rsidR="00786B3E" w:rsidRDefault="00786B3E" w:rsidP="00786B3E">
      <w:pPr>
        <w:pStyle w:val="P68B1DB1-Normal1"/>
      </w:pPr>
      <w:r>
        <w:t>Pregunta 5</w:t>
      </w:r>
    </w:p>
    <w:p w:rsidR="00786B3E" w:rsidRDefault="00786B3E" w:rsidP="00786B3E">
      <w:r>
        <w:t>En cuanto al FTJ, entendemos que las empresas distintas de las pymes que entran en el ámbito de aplicación de las zonas a las que se dirige STEP no se incluirán en la lista prevista en el artículo 11, apartado 2, letra h), y no será necesario un análisis del equilibrio del empleo. Por lo tanto, en estos casos específicos no se modificaría el plan territorial de transición justa. ¿Puede confirmar esta interpretación?</w:t>
      </w:r>
    </w:p>
    <w:p w:rsidR="00786B3E" w:rsidRDefault="00786B3E" w:rsidP="00786B3E">
      <w:r>
        <w:lastRenderedPageBreak/>
        <w:t>¿En qué casos deben modificarse los planes territoriales de transición justa para incluir a las grandes empresas y las nuevas tecnologías subvencionables? En caso de que deba elaborarse una lista de grandes empresas y proyectos, ¿debe enviarse a la Comisión para su validación antes de que se modifique el programa, o debe adjuntarse al programa? Además, ¿debe esta lista ser exhaustiva o puede aumentarse a medida que avanza el programa?</w:t>
      </w:r>
    </w:p>
    <w:p w:rsidR="00786B3E" w:rsidRDefault="00786B3E" w:rsidP="00786B3E">
      <w:r>
        <w:t>Nuestra comprensión es con STEP ya no es necesario llevar a cabo un análisis de deficiencias para conceder apoyo a las inversiones productivas en grandes empresas. Sin embargo, no está claro si sigue siendo necesario proporcionar una lista indicativa de operaciones y grandes empresas que recibirán ayuda.</w:t>
      </w:r>
    </w:p>
    <w:p w:rsidR="00786B3E" w:rsidRDefault="00786B3E" w:rsidP="00786B3E">
      <w:pPr>
        <w:pStyle w:val="P68B1DB1-Normal1"/>
      </w:pPr>
      <w:r>
        <w:t>Respuesta a la pregunta 5</w:t>
      </w:r>
    </w:p>
    <w:p w:rsidR="00786B3E" w:rsidRDefault="00786B3E" w:rsidP="00786B3E">
      <w:r>
        <w:t>Para apoyar las inversiones productivas que contribuyan a los objetivos de STEP en empresas distintas de las pymes en el marco del FTJ, el análisis de la brecha de empleo ya no es necesario de conformidad con el artículo 8, apartado 2, último párrafo, del FTJ, modificado por el Reglamento STEP.</w:t>
      </w:r>
    </w:p>
    <w:p w:rsidR="00786B3E" w:rsidRDefault="00786B3E" w:rsidP="00786B3E">
      <w:r>
        <w:t>Sin embargo, el Reglamento STEP no ha modificado las normas relativas a la lista indicativa de inversiones productivas en empresas distintas de las pymes, a saber:</w:t>
      </w:r>
    </w:p>
    <w:p w:rsidR="00786B3E" w:rsidRDefault="00786B3E" w:rsidP="00786B3E">
      <w:pPr>
        <w:numPr>
          <w:ilvl w:val="0"/>
          <w:numId w:val="295"/>
        </w:numPr>
      </w:pPr>
      <w:r>
        <w:t>la lista debe incluirse en un plan territorial de transición justa, de conformidad con el artículo 11, apartado 2, letra h), del FTJ, siempre que el programa prevea ayudas a inversiones productivas en grandes empresas.</w:t>
      </w:r>
    </w:p>
    <w:p w:rsidR="00786B3E" w:rsidRDefault="00786B3E" w:rsidP="00786B3E">
      <w:pPr>
        <w:numPr>
          <w:ilvl w:val="0"/>
          <w:numId w:val="295"/>
        </w:numPr>
      </w:pPr>
      <w:r>
        <w:t>La lista sigue siendo, en principio, indicativa incluso una vez aprobada por la Comisión en el marco del plan territorial de transición justa como parte del programa. Por lo tanto, la lista no es exhaustiva.</w:t>
      </w:r>
    </w:p>
    <w:p w:rsidR="00786B3E" w:rsidRDefault="00786B3E" w:rsidP="00786B3E">
      <w:pPr>
        <w:numPr>
          <w:ilvl w:val="0"/>
          <w:numId w:val="295"/>
        </w:numPr>
      </w:pPr>
      <w:r>
        <w:t>La lista pierde de facto su carácter «indicativo» si la ayuda se concede con arreglo a las Directrices sobre ayudas estatales de finalidad regional (DAR) a grandes empresas para inversiones iniciales situadas en zonas «c» que no creen nuevas actividades económicas (véase la excepción prevista en el apartado 14 de las DAR). En el caso de estas inversiones, tanto la inversión como el beneficiario deben identificarse en el plan territorial de transición justa de un Estado miembro aprobado por la Comisión antes de que la ayuda pueda notificarse a la Comisión de conformidad con el artículo 108, apartado 3,</w:t>
      </w:r>
      <w:hyperlink w:anchor="scroll-bookmark-833" w:history="1">
        <w:r>
          <w:rPr>
            <w:rStyle w:val="Hipervnculo"/>
          </w:rPr>
          <w:t>del TFUE [</w:t>
        </w:r>
      </w:hyperlink>
      <w:r>
        <w:t xml:space="preserve"> 1].</w:t>
      </w:r>
    </w:p>
    <w:p w:rsidR="00786B3E" w:rsidRDefault="00786B3E" w:rsidP="00786B3E">
      <w:pPr>
        <w:numPr>
          <w:ilvl w:val="0"/>
          <w:numId w:val="295"/>
        </w:numPr>
      </w:pPr>
      <w:r>
        <w:t>Las inversiones de la lista del plan territorial de transición justa aprobado por la Comisión y las inversiones productivas en grandes empresas que puedan identificarse en el futuro (tras la aprobación del plan territorial de transición justa) siguen estando sujetas a procedimientos de selección de conformidad con el artículo 73 del RDC.</w:t>
      </w:r>
    </w:p>
    <w:p w:rsidR="00786B3E" w:rsidRDefault="00786B3E" w:rsidP="00786B3E">
      <w:r>
        <w:t>Por lo tanto, la necesidad de modificar el plan territorial de transición justa y la obligación relativa a la lista indicativa variarán en función de los siguientes casos:</w:t>
      </w:r>
    </w:p>
    <w:p w:rsidR="00786B3E" w:rsidRDefault="00786B3E" w:rsidP="00786B3E">
      <w:pPr>
        <w:pStyle w:val="P68B1DB1-Normal1"/>
        <w:numPr>
          <w:ilvl w:val="0"/>
          <w:numId w:val="296"/>
        </w:numPr>
      </w:pPr>
      <w:r>
        <w:t>El plan territorial de transición justa ya prevé inversiones productivas en grandes empresas, y se identifican nuevas inversiones productivas en grandes empresas:</w:t>
      </w:r>
    </w:p>
    <w:p w:rsidR="00786B3E" w:rsidRDefault="00786B3E" w:rsidP="00786B3E">
      <w:r>
        <w:t xml:space="preserve">Se fomenta la modificación de la lista indicativa, pero no es obligatoria cuando se modifica el programa del FTJ (el plan territorial de transición justa), a menos que la lista </w:t>
      </w:r>
      <w:r>
        <w:lastRenderedPageBreak/>
        <w:t xml:space="preserve">pierda su carácter indicativo </w:t>
      </w:r>
      <w:r w:rsidR="002F3719">
        <w:t xml:space="preserve">ya que, </w:t>
      </w:r>
      <w:r>
        <w:t xml:space="preserve">el Estado miembro decide hacer uso de la excepción prevista en </w:t>
      </w:r>
      <w:proofErr w:type="gramStart"/>
      <w:r>
        <w:t>el</w:t>
      </w:r>
      <w:r>
        <w:rPr>
          <w:i/>
        </w:rPr>
        <w:t xml:space="preserve"> </w:t>
      </w:r>
      <w:r>
        <w:t xml:space="preserve"> apartado</w:t>
      </w:r>
      <w:proofErr w:type="gramEnd"/>
      <w:r>
        <w:t> 14 de las DAR.</w:t>
      </w:r>
    </w:p>
    <w:p w:rsidR="00786B3E" w:rsidRDefault="00786B3E" w:rsidP="00786B3E">
      <w:r>
        <w:t>No obstante, en algunos casos puede ser necesario introducir nuevas modificaciones en el programa, por ejemplo, si se introduce una prioridad específica STEP, se modifican el importe de la ayuda actual y, por consiguiente, los valores de los indicadores, etc.</w:t>
      </w:r>
    </w:p>
    <w:p w:rsidR="00786B3E" w:rsidRDefault="00786B3E" w:rsidP="00786B3E">
      <w:pPr>
        <w:pStyle w:val="P68B1DB1-Normal1"/>
        <w:numPr>
          <w:ilvl w:val="0"/>
          <w:numId w:val="297"/>
        </w:numPr>
      </w:pPr>
      <w:r>
        <w:t>El ámbito de aplicación actual del plan territorial de transición justa no prevé ningún apoyo a las inversiones productivas en grandes empresas:</w:t>
      </w:r>
    </w:p>
    <w:p w:rsidR="00786B3E" w:rsidRDefault="00786B3E" w:rsidP="00786B3E">
      <w:r>
        <w:t>La modificación del plan territorial de transición justa es necesaria y debe llevarse a cabo mediante una modificación del programa. En este caso, el plan territorial de transición justa debe explicar la contribución prevista de dichas inversiones a la mitigación del impacto de la transición. La lista indicativa debe establecerse e incluirse en el plan territorial de transición justa, y otros cambios pertinentes deben reflejarse en el programa.</w:t>
      </w:r>
    </w:p>
    <w:p w:rsidR="00786B3E" w:rsidRDefault="00786B3E" w:rsidP="00786B3E">
      <w:r>
        <w:t>Si el Estado miembro tiene previsto seleccionar inversiones productivas en grandes empresas a través de convocatorias abiertas de proyectos, la lista puede establecerse mediante una convocatoria de manifestaciones de interés previa que permita identificar las operaciones y empresas potencialmente subvencionables. </w:t>
      </w:r>
    </w:p>
    <w:p w:rsidR="00786B3E" w:rsidRDefault="00786B3E" w:rsidP="00786B3E"/>
    <w:p w:rsidR="00786B3E" w:rsidRDefault="00786B3E" w:rsidP="00786B3E">
      <w:pPr>
        <w:pStyle w:val="P68B1DB1-Normal1"/>
      </w:pPr>
      <w:r>
        <w:t>Pregunta 6</w:t>
      </w:r>
    </w:p>
    <w:p w:rsidR="00786B3E" w:rsidRDefault="00786B3E" w:rsidP="00786B3E">
      <w:r>
        <w:t>En lo que respecta al FTJ, cómo entender el artículo 11 del Reglamento STEP: otras empresas pueden recibir apoyo, pero todavía hay que centrarse en las pymes: ¿considera que se trata de un FTJ en su conjunto o solo de una medida?</w:t>
      </w:r>
    </w:p>
    <w:p w:rsidR="00786B3E" w:rsidRDefault="00786B3E" w:rsidP="00786B3E">
      <w:pPr>
        <w:pStyle w:val="P68B1DB1-Normal1"/>
      </w:pPr>
      <w:r>
        <w:t>Respuesta a la pregunta 6</w:t>
      </w:r>
    </w:p>
    <w:p w:rsidR="00786B3E" w:rsidRDefault="00786B3E" w:rsidP="00786B3E">
      <w:r>
        <w:t>El apoyo a las pymes es la norma tanto en el marco del FTJ como del FEDER, mientras que el apoyo a las grandes empresas (empresas distintas de las pymes) es la excepción. El Reglamento STEP no ha modificado esta premisa.</w:t>
      </w:r>
    </w:p>
    <w:p w:rsidR="00786B3E" w:rsidRDefault="00786B3E" w:rsidP="00786B3E"/>
    <w:p w:rsidR="00786B3E" w:rsidRDefault="00786B3E" w:rsidP="00786B3E">
      <w:pPr>
        <w:pStyle w:val="P68B1DB1-Normal1"/>
      </w:pPr>
      <w:r>
        <w:t>Pregunta 7</w:t>
      </w:r>
    </w:p>
    <w:p w:rsidR="00786B3E" w:rsidRDefault="00786B3E" w:rsidP="00786B3E">
      <w:r>
        <w:t>El actual plan territorial de transición justa contiene la frase siguiente: «El apoyo a las inversiones productivas de empresas distintas de las pymes no es subvencionable. ¿Puede la Comisión Europea confirmar que este tipo de frase puede suprimirse de los planes territoriales de transición justa, dejando al AG libre para financiar proyectos empresariales a gran escala si son compatibles con la modificación de STEP?</w:t>
      </w:r>
    </w:p>
    <w:p w:rsidR="00786B3E" w:rsidRDefault="00786B3E" w:rsidP="00786B3E">
      <w:pPr>
        <w:pStyle w:val="P68B1DB1-Normal1"/>
      </w:pPr>
      <w:r>
        <w:t>Respuesta a la pregunta 7</w:t>
      </w:r>
    </w:p>
    <w:p w:rsidR="00786B3E" w:rsidRDefault="00786B3E" w:rsidP="00786B3E">
      <w:r>
        <w:t xml:space="preserve">Si un programa o un plan territorial de transición justa correspondiente contiene disposiciones que no permiten la inversión por parte de empresas distintas de las pymes, debe modificarse independientemente de si contribuyen a los objetivos relacionados con STEP o al objetivo «puro» del FTJ. Se anima a los Estados miembros a que debatan y acuerden previamente con la Comisión el alcance de una modificación del programa antes de la presentación oficial de su solicitud de modificación. Dado que dicho programa aún no cuenta con una lista indicativa de operaciones y grandes empresas, la </w:t>
      </w:r>
      <w:r>
        <w:lastRenderedPageBreak/>
        <w:t>modificación tendrá que incluir dicha lista, tal como se exige en el artículo 11, apartado 2, letra h), del Reglamento del FTJ.</w:t>
      </w:r>
    </w:p>
    <w:p w:rsidR="00786B3E" w:rsidRDefault="00786B3E" w:rsidP="00786B3E"/>
    <w:p w:rsidR="00786B3E" w:rsidRDefault="00786B3E" w:rsidP="00786B3E">
      <w:pPr>
        <w:pStyle w:val="P68B1DB1-Normal1"/>
      </w:pPr>
      <w:r>
        <w:t>Pregunta 8</w:t>
      </w:r>
    </w:p>
    <w:p w:rsidR="00786B3E" w:rsidRDefault="00786B3E" w:rsidP="00786B3E">
      <w:r>
        <w:t>De conformidad con los Reglamentos STEP y las modificaciones del Reglamento 2021/1058, «el FEDER también apoyará actividades de formación, aprendizaje permanente, reciclaje profesional y educación». ¿Existe algún límite porcentual para este tipo de gasto?</w:t>
      </w:r>
    </w:p>
    <w:p w:rsidR="00786B3E" w:rsidRDefault="00786B3E" w:rsidP="00786B3E">
      <w:pPr>
        <w:pStyle w:val="P68B1DB1-Normal1"/>
      </w:pPr>
      <w:r>
        <w:t>Respuesta a la pregunta 8</w:t>
      </w:r>
    </w:p>
    <w:p w:rsidR="00786B3E" w:rsidRDefault="00786B3E" w:rsidP="00786B3E">
      <w:r>
        <w:t>No hay límites a los gastos relacionados con la formación, el aprendizaje permanente, el reciclaje profesional y las actividades educativas. El límite global de asignación que puede utilizarse para STEP en el marco del FEDER y el Fondo de Cohesión es el 20 % de los recursos iniciales del FEDER de conformidad con el (nuevo) artículo 3, apartado 1 bis, del Reglamento FEDER/FC.</w:t>
      </w:r>
    </w:p>
    <w:p w:rsidR="00786B3E" w:rsidRDefault="00786B3E" w:rsidP="00786B3E"/>
    <w:p w:rsidR="00786B3E" w:rsidRDefault="00786B3E" w:rsidP="00786B3E">
      <w:pPr>
        <w:pStyle w:val="P68B1DB1-Normal13"/>
      </w:pPr>
      <w:r>
        <w:t>Admisibilidad con arreglo a las normas específicas de los Fondos: exclusiones del ámbito de aplicación</w:t>
      </w:r>
    </w:p>
    <w:p w:rsidR="00786B3E" w:rsidRDefault="00786B3E" w:rsidP="00786B3E">
      <w:pPr>
        <w:pStyle w:val="P68B1DB1-Normal1"/>
      </w:pPr>
      <w:r>
        <w:t>Pregunta 9</w:t>
      </w:r>
    </w:p>
    <w:p w:rsidR="00786B3E" w:rsidRDefault="00786B3E" w:rsidP="00786B3E">
      <w:r>
        <w:t>Aclaren el ámbito de aplicación del Reglamento STEP en el contexto de las exclusiones en virtud del artículo 7 del Reglamento FEDER/FC:</w:t>
      </w:r>
    </w:p>
    <w:p w:rsidR="00786B3E" w:rsidRDefault="00786B3E" w:rsidP="00786B3E">
      <w:r>
        <w:t>a) ¿cumple un proyecto relacionado con el almacenamiento de las emisiones de CO2 de las actividades enumeradas en el anexo I de la Directiva 2003/87/CE lo dispuesto en el artículo 2 de la STEP? ¿Existe la posibilidad de financiar un proyecto de este tipo en el marco del FEDER?</w:t>
      </w:r>
    </w:p>
    <w:p w:rsidR="00786B3E" w:rsidRDefault="00786B3E" w:rsidP="00786B3E">
      <w:r>
        <w:t>b) ¿cumple el artículo 2 de STEP un proyecto relacionado con el desarrollo o el refuerzo de cadenas de valor que incluyan la producción de electricidad generada mediante energía nuclear? Teniendo en cuenta que el FEDER no apoya el desmantelamiento o la construcción de centrales nucleares (artículo 7 del Reglamento 2021/1058), ¿será posible, a través de una prioridad del FEDER STEP, apoyar el desarrollo o el refuerzo de cadenas de valor para la producción de electricidad nuclear?</w:t>
      </w:r>
    </w:p>
    <w:p w:rsidR="00786B3E" w:rsidRDefault="00786B3E" w:rsidP="00786B3E">
      <w:r>
        <w:t>C) ¿Se ajusta la pirólisis al artículo 2 del Reglamento STEP? ¿Existe la posibilidad de financiar un proyecto de este tipo en el marco del FEDER?</w:t>
      </w:r>
    </w:p>
    <w:p w:rsidR="00786B3E" w:rsidRDefault="00786B3E" w:rsidP="00786B3E"/>
    <w:p w:rsidR="00786B3E" w:rsidRDefault="00786B3E" w:rsidP="00786B3E">
      <w:pPr>
        <w:pStyle w:val="P68B1DB1-Normal1"/>
      </w:pPr>
      <w:r>
        <w:t>Respuestas a la pregunta 9</w:t>
      </w:r>
    </w:p>
    <w:p w:rsidR="00786B3E" w:rsidRDefault="00786B3E" w:rsidP="00786B3E">
      <w:r>
        <w:t>Cualquier actividad u operación compatible con los objetivos de STEP (artículo 2 de STEP) ejecutada a través de los programas de la política de cohesión debe cumplir las normas tanto del RDC como del fondo específico.</w:t>
      </w:r>
    </w:p>
    <w:p w:rsidR="00786B3E" w:rsidRDefault="00786B3E" w:rsidP="00786B3E">
      <w:pPr>
        <w:pStyle w:val="P68B1DB1-Normal1"/>
      </w:pPr>
      <w:r>
        <w:t>Letra a)</w:t>
      </w:r>
    </w:p>
    <w:p w:rsidR="00786B3E" w:rsidRDefault="00786B3E" w:rsidP="00786B3E">
      <w:r>
        <w:t xml:space="preserve">El desarrollo y la fabricación de tecnologías limpias y eficientes en el uso de los recursos, incluido el almacenamiento de emisiones de CO2, podrían estar en consonancia con el </w:t>
      </w:r>
      <w:r>
        <w:lastRenderedPageBreak/>
        <w:t>artículo 2 del Reglamento STEP (las «tecnologías de captura de carbono» están cubiertas por la Ley sobre las emisiones netas de carbono, véase la sección 2.2 de las directrices), siempre que cumplan las condiciones de STEP, mientras que el despliegue de dichas tecnologías no puede apoyarse a través de STEP.</w:t>
      </w:r>
    </w:p>
    <w:p w:rsidR="00786B3E" w:rsidRDefault="00786B3E" w:rsidP="00786B3E">
      <w:r>
        <w:t>Sin embargo, el almacenamiento de emisiones de CO2, que es el resultado de la combustión de combustibles fósiles, queda excluido de la ayuda del FEDER sobre la base del artículo 7, apartado 1, letra h), del Reglamento FEDER/FC.</w:t>
      </w:r>
    </w:p>
    <w:p w:rsidR="00786B3E" w:rsidRDefault="00786B3E" w:rsidP="00786B3E">
      <w:pPr>
        <w:pStyle w:val="P68B1DB1-Normal1"/>
      </w:pPr>
      <w:r>
        <w:t>Letra b)</w:t>
      </w:r>
    </w:p>
    <w:p w:rsidR="00786B3E" w:rsidRDefault="00786B3E" w:rsidP="00786B3E">
      <w:r>
        <w:t xml:space="preserve">El desarrollo y la fabricación de tecnologías nucleares podrían estar en consonancia con el artículo 2 del Reglamento STEP (las «tecnologías de la energía de fisión nuclear, incluidas las tecnologías del ciclo del combustible nuclear» y «otras tecnologías nucleares no incluidas en categorías anteriores» están cubiertas por la Ley sobre la industria de cero emisiones netas; véase la sección 2.2 de las directrices sobre el ámbito de aplicación de STEP), siempre que cumplan las condiciones de </w:t>
      </w:r>
      <w:proofErr w:type="spellStart"/>
      <w:r>
        <w:t>crialidad</w:t>
      </w:r>
      <w:proofErr w:type="spellEnd"/>
      <w:r>
        <w:t xml:space="preserve"> de STEP. El despliegue de estas tecnologías no puede apoyarse a través de STEP.</w:t>
      </w:r>
    </w:p>
    <w:p w:rsidR="00786B3E" w:rsidRDefault="00786B3E" w:rsidP="00786B3E">
      <w:r>
        <w:t xml:space="preserve">La clausura o la construcción de centrales nucleares está excluida sobre la base del artículo 7, apartado 1, letra a), del Reglamento FEDER/FC y los proyectos relacionados no pudieron financiarse con cargo al FEDER. Véase la interpretación para reflejar la exclusión en el marco del FTJ en aras de </w:t>
      </w:r>
      <w:proofErr w:type="spellStart"/>
      <w:r>
        <w:t>la</w:t>
      </w:r>
      <w:hyperlink w:anchor="scroll-bookmark-122" w:history="1">
        <w:r>
          <w:rPr>
            <w:rStyle w:val="Hipervnculo"/>
          </w:rPr>
          <w:t>exhaustividad</w:t>
        </w:r>
        <w:proofErr w:type="spellEnd"/>
        <w:r>
          <w:rPr>
            <w:rStyle w:val="Hipervnculo"/>
          </w:rPr>
          <w:t xml:space="preserve"> [QA00066 — Preguntas sobre la admisibilidad en el marco del FTJ — RegioWiki Extranet — RegioWiki (europa.eu)</w:t>
        </w:r>
      </w:hyperlink>
      <w:r>
        <w:t>].</w:t>
      </w:r>
    </w:p>
    <w:p w:rsidR="00786B3E" w:rsidRDefault="00786B3E" w:rsidP="00786B3E">
      <w:r>
        <w:t>En general, el propio presupuesto de la UE no financia la producción de energía nuclear, a excepción de Euratom. La UE proporciona financiación para actividades relacionadas con la energía nuclear en ámbitos de importancia crítica, como el desmantelamiento de centrales nucleares y el proyecto ITER (investigación sobre la energía de fusión nuclear) con cargo a otras líneas presupuestarias.</w:t>
      </w:r>
    </w:p>
    <w:p w:rsidR="00786B3E" w:rsidRDefault="00786B3E" w:rsidP="00786B3E">
      <w:pPr>
        <w:pStyle w:val="P68B1DB1-Normal1"/>
      </w:pPr>
      <w:r>
        <w:t>Letra c)</w:t>
      </w:r>
    </w:p>
    <w:p w:rsidR="00786B3E" w:rsidRDefault="00786B3E" w:rsidP="00786B3E">
      <w:r>
        <w:t xml:space="preserve">Cuando se utilizan para producir tecnologías de cero emisiones netas, los componentes utilizados para realizar pirólisis entran en el ámbito de aplicación de la Ley sobre la industria de cero emisiones netas. De conformidad con el artículo 2, apartado 1, del Reglamento STEP, las tecnologías limpias y eficientes en el uso de los recursos incluidas en el ámbito de aplicación de STEP incluyen las tecnologías de cero emisiones netas tal como se definen en la Ley sobre la industria de cero emisiones netas en su artículo 4. Estos proyectos pueden financiarse en el marco de STEP si cumplen la condición de </w:t>
      </w:r>
      <w:proofErr w:type="spellStart"/>
      <w:r>
        <w:t>crialidad</w:t>
      </w:r>
      <w:proofErr w:type="spellEnd"/>
      <w:r>
        <w:t xml:space="preserve"> del artículo 2, apartado 2, del Reglamento STEP. De conformidad con el artículo 2, apartado 4, del Reglamento STEP, se considera automáticamente que los proyectos reconocidos como estratégicos en el marco de la Ley sobre la industria de cero emisiones netas contribuyen a los objetivos de STEP.</w:t>
      </w:r>
    </w:p>
    <w:p w:rsidR="00786B3E" w:rsidRDefault="00786B3E" w:rsidP="00786B3E">
      <w:r>
        <w:t>Las condiciones relacionadas con el apoyo a los proyectos de pirólisis del FEDER o del FTJ se han detallado en el QA00263 (QA00263</w:t>
      </w:r>
      <w:hyperlink w:anchor="scroll-bookmark-551" w:history="1">
        <w:r>
          <w:rPr>
            <w:rStyle w:val="Hipervnculo"/>
          </w:rPr>
          <w:t>— Admisibilidad del combustible de carbono reciclado en el marco del FTJ y defensa contra el cambio climático de las infraestructuras</w:t>
        </w:r>
      </w:hyperlink>
      <w:r>
        <w:t>).</w:t>
      </w:r>
    </w:p>
    <w:p w:rsidR="00786B3E" w:rsidRDefault="00786B3E" w:rsidP="00786B3E">
      <w:pPr>
        <w:pStyle w:val="P68B1DB1-Normal1"/>
      </w:pPr>
      <w:r>
        <w:t>Pregunta 10</w:t>
      </w:r>
    </w:p>
    <w:p w:rsidR="00786B3E" w:rsidRDefault="00786B3E" w:rsidP="00786B3E">
      <w:r>
        <w:t>Aclaren las exclusiones en virtud del artículo 9 del Reglamento del FTJ.</w:t>
      </w:r>
    </w:p>
    <w:p w:rsidR="00786B3E" w:rsidRDefault="00786B3E" w:rsidP="00786B3E">
      <w:r>
        <w:lastRenderedPageBreak/>
        <w:t>No está claro o, en el mejor de los casos, regulado indirectamente quién puede ser beneficiario del FTJ. Dado que el artículo 2 del Reglamento del FTJ, que contiene el objetivo específico del FTJ, añade que el FTJ también puede apoyar los objetivos de STEP y que el artículo 8, apartado 1, del Reglamento del FTJ no debe modificarse con el catálogo de financiación, el apoyo a las prioridades de STEP parece posible en todos los objetos de financiación del FTJ (es decir, no solo el apoyo a las empresas, sino también la financiación de la investigación). ¿Solo pueden ser subvencionables las empresas en el contexto de la prioridad STEP de un programa del FTJ o podrían ser también equipos e infraestructuras de investigación?</w:t>
      </w:r>
    </w:p>
    <w:p w:rsidR="00786B3E" w:rsidRDefault="00786B3E" w:rsidP="00786B3E">
      <w:pPr>
        <w:pStyle w:val="P68B1DB1-Normal1"/>
      </w:pPr>
      <w:r>
        <w:t>Respuesta a la pregunta 10</w:t>
      </w:r>
    </w:p>
    <w:p w:rsidR="00786B3E" w:rsidRDefault="00786B3E" w:rsidP="00786B3E">
      <w:r>
        <w:t>De conformidad con el artículo 2 del Reglamento del FTJ, modificado por el artículo 11, apartado 1, del Reglamento STEP, el FTJ también podrá apoyar inversiones que contribuyan a los objetivos de STEP a que se refiere el artículo 2 del Reglamento STEP. Estos objetivos son i) apoyar el desarrollo o la fabricación de tecnologías críticas o salvaguardar y reforzar su cadena de valor en sectores definidos; y ii) abordar la escasez de mano de obra y las capacidades críticas conexas.</w:t>
      </w:r>
    </w:p>
    <w:p w:rsidR="00786B3E" w:rsidRDefault="00786B3E" w:rsidP="00786B3E">
      <w:r>
        <w:t>En consonancia con el artículo 8, apartado 1, del FTJ, este solo debe apoyar actividades que estén directamente vinculadas a su objetivo específico establecido en el artículo 2 y que contribuyan a la ejecución de los planes territoriales de transición justa.</w:t>
      </w:r>
    </w:p>
    <w:p w:rsidR="00786B3E" w:rsidRDefault="00786B3E" w:rsidP="00786B3E">
      <w:r>
        <w:t>Por consiguiente, en el marco de STEP, las actividades enumeradas en el artículo 8, apartado 2, del Reglamento del FTJ deben demostrar su contribución a los objetivos de STEP. También deben abordar las repercusiones sociales, laborales, económicas y medioambientales de la transición que está experimentando la región del FTJ y aplicar el plan territorial de transición justa.</w:t>
      </w:r>
    </w:p>
    <w:p w:rsidR="00786B3E" w:rsidRDefault="00786B3E" w:rsidP="00786B3E">
      <w:r>
        <w:t>En este contexto, la infraestructura de investigación y desarrollo podría recibir el apoyo de STEP siempre que sea fundamental y específica para el desarrollo y la fabricación de los productos finales dentro del ámbito de aplicación de STEP y cumpla las condiciones de STEP (por ejemplo, relacionadas con el carácter innovador o la reducción o prevención de dependencias estratégicas). Además, las infraestructuras de investigación y desarrollo pueden recibir apoyo a través de STEP siempre que se considere necesario para prestar un servicio auxiliar (es decir, una parte inherente del coste de inversión de un proyecto STEP). El despliegue de dicha infraestructura no recibe apoyo a través de STEP.</w:t>
      </w:r>
    </w:p>
    <w:p w:rsidR="00786B3E" w:rsidRDefault="00786B3E" w:rsidP="00786B3E">
      <w:pPr>
        <w:pStyle w:val="P68B1DB1-Normal1"/>
      </w:pPr>
      <w:r>
        <w:t> </w:t>
      </w:r>
    </w:p>
    <w:p w:rsidR="00786B3E" w:rsidRDefault="00786B3E" w:rsidP="00786B3E">
      <w:pPr>
        <w:pStyle w:val="P68B1DB1-Normal1"/>
      </w:pPr>
      <w:r>
        <w:t>Pregunta 11</w:t>
      </w:r>
    </w:p>
    <w:p w:rsidR="00786B3E" w:rsidRDefault="00786B3E" w:rsidP="00786B3E">
      <w:r>
        <w:t>De conformidad con el artículo 2 del Reglamento STEP, el apoyo de STEP podría dedicarse al desarrollo o la fabricación de tecnologías críticas. ¿Podría especificar si la instalación de biotecnologías, tecnologías digitales, limpias y eficientes en el uso de los recursos (por ejemplo, tecnologías de recursos energéticos renovables) en una empresa concreta podría recibir apoyo en el marco de STEP?</w:t>
      </w:r>
    </w:p>
    <w:p w:rsidR="00786B3E" w:rsidRDefault="00786B3E" w:rsidP="00786B3E">
      <w:pPr>
        <w:pStyle w:val="P68B1DB1-Normal1"/>
      </w:pPr>
      <w:r>
        <w:t> Respuesta a la pregunta 11</w:t>
      </w:r>
    </w:p>
    <w:p w:rsidR="00786B3E" w:rsidRDefault="00786B3E" w:rsidP="00786B3E">
      <w:r>
        <w:t xml:space="preserve">Los programas de la política de cohesión podrán apoyar inversiones que contribuyan a los objetivos de STEP a que se refiere el artículo 2 del Reglamento STEP, es decir, el </w:t>
      </w:r>
      <w:r>
        <w:lastRenderedPageBreak/>
        <w:t>desarrollo o la fabricación de tecnologías críticas en cualquier fase de la cadena de valor (véase el artículo 3 del Reglamento STEP). Se puede apoyar a las empresas si la inversión consiste en el desarrollo o la fabricación de tecnologías críticas por parte de dicha empresa (véase el considerando (4) del Reglamento STEP). Por lo tanto, una simple instalación de una tecnología desarrollada y fabricada en otro lugar que tenga como objetivo principal, por ejemplo, ahorrar a la empresa de que se trate, pero no desarrolle ni fabrique otras tecnologías críticas, no entraría en el ámbito de aplicación de STEP.</w:t>
      </w:r>
    </w:p>
    <w:p w:rsidR="00786B3E" w:rsidRDefault="00786B3E" w:rsidP="00786B3E">
      <w:r>
        <w:t>No obstante, en el caso del FSE +, cabe recordar que puede prestarse apoyo a los objetivos de la Plataforma de Tecnologías Estratégicas para Europa (STEP) a que se refiere el artículo 2, apartado 1, letra b), que reza como sigue: abordar la escasez de mano de obra y capacidades esenciales para todo tipo de puestos de trabajo de calidad en apoyo del objetivo establecido en la letra a), en particular a través del aprendizaje permanente, los proyectos de educación y formación, incluidas las academias europeas para una industria de cero emisiones netas creadas de conformidad con la disposición pertinente del Reglamento sobre la Industria de Cero Emisiones Netas, y en estrecha cooperación con los interlocutores sociales y las iniciativas de educación y formación ya existentes.</w:t>
      </w:r>
    </w:p>
    <w:p w:rsidR="00786B3E" w:rsidRDefault="00786B3E" w:rsidP="00786B3E">
      <w:r>
        <w:t>Por lo tanto, el apoyo al desarrollo o la fabricación de tecnologías críticas, tal como se detalla en el artículo 2, apartado 1, letra a), no puede prestarse en el marco del FSE +.</w:t>
      </w:r>
    </w:p>
    <w:p w:rsidR="00786B3E" w:rsidRDefault="00786B3E" w:rsidP="00786B3E">
      <w:pPr>
        <w:pStyle w:val="Ttulo2"/>
      </w:pPr>
      <w:bookmarkStart w:id="727" w:name="scroll-bookmark-834"/>
      <w:r>
        <w:t>Admisibilidad: ámbito de aplicación del FSE +</w:t>
      </w:r>
      <w:bookmarkEnd w:id="727"/>
    </w:p>
    <w:p w:rsidR="00786B3E" w:rsidRDefault="00786B3E" w:rsidP="00786B3E">
      <w:pPr>
        <w:pStyle w:val="P68B1DB1-Normal1"/>
      </w:pPr>
      <w:r>
        <w:t>Pregunta 12</w:t>
      </w:r>
    </w:p>
    <w:p w:rsidR="00786B3E" w:rsidRDefault="00786B3E" w:rsidP="00786B3E">
      <w:r>
        <w:t>¿En qué ámbitos debería formarse el recurso humano de las pymes a través del FSE +? ¿La formación tiene por objeto la especialización exclusiva en el ámbito de actividad de la empresa con reconocimiento a su nivel o fuera del marco de la autorización nacional?</w:t>
      </w:r>
    </w:p>
    <w:p w:rsidR="00786B3E" w:rsidRDefault="00786B3E" w:rsidP="00786B3E">
      <w:pPr>
        <w:pStyle w:val="P68B1DB1-Normal1"/>
      </w:pPr>
      <w:r>
        <w:t>Respuesta a la pregunta 12</w:t>
      </w:r>
    </w:p>
    <w:p w:rsidR="00786B3E" w:rsidRDefault="00786B3E" w:rsidP="00786B3E">
      <w:r>
        <w:t>De conformidad con el artículo 12 bis del Reglamento del FSE + [Reglamento (UE) 2021/1057, modificado por el Reglamento STEP [Reglamento (UE) 2024/795], los Estados miembros pueden utilizar el FSE + para prestar apoyo a los objetivos de la Plataforma de Tecnologías Estratégicas para Europa (STEP) a que se refiere el artículo 2, apartado 1, letra b), del Reglamento STEP, es decir, para hacer frente a la escasez de mano de obra y capacidades esenciales para todo tipo de puestos de trabajo de calidad en los sectores a que se refiere el artículo 2, apartado 1, letra a), del Reglamento STEP, que son</w:t>
      </w:r>
    </w:p>
    <w:p w:rsidR="00786B3E" w:rsidRDefault="00786B3E" w:rsidP="00786B3E">
      <w:pPr>
        <w:numPr>
          <w:ilvl w:val="0"/>
          <w:numId w:val="298"/>
        </w:numPr>
      </w:pPr>
      <w:r>
        <w:rPr>
          <w:b/>
        </w:rPr>
        <w:t>tecnologías digitales e innovación de tecnología profunda,</w:t>
      </w:r>
      <w:r>
        <w:t xml:space="preserve"> incluidas las que contribuyen a las metas y objetivos del programa estratégico de la Década Digital para 2030, proyectos plurinacionales tal como se definen en el artículo 2, punto (2), de la Decisión (UE) 2022/2481, e innovación de tecnología profunda;</w:t>
      </w:r>
    </w:p>
    <w:p w:rsidR="00786B3E" w:rsidRDefault="00786B3E" w:rsidP="00786B3E">
      <w:pPr>
        <w:numPr>
          <w:ilvl w:val="0"/>
          <w:numId w:val="298"/>
        </w:numPr>
      </w:pPr>
      <w:proofErr w:type="spellStart"/>
      <w:r>
        <w:t>tecnologías</w:t>
      </w:r>
      <w:r>
        <w:rPr>
          <w:b/>
        </w:rPr>
        <w:t>limpias</w:t>
      </w:r>
      <w:proofErr w:type="spellEnd"/>
      <w:r>
        <w:rPr>
          <w:b/>
        </w:rPr>
        <w:t xml:space="preserve"> y eficientes en el uso de recursos, incluidas las tecnologías de cero emisiones netas, tal como</w:t>
      </w:r>
      <w:r>
        <w:t xml:space="preserve"> se definen en el Reglamento sobre la Industria de Cero Emisiones Netas,</w:t>
      </w:r>
    </w:p>
    <w:p w:rsidR="00786B3E" w:rsidRDefault="00786B3E" w:rsidP="00786B3E">
      <w:pPr>
        <w:numPr>
          <w:ilvl w:val="0"/>
          <w:numId w:val="298"/>
        </w:numPr>
      </w:pPr>
      <w:r>
        <w:rPr>
          <w:b/>
        </w:rPr>
        <w:lastRenderedPageBreak/>
        <w:t>biotecnologías</w:t>
      </w:r>
      <w:r>
        <w:t>, incluidos los medicamentos incluidos en la lista de la Unión de medicamentos esenciales y sus componentes</w:t>
      </w:r>
    </w:p>
    <w:p w:rsidR="00786B3E" w:rsidRDefault="00786B3E" w:rsidP="00786B3E">
      <w:r>
        <w:t xml:space="preserve">Este apoyo puede prestarse en el marco de los objetivos específicos pertinentes del FSE +. En vista de ello, es importante hacer hincapié en que el apoyo del FSE + al desarrollo de capacidades no se limita al desarrollo de capacidades para los trabajadores de las empresas, incluidas las pymes. Tampoco se limita a apoyar una formación adaptada a las empresas. También puede </w:t>
      </w:r>
      <w:r>
        <w:rPr>
          <w:i/>
        </w:rPr>
        <w:t>abarcar, entre otras cosas</w:t>
      </w:r>
      <w:r>
        <w:t>, el desarrollo de capacidades a través de la formación desarrollada o aplicada a través de servicios públicos de empleo o incluso de programas de aprendizaje en la educación, por ejemplo, programas de educación profesional o educación superior.</w:t>
      </w:r>
    </w:p>
    <w:p w:rsidR="00786B3E" w:rsidRDefault="00786B3E" w:rsidP="00786B3E">
      <w:r>
        <w:t xml:space="preserve">STEP se centra en los conjuntos de capacidades pertinentes para el desarrollo y la fabricación de tecnologías críticas en todos los sectores de STEP, creando al mismo tiempo puestos de trabajo y formación de aprendices de calidad.  El desarrollo de capacidades más allá del ámbito de aplicación de STEP en estos sectores sigue siendo subvencionable en el marco del FSE +, </w:t>
      </w:r>
      <w:r w:rsidR="002F3719">
        <w:t xml:space="preserve">ya que, </w:t>
      </w:r>
      <w:r>
        <w:t>el apoyo del FSE + al desarrollo de capacidades no se limita a sectores específicos; sin embargo, en tal caso (es decir, el apoyo al desarrollo de capacidades en sectores que no entran en el ámbito de aplicación de STEP), no se considera que dicho apoyo contribuya a STEP.</w:t>
      </w:r>
    </w:p>
    <w:p w:rsidR="00786B3E" w:rsidRDefault="00786B3E" w:rsidP="00786B3E">
      <w:pPr>
        <w:pStyle w:val="P68B1DB1-Normal4"/>
      </w:pPr>
      <w:r>
        <w:t> </w:t>
      </w:r>
    </w:p>
    <w:p w:rsidR="00786B3E" w:rsidRDefault="00786B3E" w:rsidP="00786B3E">
      <w:pPr>
        <w:pStyle w:val="P68B1DB1-Normal13"/>
      </w:pPr>
      <w:r>
        <w:t>Explicación de la terminología utilizada en el Reglamento STEP</w:t>
      </w:r>
    </w:p>
    <w:p w:rsidR="00786B3E" w:rsidRDefault="00786B3E" w:rsidP="00786B3E">
      <w:pPr>
        <w:pStyle w:val="P68B1DB1-Normal1"/>
      </w:pPr>
      <w:r>
        <w:t>Pregunta 13</w:t>
      </w:r>
    </w:p>
    <w:p w:rsidR="00786B3E" w:rsidRDefault="00786B3E" w:rsidP="00786B3E">
      <w:r>
        <w:t>¿Puede explicar los términos utilizados en el artículo 2 del Reglamento STEP?</w:t>
      </w:r>
    </w:p>
    <w:p w:rsidR="00786B3E" w:rsidRDefault="00786B3E" w:rsidP="00786B3E">
      <w:r>
        <w:t>a) tecnología crítica y potencial económico significativo</w:t>
      </w:r>
    </w:p>
    <w:p w:rsidR="00786B3E" w:rsidRDefault="00786B3E" w:rsidP="00786B3E">
      <w:r>
        <w:t>b) dependencia estratégica</w:t>
      </w:r>
    </w:p>
    <w:p w:rsidR="00786B3E" w:rsidRDefault="00786B3E" w:rsidP="00786B3E">
      <w:r>
        <w:t>C) Materias primas fundamentales</w:t>
      </w:r>
    </w:p>
    <w:p w:rsidR="00786B3E" w:rsidRDefault="00786B3E" w:rsidP="00786B3E">
      <w:r>
        <w:t>Más concretamente, en relación con las materias primas:</w:t>
      </w:r>
    </w:p>
    <w:p w:rsidR="00786B3E" w:rsidRDefault="00786B3E" w:rsidP="00786B3E">
      <w:pPr>
        <w:numPr>
          <w:ilvl w:val="0"/>
          <w:numId w:val="299"/>
        </w:numPr>
      </w:pPr>
      <w:r>
        <w:t>¿están incluidos los transformadores de materias primas en el término «producción de materiales» que ahorran recursos críticos?</w:t>
      </w:r>
    </w:p>
    <w:p w:rsidR="00786B3E" w:rsidRDefault="00786B3E" w:rsidP="00786B3E">
      <w:pPr>
        <w:numPr>
          <w:ilvl w:val="0"/>
          <w:numId w:val="299"/>
        </w:numPr>
      </w:pPr>
      <w:r>
        <w:t>¿en qué medida podemos extrapolar o ampliar el concepto de cadena de valor específicamente a proyectos relacionados con la recuperación o transformación de materias primas en materias primas secundarias para alimentar el desarrollo o la producción de tecnologías objeto de STEP?</w:t>
      </w:r>
    </w:p>
    <w:p w:rsidR="00786B3E" w:rsidRDefault="00786B3E" w:rsidP="00786B3E">
      <w:r>
        <w:t>d) creación de puestos de trabajo atractivos, de alta calidad y accesibles para todos</w:t>
      </w:r>
    </w:p>
    <w:p w:rsidR="00786B3E" w:rsidRDefault="00786B3E" w:rsidP="00786B3E"/>
    <w:p w:rsidR="00786B3E" w:rsidRDefault="00786B3E" w:rsidP="00786B3E">
      <w:pPr>
        <w:pStyle w:val="P68B1DB1-Normal1"/>
      </w:pPr>
      <w:r>
        <w:t>Respuesta al punto 13.a)</w:t>
      </w:r>
    </w:p>
    <w:p w:rsidR="00786B3E" w:rsidRDefault="00786B3E" w:rsidP="00786B3E">
      <w:r>
        <w:t xml:space="preserve">Para ser considerada crítica en el marco de STEP sobre la base de la condición relacionada con el carácter innovador, una tecnología debe presentar al menos dos de las tres características, innovadoras, emergentes o de vanguardia. Además, debe demostrar un potencial económico significativo, tal como se detalla y respalda en los siguientes apartados de las </w:t>
      </w:r>
      <w:hyperlink r:id="rId534" w:history="1">
        <w:r>
          <w:rPr>
            <w:rStyle w:val="Hipervnculo"/>
          </w:rPr>
          <w:t>orientaciones</w:t>
        </w:r>
      </w:hyperlink>
      <w:r>
        <w:t xml:space="preserve"> (véase la sección 3.1). Estos apartados profundizan en la evaluación del potencial económico en términos de capacidad de la </w:t>
      </w:r>
      <w:r>
        <w:lastRenderedPageBreak/>
        <w:t>tecnología para abordar diversos mercados de la Unión, su impacto sustancial en el desarrollo o la fabricación de tecnología y los efectos indirectos positivos que puede generar en otros Estados miembros.</w:t>
      </w:r>
    </w:p>
    <w:p w:rsidR="00786B3E" w:rsidRDefault="00786B3E" w:rsidP="00786B3E">
      <w:pPr>
        <w:pStyle w:val="P68B1DB1-Normal1"/>
      </w:pPr>
      <w:r>
        <w:t> Respuesta al punto 13b)</w:t>
      </w:r>
    </w:p>
    <w:p w:rsidR="00786B3E" w:rsidRDefault="00786B3E" w:rsidP="00786B3E">
      <w:r>
        <w:t xml:space="preserve">La </w:t>
      </w:r>
      <w:hyperlink r:id="rId535" w:history="1">
        <w:r>
          <w:rPr>
            <w:rStyle w:val="Hipervnculo"/>
          </w:rPr>
          <w:t>Guía</w:t>
        </w:r>
      </w:hyperlink>
      <w:r>
        <w:t xml:space="preserve"> STEP se refiere a una serie de dependencias y vulnerabilidades detectadas en un conjunto de evaluaciones y hojas de ruta llevadas a cabo a escala de la Unión. La comprensión de lo que constituye una dependencia estratégica evoluciona de acuerdo con los cambios tecnológicos o la evolución geopolítica y del comercio internacional. Las dependencias estratégicas pueden reconocerse en otros documentos a escala de la UE distintos de los ya esbozados en la Guía STEP. Además, puede considerarse que existe una dependencia estratégica cuando la Unión Europea dependa significativamente de fuentes de suministro de terceros países para una tecnología contemplada en el artículo 2, apartado 1, letra a)</w:t>
      </w:r>
      <w:hyperlink r:id="rId536" w:history="1">
        <w:r>
          <w:rPr>
            <w:rStyle w:val="Hipervnculo"/>
          </w:rPr>
          <w:t>,</w:t>
        </w:r>
      </w:hyperlink>
      <w:r>
        <w:t xml:space="preserve"> del Reglamento STEP. La Guía STEP describe varios factores que deben tenerse en cuenta a la hora de determinar si las tecnologías reducen o impiden las dependencias estratégicas de la Unión.</w:t>
      </w:r>
    </w:p>
    <w:p w:rsidR="00786B3E" w:rsidRDefault="00786B3E" w:rsidP="00786B3E">
      <w:pPr>
        <w:pStyle w:val="P68B1DB1-Normal1"/>
      </w:pPr>
      <w:r>
        <w:t> Respuesta al punto 13, letra c)</w:t>
      </w:r>
    </w:p>
    <w:p w:rsidR="00786B3E" w:rsidRDefault="00786B3E" w:rsidP="00786B3E">
      <w:r>
        <w:t xml:space="preserve">En virtud de la </w:t>
      </w:r>
      <w:hyperlink r:id="rId537" w:history="1">
        <w:r>
          <w:rPr>
            <w:rStyle w:val="Hipervnculo"/>
          </w:rPr>
          <w:t xml:space="preserve">Ley de Materias </w:t>
        </w:r>
        <w:proofErr w:type="spellStart"/>
        <w:r>
          <w:rPr>
            <w:rStyle w:val="Hipervnculo"/>
          </w:rPr>
          <w:t>Primas</w:t>
        </w:r>
      </w:hyperlink>
      <w:r>
        <w:t>Fundamentales</w:t>
      </w:r>
      <w:proofErr w:type="spellEnd"/>
      <w:r w:rsidR="00FC0FB1">
        <w:fldChar w:fldCharType="begin"/>
      </w:r>
      <w:r w:rsidR="00FC0FB1">
        <w:instrText xml:space="preserve"> HYPERLINK \l "scroll-bookmark-835" </w:instrText>
      </w:r>
      <w:r w:rsidR="00FC0FB1">
        <w:fldChar w:fldCharType="separate"/>
      </w:r>
      <w:r>
        <w:rPr>
          <w:rStyle w:val="Hipervnculo"/>
        </w:rPr>
        <w:t>[2]</w:t>
      </w:r>
      <w:r w:rsidR="00FC0FB1">
        <w:rPr>
          <w:rStyle w:val="Hipervnculo"/>
        </w:rPr>
        <w:fldChar w:fldCharType="end"/>
      </w:r>
      <w:r>
        <w:t xml:space="preserve"> (CRMA), también pueden designarse proyectos estratégicos proyectos de materiales que «puedan sustituir a materias primas estratégicas en una o más tecnologías estratégicas». Para ello, deben aumentar la producción de la materia prima sustitutiva «adoptando al mismo tiempo medidas para lograr una huella ambiental igual o inferior a la materia prima estratégica que se sustituye» (anexo III, punto 1, letra c), del Reglamento CRMA).</w:t>
      </w:r>
    </w:p>
    <w:p w:rsidR="00786B3E" w:rsidRDefault="00786B3E" w:rsidP="00786B3E">
      <w:r>
        <w:t xml:space="preserve">El Reglamento incluye explícitamente proyectos relacionados con el aumento de la capacidad de reciclado de materias primas estratégicas. El artículo 2, apartado 13, del Reglamento CRMA define que se incluyen «las operaciones de reciclado de materias primas estratégicas tras </w:t>
      </w:r>
      <w:proofErr w:type="gramStart"/>
      <w:r>
        <w:t>el reprocesamiento</w:t>
      </w:r>
      <w:proofErr w:type="gramEnd"/>
      <w:r>
        <w:t>, incluida la clasificación y el pretratamiento de los residuos, y su transformación en materias primas secundarias».</w:t>
      </w:r>
    </w:p>
    <w:p w:rsidR="00786B3E" w:rsidRDefault="00786B3E" w:rsidP="00786B3E">
      <w:pPr>
        <w:pStyle w:val="P68B1DB1-Normal1"/>
      </w:pPr>
      <w:r>
        <w:t>Respuesta al punto 13d)</w:t>
      </w:r>
    </w:p>
    <w:p w:rsidR="00786B3E" w:rsidRDefault="00786B3E" w:rsidP="00786B3E">
      <w:r>
        <w:t xml:space="preserve">El Reglamento STEP no proporciona una definición ni criterios para definir «puestos de trabajo atractivos y de alta calidad». Sin embargo, la </w:t>
      </w:r>
      <w:hyperlink r:id="rId538" w:history="1">
        <w:r>
          <w:rPr>
            <w:rStyle w:val="Hipervnculo"/>
          </w:rPr>
          <w:t>Recomendación del Consejo relativa al Marco Europeo para una Formación de Aprendices de Calidad y Eficaz</w:t>
        </w:r>
      </w:hyperlink>
      <w:r>
        <w:t xml:space="preserve"> y la </w:t>
      </w:r>
      <w:hyperlink r:id="rId539" w:history="1">
        <w:r>
          <w:rPr>
            <w:rStyle w:val="Hipervnculo"/>
          </w:rPr>
          <w:t>Recomendación del Consejo sobre una Garantía Juvenil reforzada</w:t>
        </w:r>
      </w:hyperlink>
      <w:r>
        <w:t xml:space="preserve"> formulan recomendaciones a los Estados miembros para la creación de formación de aprendices y puestos de trabajo de calidad. Además, la Organización Internacional del Trabajo proporciona una definición de trabajo «decente» y un nuevo examen del trabajo de «calidad» junto con </w:t>
      </w:r>
      <w:proofErr w:type="spellStart"/>
      <w:r>
        <w:t>Eurofound</w:t>
      </w:r>
      <w:proofErr w:type="spellEnd"/>
      <w:r>
        <w:t xml:space="preserve"> en torno a 7 dimensiones diferentes: Calidad del empleo preocupante para todos los trabajadores (</w:t>
      </w:r>
      <w:hyperlink r:id="rId540" w:history="1">
        <w:r>
          <w:rPr>
            <w:rStyle w:val="Hipervnculo"/>
          </w:rPr>
          <w:t>ilo.org</w:t>
        </w:r>
      </w:hyperlink>
      <w:r>
        <w:t xml:space="preserve">), que también puede servir de referencia para los Estados miembros en el contexto de STEP. Puede obtenerse más información aquí: </w:t>
      </w:r>
      <w:hyperlink r:id="rId541" w:history="1">
        <w:r>
          <w:rPr>
            <w:rStyle w:val="Hipervnculo"/>
          </w:rPr>
          <w:t>Calidad del empleo que preocupa a todos los trabajadores | Organización Internacional del Trabajo (ilo.org)</w:t>
        </w:r>
      </w:hyperlink>
    </w:p>
    <w:p w:rsidR="00786B3E" w:rsidRDefault="00786B3E" w:rsidP="00786B3E"/>
    <w:p w:rsidR="00786B3E" w:rsidRDefault="00786B3E" w:rsidP="00786B3E">
      <w:pPr>
        <w:pStyle w:val="P68B1DB1-Normal1"/>
      </w:pPr>
      <w:r>
        <w:t>Pregunta 14</w:t>
      </w:r>
    </w:p>
    <w:p w:rsidR="00786B3E" w:rsidRDefault="00786B3E" w:rsidP="00786B3E">
      <w:r>
        <w:lastRenderedPageBreak/>
        <w:t>En relación con la Ley sobre la industria de cero emisiones netas a que se refiere el artículo 2 de STEP:</w:t>
      </w:r>
    </w:p>
    <w:p w:rsidR="00786B3E" w:rsidRDefault="00786B3E" w:rsidP="00786B3E">
      <w:r>
        <w:t>a) El Reglamento NZIA enumera diecinueve tecnologías, incluidas las tecnologías del hidrógeno, sin especificar el carácter renovable de esta fuente (véanse los debates sobre la distinción entre hidrógeno verde e hidrógeno gris). ¿Se aclarará en mayor medida el Reglamento sobre la Ley de Inteligencia Artificial?</w:t>
      </w:r>
    </w:p>
    <w:p w:rsidR="00786B3E" w:rsidRDefault="00786B3E" w:rsidP="00786B3E">
      <w:r>
        <w:t>b) La definición de «tecnologías de cero emisiones netas» que figura en el artículo 3, apartado 1, letra a), de la Ley sobre la Industria de Cero Emisiones Netas establece que las tecnologías especificadas deben haber alcanzado el nivel 8 de preparación tecnológica. ¿Cuál es la relación entre la definición que figura en el artículo 3, apartado 1, letra a), de la Ley sobre la industria de cero emisiones netas y el apoyo a las tecnologías de cero emisiones netas en el marco del Reglamento STEP?</w:t>
      </w:r>
    </w:p>
    <w:p w:rsidR="00786B3E" w:rsidRDefault="00786B3E" w:rsidP="00786B3E">
      <w:r>
        <w:t>C) Por lo que se refiere a los reglamentos de la NZIA, ¿existe una forma estándar de identificar los proyectos que se ajustan a los textos (lista de códigos NACE, etc.)?</w:t>
      </w:r>
    </w:p>
    <w:p w:rsidR="00786B3E" w:rsidRDefault="00786B3E" w:rsidP="00786B3E">
      <w:pPr>
        <w:pStyle w:val="P68B1DB1-Normal1"/>
      </w:pPr>
      <w:r>
        <w:t> </w:t>
      </w:r>
    </w:p>
    <w:p w:rsidR="00786B3E" w:rsidRDefault="00786B3E" w:rsidP="00786B3E">
      <w:pPr>
        <w:pStyle w:val="P68B1DB1-Normal1"/>
      </w:pPr>
      <w:r>
        <w:t>Respuesta al punto 14.a)</w:t>
      </w:r>
    </w:p>
    <w:p w:rsidR="00786B3E" w:rsidRDefault="00786B3E" w:rsidP="00786B3E">
      <w:r>
        <w:t>De conformidad con el artículo 2, apartado 1, del Reglamento STEP, las tecnologías limpias y eficientes en el uso de los recursos incluyen las tecnologías de cero emisiones netas, tal como se definen en la Ley sobre la industria de cero emisiones netas en su artículo 4. Además, a más tardar 9 meses después de la entrada en vigor de la Ley sobre la industria de cero emisiones netas, la Comisión debe adoptar un acto delegado para modificar su anexo sobre la base de la lista de tecnologías de cero emisiones netas establecida en el artículo 4 de la Ley sobre la industria de cero emisiones netas, a fin de determinar las subcategorías dentro de las tecnologías de cero emisiones netas y la lista de componentes específicos utilizados para estas tecnologías.</w:t>
      </w:r>
    </w:p>
    <w:p w:rsidR="00786B3E" w:rsidRDefault="00786B3E" w:rsidP="00786B3E">
      <w:pPr>
        <w:pStyle w:val="P68B1DB1-Normal1"/>
      </w:pPr>
      <w:r>
        <w:t>Respuesta al punto 14b)</w:t>
      </w:r>
    </w:p>
    <w:p w:rsidR="00786B3E" w:rsidRDefault="00786B3E" w:rsidP="00786B3E">
      <w:r>
        <w:t>El Reglamento STEP no introduce restricciones basadas en los niveles de TRL. A modo de recordatorio, mientras que el Reglamento confirma que se considera que los proyectos NZIA avanzan en los objetivos de STEP, si un proyecto específico es realmente un proyecto STEP o no depende de cómo se califique con respecto a los criterios de calidad y adjudicación de una convocatoria pertinente de STEP.</w:t>
      </w:r>
    </w:p>
    <w:p w:rsidR="00786B3E" w:rsidRDefault="00786B3E" w:rsidP="00786B3E">
      <w:pPr>
        <w:pStyle w:val="P68B1DB1-Normal1"/>
      </w:pPr>
      <w:r>
        <w:t>Respuesta al punto 14, letra c)</w:t>
      </w:r>
    </w:p>
    <w:p w:rsidR="00786B3E" w:rsidRDefault="00786B3E" w:rsidP="00786B3E">
      <w:r>
        <w:t>No existe una forma estándar de identificar proyectos que cumplan los requisitos de la Ley. Sin embargo, un próximo acto delegado proporcionará una lista de componentes que de facto entrarán en el ámbito de aplicación del acto. Además, el texto establece criterios para evaluar si los proyectos entran en el ámbito de aplicación de la Ley.</w:t>
      </w:r>
    </w:p>
    <w:p w:rsidR="00786B3E" w:rsidRDefault="00786B3E" w:rsidP="00786B3E"/>
    <w:p w:rsidR="00786B3E" w:rsidRDefault="00786B3E" w:rsidP="00786B3E">
      <w:pPr>
        <w:pStyle w:val="P68B1DB1-Normal1"/>
      </w:pPr>
      <w:r>
        <w:t>Pregunta 15</w:t>
      </w:r>
    </w:p>
    <w:p w:rsidR="00786B3E" w:rsidRDefault="00786B3E" w:rsidP="00786B3E">
      <w:r>
        <w:t>¿Podría explicar con más detalle las Academias Europeas de Capacidades a que se refiere el artículo 12 bis del Reglamento STEP y las academias de cero emisiones netas a que se refiere el artículo 2 del Reglamento STEP?</w:t>
      </w:r>
    </w:p>
    <w:p w:rsidR="00786B3E" w:rsidRDefault="00786B3E" w:rsidP="00786B3E">
      <w:pPr>
        <w:pStyle w:val="P68B1DB1-Normal1"/>
      </w:pPr>
      <w:r>
        <w:t>Respuesta a la pregunta 15</w:t>
      </w:r>
    </w:p>
    <w:p w:rsidR="00786B3E" w:rsidRDefault="00786B3E" w:rsidP="00786B3E">
      <w:r>
        <w:lastRenderedPageBreak/>
        <w:t xml:space="preserve">En el marco de los centros europeos de excelencia profesional, así como del Pacto por las Capacidades, y los planes generales asociados para el desarrollo de capacidades sectoriales, los socios están desarrollando información estratégica sobre capacidades y nuevos programas de aprendizaje en muchos de los ecosistemas industriales cubiertos por STEP (véase más información en </w:t>
      </w:r>
      <w:hyperlink r:id="rId542" w:history="1">
        <w:r>
          <w:rPr>
            <w:rStyle w:val="Hipervnculo"/>
          </w:rPr>
          <w:t>Centros de Excelencia Profesional — Empleo, Asuntos Sociales, Inclusión</w:t>
        </w:r>
      </w:hyperlink>
      <w:r>
        <w:t xml:space="preserve"> y </w:t>
      </w:r>
      <w:hyperlink r:id="rId543" w:history="1">
        <w:r>
          <w:rPr>
            <w:rStyle w:val="Hipervnculo"/>
          </w:rPr>
          <w:t>Pacto por las Capacidades</w:t>
        </w:r>
      </w:hyperlink>
      <w:r>
        <w:t>).   </w:t>
      </w:r>
    </w:p>
    <w:p w:rsidR="00786B3E" w:rsidRDefault="00786B3E" w:rsidP="00786B3E">
      <w:r>
        <w:t>Además, para reforzar la capacidad de fabricación de tecnologías de cero emisiones netas, es fundamental contar con una mano de obra cualificada considerable. La Ley sobre la industria de cero emisiones netas mejorará las capacidades para las tecnologías de cero emisiones netas mediante el establecimiento de programas de formación específicos a través de academias de cero emisiones netas y la facilitación de la portabilidad de las cualificaciones en las profesiones reguladas. Las academias, cada una de ellas centrada en una tecnología industrial de cero emisiones netas, tendrán como objetivo formar a 100.000 alumnos cada uno en un plazo de tres años a partir de su establecimiento. </w:t>
      </w:r>
    </w:p>
    <w:p w:rsidR="00786B3E" w:rsidRDefault="00786B3E" w:rsidP="00786B3E">
      <w:r>
        <w:t>TIERNA _</w:t>
      </w:r>
    </w:p>
    <w:p w:rsidR="00786B3E" w:rsidRDefault="00FC0FB1" w:rsidP="00786B3E">
      <w:hyperlink w:anchor="scroll-bookmark-836" w:history="1">
        <w:r w:rsidR="00786B3E">
          <w:rPr>
            <w:rStyle w:val="Hipervnculo"/>
          </w:rPr>
          <w:t>[1]</w:t>
        </w:r>
      </w:hyperlink>
      <w:r w:rsidR="00786B3E">
        <w:t xml:space="preserve"> Para más detalles, véase el </w:t>
      </w:r>
      <w:hyperlink w:anchor="scroll-bookmark-176" w:history="1">
        <w:r w:rsidR="00786B3E">
          <w:rPr>
            <w:rStyle w:val="Hipervnculo"/>
          </w:rPr>
          <w:t>QA00101</w:t>
        </w:r>
      </w:hyperlink>
      <w:r w:rsidR="00786B3E">
        <w:t xml:space="preserve"> — Procedimiento de selección de proyectos de inversiones productivas en grandes empresas para la lista indicativa del plan territorial de transición justa.</w:t>
      </w:r>
    </w:p>
    <w:p w:rsidR="00786B3E" w:rsidRDefault="00FC0FB1" w:rsidP="00786B3E">
      <w:hyperlink w:anchor="scroll-bookmark-837" w:history="1">
        <w:r w:rsidR="00786B3E">
          <w:rPr>
            <w:rStyle w:val="Hipervnculo"/>
          </w:rPr>
          <w:t>[2]</w:t>
        </w:r>
      </w:hyperlink>
      <w:r w:rsidR="00786B3E">
        <w:t xml:space="preserve"> Reglamento (UE) 2024/1252, de 11 de abril de 2024, por el que se establece un marco para garantizar un suministro seguro y sostenible de materias primas fundamentales y se modifican los Reglamentos (UE) n.º 168/2013, (UE) 2018/858, (UE) 2018/1724 y (UE) 2019/1020 (DO L, 2024/1252, 3.5.2024).</w:t>
      </w:r>
    </w:p>
    <w:p w:rsidR="00786B3E" w:rsidRDefault="00786B3E" w:rsidP="00786B3E"/>
    <w:p w:rsidR="00786B3E" w:rsidRDefault="00786B3E" w:rsidP="00786B3E"/>
    <w:p w:rsidR="00786B3E" w:rsidRDefault="00786B3E" w:rsidP="00786B3E">
      <w:pPr>
        <w:pStyle w:val="Ttulo1"/>
      </w:pPr>
      <w:bookmarkStart w:id="728" w:name="scroll-bookmark-838"/>
      <w:bookmarkStart w:id="729" w:name="scroll-bookmark-839"/>
      <w:bookmarkEnd w:id="728"/>
      <w:r>
        <w:t>QA00301 — Declarar gastos en el período de programación 2021-2027 para la segunda fase de un gran proyecto escalonado antes de su aprobación por la Comisión en el marco del RDC 2014-2020</w:t>
      </w:r>
      <w:bookmarkEnd w:id="729"/>
    </w:p>
    <w:p w:rsidR="00786B3E" w:rsidRDefault="00786B3E" w:rsidP="00786B3E">
      <w:r>
        <w:rPr>
          <w:noProof/>
          <w:lang w:val="es-ES"/>
        </w:rPr>
        <w:drawing>
          <wp:inline distT="0" distB="0" distL="0" distR="0" wp14:anchorId="10C6159E" wp14:editId="1A381090">
            <wp:extent cx="152435" cy="152435"/>
            <wp:effectExtent l="0" t="0" r="0" b="0"/>
            <wp:docPr id="101459" name="Imagen 1014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63 del RDC</w:t>
      </w:r>
    </w:p>
    <w:p w:rsidR="00786B3E" w:rsidRDefault="00786B3E" w:rsidP="00786B3E">
      <w:r>
        <w:t>Artículo 74 del RDC</w:t>
      </w:r>
    </w:p>
    <w:p w:rsidR="00786B3E" w:rsidRDefault="00786B3E" w:rsidP="00786B3E">
      <w:r>
        <w:t>Artículo 75 del RDC</w:t>
      </w:r>
    </w:p>
    <w:p w:rsidR="00786B3E" w:rsidRDefault="00786B3E" w:rsidP="00786B3E">
      <w:r>
        <w:t>Artículo 91 del RDC</w:t>
      </w:r>
    </w:p>
    <w:p w:rsidR="00786B3E" w:rsidRDefault="00786B3E" w:rsidP="00786B3E">
      <w:r>
        <w:t>Artículo 118 del RDC</w:t>
      </w:r>
    </w:p>
    <w:p w:rsidR="00786B3E" w:rsidRDefault="00786B3E" w:rsidP="00786B3E">
      <w:r>
        <w:t>Artículo 118 bis del RDC</w:t>
      </w:r>
    </w:p>
    <w:p w:rsidR="00786B3E" w:rsidRDefault="00786B3E" w:rsidP="00786B3E">
      <w:r>
        <w:rPr>
          <w:noProof/>
          <w:lang w:val="es-ES"/>
        </w:rPr>
        <w:drawing>
          <wp:inline distT="0" distB="0" distL="0" distR="0" wp14:anchorId="73E026B2" wp14:editId="79397851">
            <wp:extent cx="152435" cy="152435"/>
            <wp:effectExtent l="0" t="0" r="0" b="0"/>
            <wp:docPr id="101461" name="Imagen 1014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RR. HH.</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La cuestión se refiere específicamente a grandes proyectos aprobados anteriormente por la Comisión, pero que deben modificarse para dividirlos en dos fases o para reajustar el alcance de las fases ya aprobadas, por lo que están siendo evaluadas por expertos independientes de conformidad con el artículo 102, apartado 1, del Reglamento (UE) n.º 1310/2013.</w:t>
      </w:r>
    </w:p>
    <w:p w:rsidR="00786B3E" w:rsidRDefault="00786B3E" w:rsidP="00786B3E">
      <w:r>
        <w:t>De conformidad con el artículo 118 del RDC 2021-2027, la autoridad de gestión puede proceder a la selección de una operación consistente en la segunda fase de una operación seleccionada para recibir ayuda e iniciada en virtud del Reglamento (UE) n.º 1303/2013. Esto también se aplica a los grandes proyectos.</w:t>
      </w:r>
    </w:p>
    <w:p w:rsidR="00786B3E" w:rsidRDefault="00786B3E" w:rsidP="00786B3E">
      <w:r>
        <w:t xml:space="preserve">¿Pueden incluirse los gastos relacionados con esta segunda fase en la solicitud de pago para los programas 2021-2027 después de que la autoridad de gestión haya informado a la Comisión de la presentación a los expertos independientes de la información requerida en virtud del artículo 101 del Reglamento (UE) n.º 1303/2013, pero </w:t>
      </w:r>
      <w:r>
        <w:rPr>
          <w:b/>
          <w:u w:val="single"/>
        </w:rPr>
        <w:t>antes de que se considere que han sido aprobados por la Comisión</w:t>
      </w:r>
      <w:r>
        <w:t xml:space="preserve"> de conformidad con el artículo 102, apartado 1, párrafo segundo, del Reglamento (UE) n.º 1303/2013?</w:t>
      </w:r>
    </w:p>
    <w:p w:rsidR="00786B3E" w:rsidRDefault="00786B3E" w:rsidP="00786B3E"/>
    <w:p w:rsidR="00786B3E" w:rsidRDefault="00786B3E" w:rsidP="00786B3E">
      <w:pPr>
        <w:pStyle w:val="P68B1DB1-Normal1"/>
      </w:pPr>
      <w:r>
        <w:t>Respuesta.</w:t>
      </w:r>
    </w:p>
    <w:p w:rsidR="00786B3E" w:rsidRDefault="00786B3E" w:rsidP="00786B3E">
      <w:r>
        <w:t>Entendemos que el caso en cuestión es un gran proyecto seleccionado en el período de programación 2014-2020 que se está modificando para incluirlo en el período de programación 2021-2027 (o para ajustar el alcance de las fases) y que ha sido sometido a una evaluación a los expertos independientes.</w:t>
      </w:r>
    </w:p>
    <w:p w:rsidR="00786B3E" w:rsidRDefault="00786B3E" w:rsidP="00786B3E">
      <w:r>
        <w:t>El Estado miembro podrá proceder a la selección de la segunda fase de las operaciones que entren en el ámbito de aplicación del artículo 118 del RDC (o podrá conceder ayuda directamente a la segunda fase de las operaciones que entran en el ámbito de aplicación del artículo 118 bis del RDC) siempre que se cumplan las condiciones establecidas en los artículos 118 o 118 bis del RDC, respectivamente.</w:t>
      </w:r>
    </w:p>
    <w:p w:rsidR="00786B3E" w:rsidRDefault="00786B3E" w:rsidP="00786B3E">
      <w:r>
        <w:t>Una vez seleccionada la segunda fase (o adoptada la decisión de conceder la ayuda), el Estado miembro podrá incluir gastos en las solicitudes de pago para estas operaciones en el período de programación 2021-2027 antes de que se aprueben las modificaciones de los grandes proyectos relacionados en el período de programación 2014-2020.</w:t>
      </w:r>
    </w:p>
    <w:p w:rsidR="00786B3E" w:rsidRDefault="00786B3E" w:rsidP="00786B3E"/>
    <w:p w:rsidR="00786B3E" w:rsidRDefault="00786B3E" w:rsidP="00786B3E"/>
    <w:p w:rsidR="00786B3E" w:rsidRDefault="00786B3E" w:rsidP="00786B3E">
      <w:pPr>
        <w:pStyle w:val="Ttulo1"/>
      </w:pPr>
      <w:bookmarkStart w:id="730" w:name="scroll-bookmark-840"/>
      <w:bookmarkStart w:id="731" w:name="scroll-bookmark-841"/>
      <w:bookmarkEnd w:id="730"/>
      <w:r>
        <w:t>QA00302 — Preguntas relacionadas con la programación de STEP, las prioridades específicas y las modificaciones de los programas, indicadores</w:t>
      </w:r>
      <w:bookmarkEnd w:id="731"/>
    </w:p>
    <w:p w:rsidR="00786B3E" w:rsidRDefault="00786B3E" w:rsidP="00786B3E">
      <w:r>
        <w:rPr>
          <w:noProof/>
          <w:lang w:val="es-ES"/>
        </w:rPr>
        <w:drawing>
          <wp:inline distT="0" distB="0" distL="0" distR="0" wp14:anchorId="2CC9ACCB" wp14:editId="4FF6BAD7">
            <wp:extent cx="152435" cy="152435"/>
            <wp:effectExtent l="0" t="0" r="0" b="0"/>
            <wp:docPr id="101463" name="Imagen 1014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lastRenderedPageBreak/>
        <w:t>Artículos 22, 24 y 111 del RDC</w:t>
      </w:r>
    </w:p>
    <w:p w:rsidR="00786B3E" w:rsidRDefault="00786B3E" w:rsidP="00786B3E">
      <w:r>
        <w:t>Artículo 3 del FEDER</w:t>
      </w:r>
    </w:p>
    <w:p w:rsidR="00786B3E" w:rsidRDefault="00786B3E" w:rsidP="00786B3E">
      <w:r>
        <w:t>Artículos 2 y 8 del FTJ</w:t>
      </w:r>
    </w:p>
    <w:p w:rsidR="00786B3E" w:rsidRDefault="00786B3E" w:rsidP="00786B3E">
      <w:r>
        <w:t>Artículos 12 bis y 17 del FSE + </w:t>
      </w:r>
    </w:p>
    <w:p w:rsidR="00786B3E" w:rsidRDefault="00786B3E" w:rsidP="00786B3E">
      <w:r>
        <w:rPr>
          <w:noProof/>
          <w:lang w:val="es-ES"/>
        </w:rPr>
        <w:drawing>
          <wp:inline distT="0" distB="0" distL="0" distR="0" wp14:anchorId="476AB4CE" wp14:editId="63A70F7C">
            <wp:extent cx="152435" cy="152435"/>
            <wp:effectExtent l="0" t="0" r="0" b="0"/>
            <wp:docPr id="101465" name="Imagen 1014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¿Es obligatorio establecer nuevas prioridades STEP o está relacionado con el uso de determinados incentivos (cuáles)? ¿Está creando prioridades específicas vinculadas a los nuevos objetivos específicos introducidos? ¿Requiere una modificación del programa?</w:t>
      </w:r>
    </w:p>
    <w:p w:rsidR="00786B3E" w:rsidRDefault="00786B3E" w:rsidP="00786B3E">
      <w:r>
        <w:t>¿Pueden integrarse los nuevos objetivos de STEP en las prioridades existentes, si se renuncia a la cofinanciación del 100 %? ¿Requiere una modificación del programa?</w:t>
      </w:r>
    </w:p>
    <w:p w:rsidR="00786B3E" w:rsidRDefault="00786B3E" w:rsidP="00786B3E">
      <w:pPr>
        <w:pStyle w:val="P68B1DB1-Normal1"/>
      </w:pPr>
      <w:r>
        <w:t>Respuesta a la pregunta 1</w:t>
      </w:r>
    </w:p>
    <w:p w:rsidR="00786B3E" w:rsidRDefault="00786B3E" w:rsidP="00786B3E">
      <w:r>
        <w:t>La adopción de las inversiones STEP, incluida la creación de prioridades específicas, es voluntaria: depende de la decisión del Estado miembro.</w:t>
      </w:r>
    </w:p>
    <w:p w:rsidR="00786B3E" w:rsidRDefault="00786B3E" w:rsidP="00786B3E">
      <w:r>
        <w:t>La introducción de una prioridad específica STEP en el programa es una condición para beneficiarse de los siguientes incentivos establecidos en el Reglamento STEP:</w:t>
      </w:r>
    </w:p>
    <w:p w:rsidR="00786B3E" w:rsidRDefault="00786B3E" w:rsidP="00786B3E">
      <w:pPr>
        <w:numPr>
          <w:ilvl w:val="0"/>
          <w:numId w:val="300"/>
        </w:numPr>
      </w:pPr>
      <w:r>
        <w:t>aumento del porcentaje de cofinanciación (hasta el 100 %) para el FEDER, el Fondo de Cohesión, el FSE + y el FTJ,</w:t>
      </w:r>
    </w:p>
    <w:p w:rsidR="00786B3E" w:rsidRDefault="00786B3E" w:rsidP="00786B3E">
      <w:pPr>
        <w:numPr>
          <w:ilvl w:val="0"/>
          <w:numId w:val="300"/>
        </w:numPr>
      </w:pPr>
      <w:r>
        <w:t>prefinanciación única del 30 % de los recursos programados en el marco de dichas prioridades para el FEDER, el Fondo de Cohesión y el FSE +.</w:t>
      </w:r>
    </w:p>
    <w:p w:rsidR="00786B3E" w:rsidRDefault="00786B3E" w:rsidP="00786B3E">
      <w:r>
        <w:t>Además, las prioridades específicas de STEP no están sujetas a una revisión intermedia si se incluyen en el programa mediante una modificación presentada a más tardar el 31 de agosto de 2024.</w:t>
      </w:r>
    </w:p>
    <w:p w:rsidR="00786B3E" w:rsidRDefault="00786B3E" w:rsidP="00786B3E">
      <w:r>
        <w:t>La creación de una prioridad específica requiere una modificación del programa.</w:t>
      </w:r>
    </w:p>
    <w:p w:rsidR="00786B3E" w:rsidRDefault="00786B3E" w:rsidP="00786B3E">
      <w:r>
        <w:t>El Reglamento STEP introdujo nuevos objetivos específicos relacionados con STEP únicamente para el FEDER y el Fondo de Cohesión. La inclusión de los objetivos específicos de STEP en el programa en el marco del FEDER y el Fondo de Cohesión requiere la introducción de prioridades específicas de STEP. Este no es el caso del FSE + y del FTJ. Cuando un Estado miembro decida hacer uso de incentivos, debe crear una o varias prioridades específicas en el marco de los objetivos específicos pertinentes del FSE + establecidos en el artículo 4, apartado 1, del Reglamento del FSE + o en el marco del objetivo específico del FTJ.</w:t>
      </w:r>
    </w:p>
    <w:p w:rsidR="00786B3E" w:rsidRDefault="00786B3E" w:rsidP="00786B3E">
      <w:r>
        <w:t>Es posible ejecutar operaciones en el marco de cualquiera de los fondos que encajan en los objetivos de STEP en el marco de prioridades que no están dedicadas a STEP (es decir, sin la reprogramación), siempre que dichas operaciones entren en el ámbito de aplicación del programa. Sin embargo, en ese caso, el programa no podrá beneficiarse de los demás incentivos establecidos en el Reglamento STEP.</w:t>
      </w:r>
    </w:p>
    <w:p w:rsidR="00786B3E" w:rsidRDefault="00786B3E" w:rsidP="00786B3E"/>
    <w:p w:rsidR="00786B3E" w:rsidRDefault="00786B3E" w:rsidP="00786B3E">
      <w:pPr>
        <w:pStyle w:val="P68B1DB1-Normal1"/>
      </w:pPr>
      <w:r>
        <w:lastRenderedPageBreak/>
        <w:t>Pregunta 2</w:t>
      </w:r>
    </w:p>
    <w:p w:rsidR="00786B3E" w:rsidRDefault="00786B3E" w:rsidP="00786B3E">
      <w:r>
        <w:t>Si un programa decide adoptar STEP y hacer uso de una mayor cofinanciación para todos los fondos, ¿tendría que establecer cuatro prioridades específicas?</w:t>
      </w:r>
    </w:p>
    <w:p w:rsidR="00786B3E" w:rsidRDefault="00786B3E" w:rsidP="00786B3E">
      <w:r>
        <w:t>¿Es posible crear prioridades STEP multifondo? ¿Puede crearse una única prioridad STEP para diferentes objetivos políticos del FEDER? Si se introduce una prioridad específica para STEP, ¿es posible combinar los objetivos específicos de ambos objetivos políticos en uno o dos ejes independientes?</w:t>
      </w:r>
    </w:p>
    <w:p w:rsidR="00786B3E" w:rsidRDefault="00786B3E" w:rsidP="00786B3E">
      <w:pPr>
        <w:pStyle w:val="P68B1DB1-Normal1"/>
      </w:pPr>
      <w:r>
        <w:t>Respuesta a la pregunta 2</w:t>
      </w:r>
    </w:p>
    <w:p w:rsidR="00786B3E" w:rsidRDefault="00786B3E" w:rsidP="00786B3E">
      <w:r>
        <w:t xml:space="preserve">Dado que, de conformidad con el artículo 22, apartado 2, del RDC, cada prioridad corresponderá a un único objetivo político o al objetivo específico del FTJ [...], no es posible combinar diferentes objetivos políticos en una prioridad. Los Estados miembros solo pueden crear una prioridad multifondo en el marco de STEP para recibir apoyo en el marco del mismo objetivo político. En la práctica, esto significa que solo es posible establecer prioridades multifondo que combinen financiación en el marco del FEDER y del Fondo de Cohesión en el marco del mismo objetivo político (OP 2). No es posible crear una prioridad específica multifondo que combata el apoyo del FSE + con el FEDER o el FC, </w:t>
      </w:r>
      <w:r w:rsidR="002F3719">
        <w:t xml:space="preserve">ya que, </w:t>
      </w:r>
      <w:r>
        <w:t>la ayuda del FSE + en el marco de STEP se programará siempre en el marco del OP 4, mientras que en el marco del FEDER y el FC se programará en el marco del OP 1 o el OP 2. No es posible crear prioridades multifondo que combinen el FEDER, el FC o el FSE + con el FTJ.</w:t>
      </w:r>
    </w:p>
    <w:p w:rsidR="00786B3E" w:rsidRDefault="00786B3E" w:rsidP="00786B3E">
      <w:r>
        <w:t>Si un programa prevé inversiones en el marco de los dos objetivos específicos de STEP introducidos en el marco del Reglamento FEDER/FC, se requieren al menos dos prioridades: uno para el FEDER en el marco del OP 1 y otro para el FEDER o el Fondo de Cohesión en el marco del OP 2. Si, además, un programa prevé la introducción de prioridades específicas también para el FSE + y el FTJ, se requieren al menos cuatro prioridades específicas.</w:t>
      </w:r>
    </w:p>
    <w:p w:rsidR="00786B3E" w:rsidRDefault="00786B3E" w:rsidP="00786B3E"/>
    <w:p w:rsidR="00786B3E" w:rsidRDefault="00786B3E" w:rsidP="00786B3E">
      <w:pPr>
        <w:pStyle w:val="P68B1DB1-Normal1"/>
      </w:pPr>
      <w:r>
        <w:t>Pregunta 3</w:t>
      </w:r>
    </w:p>
    <w:p w:rsidR="00786B3E" w:rsidRDefault="00786B3E" w:rsidP="00786B3E">
      <w:r>
        <w:t>¿Pueden las prioridades específicas de STEP en el marco del FEDER y el FC incluir, junto a los OE recientemente creados por el Reglamento STEP, también otros OE?</w:t>
      </w:r>
    </w:p>
    <w:p w:rsidR="00786B3E" w:rsidRDefault="00786B3E" w:rsidP="00786B3E">
      <w:pPr>
        <w:pStyle w:val="P68B1DB1-Normal1"/>
      </w:pPr>
      <w:r>
        <w:t>Respuesta a la pregunta 3</w:t>
      </w:r>
    </w:p>
    <w:p w:rsidR="00786B3E" w:rsidRDefault="00786B3E" w:rsidP="00786B3E">
      <w:r>
        <w:t>No, dado que las prioridades específicas están vinculadas a los incentivos establecidos en el Reglamento STEP, una prioridad específica STEP financiada por el FEDER o por el FC solo podrá incluir un nuevo objetivo específico de STEP creado en virtud del Reglamento STEP. En el marco del OP 1, una prioridad específica STEP solo puede incluir el OE 1.6 [artículo 3 (1) (a) (vi) del Reglamento del FEDER/FC]. En el marco del OP 2, una prioridad específica STEP solo puede incluir el OE 2.9 [artículo 3 (1) (b) (ix) del Reglamento del FEDER/FC].</w:t>
      </w:r>
    </w:p>
    <w:p w:rsidR="00786B3E" w:rsidRDefault="00786B3E" w:rsidP="00786B3E">
      <w:r>
        <w:t>Las inversiones relacionadas con las STEP pueden financiarse en el marco de las prioridades y los objetivos operativos existentes; sin embargo, no se considerarán una prioridad específica de STEP y no se beneficiarán de los incentivos de STEP.</w:t>
      </w:r>
    </w:p>
    <w:p w:rsidR="00786B3E" w:rsidRDefault="00786B3E" w:rsidP="00786B3E"/>
    <w:p w:rsidR="00786B3E" w:rsidRDefault="00786B3E" w:rsidP="00786B3E">
      <w:pPr>
        <w:pStyle w:val="P68B1DB1-Normal1"/>
      </w:pPr>
      <w:r>
        <w:lastRenderedPageBreak/>
        <w:t>Pregunta 4</w:t>
      </w:r>
    </w:p>
    <w:p w:rsidR="00786B3E" w:rsidRDefault="00786B3E" w:rsidP="00786B3E">
      <w:r>
        <w:t>A diferencia de la propuesta original de Reglamento STEP, parece que el FTJ puede contribuir a los tres sectores STEP definidos en el artículo 2 del Reglamento STEP (no solo a las tecnologías limpias). ¿Puede confirmarlo?</w:t>
      </w:r>
    </w:p>
    <w:p w:rsidR="00786B3E" w:rsidRDefault="00786B3E" w:rsidP="00786B3E">
      <w:pPr>
        <w:pStyle w:val="P68B1DB1-Normal1"/>
      </w:pPr>
      <w:r>
        <w:t>Respuesta a la pregunta 4</w:t>
      </w:r>
    </w:p>
    <w:p w:rsidR="00786B3E" w:rsidRDefault="00786B3E" w:rsidP="00786B3E">
      <w:r>
        <w:t>De conformidad con el artículo 2 del Reglamento del FTJ, modificado por el Reglamento STEP, el FTJ también podrá apoyar inversiones que contribuyan a los objetivos de STEP a que se refiere el artículo 2 del Reglamento STEP: I) apoyar el desarrollo o la fabricación de tecnologías críticas o salvaguardar y reforzar su cadena de valor en todos los sectores definidos (es decir, tecnologías digitales, innovación de tecnología profunda, tecnologías limpias y eficientes en el uso de los recursos, y biotecnologías); II) abordar la escasez de mano de obra y las capacidades críticas conexas.</w:t>
      </w:r>
    </w:p>
    <w:p w:rsidR="00786B3E" w:rsidRDefault="00786B3E" w:rsidP="00786B3E">
      <w:r>
        <w:t>Como se explica en el considerando 21 del Reglamento STEP, el ámbito de aplicación del apoyo del FTJ se ha ampliado para incluir las inversiones en tecnologías cubiertas por el Reglamento STEP, así como para abordar la escasez de mano de obra y de capacidades necesarias para realizar dichas inversiones, siempre que dichas inversiones sean compatibles con la contribución prevista a la transición a la neutralidad climática establecida en los planes territoriales de transición justa, tal como se establece en el Reglamento del FTJ. De conformidad con el artículo 8, apartado 1, del Reglamento del FTJ, este solo debe apoyar actividades directamente relacionadas con su objetivo específico y que contribuyan a la ejecución de los planes territoriales de transición justa.</w:t>
      </w:r>
    </w:p>
    <w:p w:rsidR="00786B3E" w:rsidRDefault="00786B3E" w:rsidP="00786B3E"/>
    <w:p w:rsidR="00786B3E" w:rsidRDefault="00786B3E" w:rsidP="00786B3E">
      <w:pPr>
        <w:pStyle w:val="P68B1DB1-Normal1"/>
      </w:pPr>
      <w:r>
        <w:t>Pregunta 5</w:t>
      </w:r>
    </w:p>
    <w:p w:rsidR="00786B3E" w:rsidRDefault="00786B3E" w:rsidP="00786B3E">
      <w:r>
        <w:t>A la luz de una nueva prioridad específica para las actividades de STEP en un programa, explique si los fondos e indicadores del FEDER dedicados a esta prioridad tendrán que desglosarse por regiones (regiones más/menos desarrolladas). Entendemos que el concepto de FC sería aplicable con el objetivo de promover el uso de STEP (sin necesidad de separación por regiones) se aplicaría. Téngase en cuenta que, según nuestras estimaciones, la mayor parte (o incluso el importe total) de financiación de la nueva prioridad STEP se obtendría de la región menos desarrollada. (referencia al considerando 19 y al artículo 10.2 de la STEP).</w:t>
      </w:r>
    </w:p>
    <w:p w:rsidR="00786B3E" w:rsidRDefault="00786B3E" w:rsidP="00786B3E">
      <w:pPr>
        <w:pStyle w:val="P68B1DB1-Normal1"/>
      </w:pPr>
      <w:r>
        <w:t>Respuesta a la pregunta 5</w:t>
      </w:r>
    </w:p>
    <w:p w:rsidR="00786B3E" w:rsidRDefault="00786B3E" w:rsidP="00786B3E">
      <w:r>
        <w:t>Los recursos del FEDER en el marco de las prioridades específicas de STEP deben dividirse por categoría de región de conformidad con el artículo 22, apartado 3, letra g), y los cuadros 10 y 11 del anexo V del RDC. Así sucede con los indicadores, de acuerdo con los cuadros 2 y 3 del anexo V del RDC.</w:t>
      </w:r>
    </w:p>
    <w:p w:rsidR="00786B3E" w:rsidRDefault="00786B3E" w:rsidP="00786B3E">
      <w:r>
        <w:t>Los recursos asignados a cada una de las categorías de regiones deben estar en consonancia con la Decisión de Ejecución (UE) 2021/1131 de la Comisión, por la que se establece el desglose anual por Estado miembro de los recursos totales de los Fondos (DO L 244/21 de 5.7.2021). No es necesario dividir los recursos del Fondo de Cohesión por categoría de región.</w:t>
      </w:r>
    </w:p>
    <w:p w:rsidR="00786B3E" w:rsidRDefault="00786B3E" w:rsidP="00786B3E">
      <w:r>
        <w:t>La transferencia entre categorías de regiones es posible en el contexto de la revisión intermedia de conformidad con el artículo 111 del RDC.</w:t>
      </w:r>
    </w:p>
    <w:p w:rsidR="00786B3E" w:rsidRDefault="00786B3E" w:rsidP="00786B3E">
      <w:pPr>
        <w:pStyle w:val="P68B1DB1-Normal1"/>
      </w:pPr>
      <w:r>
        <w:lastRenderedPageBreak/>
        <w:t> </w:t>
      </w:r>
    </w:p>
    <w:p w:rsidR="00786B3E" w:rsidRDefault="00786B3E" w:rsidP="00786B3E">
      <w:pPr>
        <w:pStyle w:val="P68B1DB1-Normal1"/>
      </w:pPr>
      <w:r>
        <w:t> Pregunta 6</w:t>
      </w:r>
    </w:p>
    <w:p w:rsidR="00786B3E" w:rsidRDefault="00786B3E" w:rsidP="00786B3E">
      <w:r>
        <w:t>¿Será posible conceder ayudas en forma de subvenciones a las pymes y a las grandes empresas en el marco de una prioridad separada para STEP del FEDER, independientemente del desglose original en el programa de subvenciones y ayudas reembolsables?</w:t>
      </w:r>
    </w:p>
    <w:p w:rsidR="00786B3E" w:rsidRDefault="00786B3E" w:rsidP="00786B3E">
      <w:pPr>
        <w:pStyle w:val="P68B1DB1-Normal1"/>
      </w:pPr>
      <w:r>
        <w:t>Respuesta a la pregunta 6</w:t>
      </w:r>
    </w:p>
    <w:p w:rsidR="00786B3E" w:rsidRDefault="00786B3E" w:rsidP="00786B3E">
      <w:r>
        <w:t>La introducción de una prioridad específica que contribuya al objetivo específico de STEP requiere una modificación de un programa. Durante este proceso, el desglose de los recursos programados por forma de apoyo a objetivos específicos en el marco de las prioridades existentes (sección 2.1.1.1.3 — Cuadro 5: Dimensión 2 — forma de financiación) debe ajustarse cuando proceda.</w:t>
      </w:r>
    </w:p>
    <w:p w:rsidR="00786B3E" w:rsidRDefault="00786B3E" w:rsidP="00786B3E">
      <w:r>
        <w:t>De conformidad con el artículo 22, apartado 3, letra d), inciso vii), del RDC, para cada nuevo objetivo específico añadido en el marco del FEDER/FC (o del objetivo específico del FTJ) en el marco de las prioridades específicas de STEP, el programa modificado debe describir el uso previsto de los instrumentos financieros, si tal forma de ayuda está prevista en el cuadro 1 de la sección relativa a la estrategia del programa.  </w:t>
      </w:r>
    </w:p>
    <w:p w:rsidR="00786B3E" w:rsidRDefault="00786B3E" w:rsidP="00786B3E">
      <w:pPr>
        <w:pStyle w:val="P68B1DB1-Normal1"/>
      </w:pPr>
      <w:r>
        <w:t> </w:t>
      </w:r>
    </w:p>
    <w:p w:rsidR="00786B3E" w:rsidRDefault="00786B3E" w:rsidP="00786B3E">
      <w:pPr>
        <w:pStyle w:val="P68B1DB1-Normal1"/>
      </w:pPr>
      <w:r>
        <w:t>Pregunta 7</w:t>
      </w:r>
    </w:p>
    <w:p w:rsidR="00786B3E" w:rsidRDefault="00786B3E" w:rsidP="00786B3E">
      <w:r>
        <w:t>¿Qué significa «modificaciones relacionadas exclusivamente con STEP» (artículo 24, apartado 10, del RDC, modificado por el artículo 13, apartado 5, de STEP)? ¿Puede considerarse que las transferencias entre fondos (sobre la base del artículo 26 del RDC) están exclusivamente relacionadas con STEP?</w:t>
      </w:r>
    </w:p>
    <w:p w:rsidR="00786B3E" w:rsidRDefault="00786B3E" w:rsidP="00786B3E">
      <w:pPr>
        <w:pStyle w:val="P68B1DB1-Normal1"/>
      </w:pPr>
      <w:r>
        <w:t> Respuesta a la pregunta 7</w:t>
      </w:r>
    </w:p>
    <w:p w:rsidR="00786B3E" w:rsidRDefault="00786B3E" w:rsidP="00786B3E">
      <w:r>
        <w:t>La introducción de una prioridad específica STEP a través de una modificación del programa se llevará a cabo junto con los cambios relacionados con:</w:t>
      </w:r>
    </w:p>
    <w:p w:rsidR="00786B3E" w:rsidRDefault="00786B3E" w:rsidP="00786B3E">
      <w:pPr>
        <w:numPr>
          <w:ilvl w:val="0"/>
          <w:numId w:val="301"/>
        </w:numPr>
      </w:pPr>
      <w:r>
        <w:t>todos los elementos necesarios de dicha prioridad (por ejemplo, asignación, indicadores, códigos de intervención, etc.)</w:t>
      </w:r>
    </w:p>
    <w:p w:rsidR="00786B3E" w:rsidRDefault="00786B3E" w:rsidP="00786B3E">
      <w:pPr>
        <w:numPr>
          <w:ilvl w:val="0"/>
          <w:numId w:val="301"/>
        </w:numPr>
      </w:pPr>
      <w:r>
        <w:t>elementos de las demás prioridades del programa vinculados a las reasignaciones o al uso de importes de flexibilidad.</w:t>
      </w:r>
    </w:p>
    <w:p w:rsidR="00786B3E" w:rsidRDefault="00786B3E" w:rsidP="00786B3E">
      <w:r>
        <w:t>A este respecto, las transferencias entre los fondos dentro de un programa a efectos de la financiación de la prioridad específica de STEP también podrían considerarse «exclusivamente relacionadas con la introducción de prioridades que contribuyan a los objetivos de STEP», siempre que esta transferencia esté estrictamente destinada a proporcionar financiación adicional a la prioridad STEP.</w:t>
      </w:r>
    </w:p>
    <w:p w:rsidR="00786B3E" w:rsidRDefault="00786B3E" w:rsidP="00786B3E">
      <w:r>
        <w:t xml:space="preserve">Sin embargo, cuando una modificación implique reasignaciones de un programa a otro programa destinado a proporcionar recursos a la prioridad específica de STEP en este último, la Comisión procuraría adoptar las modificaciones del programa relacionadas con STEP en el plazo de 2 meses, suponiendo que se disponga de créditos del programa en cuestión.  Esto se debe a que la modificación relativa a las transferencias del </w:t>
      </w:r>
      <w:r>
        <w:lastRenderedPageBreak/>
        <w:t>programa que proporciona financiación tendría que aprobarse en primer lugar, o al menos al mismo tiempo.</w:t>
      </w:r>
    </w:p>
    <w:p w:rsidR="00786B3E" w:rsidRDefault="00786B3E" w:rsidP="00786B3E"/>
    <w:p w:rsidR="00786B3E" w:rsidRDefault="00786B3E" w:rsidP="00786B3E">
      <w:pPr>
        <w:pStyle w:val="P68B1DB1-Normal1"/>
      </w:pPr>
      <w:r>
        <w:t>Pregunta 8</w:t>
      </w:r>
    </w:p>
    <w:p w:rsidR="00786B3E" w:rsidRDefault="00786B3E" w:rsidP="00786B3E">
      <w:r>
        <w:t>¿Es posible incluir elementos en una modificación del programa STEP que no estén únicamente vinculados a STEP? Después del 31 de agosto de 2024, ¿cuáles son los plazos para presentar una modificación del programa a fin de integrar una prioridad STEP?</w:t>
      </w:r>
    </w:p>
    <w:p w:rsidR="00786B3E" w:rsidRDefault="00786B3E" w:rsidP="00786B3E">
      <w:pPr>
        <w:pStyle w:val="P68B1DB1-Normal1"/>
      </w:pPr>
      <w:r>
        <w:t>Respuesta a la pregunta 8</w:t>
      </w:r>
    </w:p>
    <w:p w:rsidR="00786B3E" w:rsidRDefault="00786B3E" w:rsidP="00786B3E">
      <w:r>
        <w:t xml:space="preserve">Es posible incluir elementos no vinculados a STEP en una modificación del programa relacionada con la STEP.  Sin embargo, en tal caso, no se aplicará el plazo de dos meses para la adopción por parte de la Comisión de la modificación del programa establecido en el artículo 24, apartado 10, del RDC, </w:t>
      </w:r>
      <w:r w:rsidR="002F3719">
        <w:t xml:space="preserve">ya que, </w:t>
      </w:r>
      <w:r>
        <w:t>este plazo solo se aplica a la adopción de modificaciones de programas relativos exclusivamente a la introducción de prioridades específicas para las inversiones que contribuyan a los objetivos de STEP. </w:t>
      </w:r>
    </w:p>
    <w:p w:rsidR="00786B3E" w:rsidRDefault="00786B3E" w:rsidP="00786B3E">
      <w:r>
        <w:t>No existe un plazo reglamentario para que los Estados miembros presenten una modificación del programa relacionada con las STPE, en particular con el fin de introducir una prioridad específica para las inversiones que contribuyan a STEP. Los Estados miembros pueden hacerlo a lo largo del período de programación, como ocurre con otras modificaciones de los programas. Sin embargo, el beneficio de determinados incentivos depende del calendario de presentación de una solicitud.</w:t>
      </w:r>
    </w:p>
    <w:p w:rsidR="00786B3E" w:rsidRDefault="00786B3E" w:rsidP="00786B3E">
      <w:r>
        <w:t>En primer lugar, de conformidad con el artículo 24, apartado 9, del RDC, las prioridades específicas de STEP solo se excluyen de la revisión intermedia si la modificación del programa se presenta a más tardar el 31 de agosto de 2024. En tal caso, también debe adoptarse una decisión de la Comisión por la que se apruebe la modificación del programa en el plazo de dos meses a partir de su presentación, siempre que contenga únicamente modificaciones relacionadas con las STPE. Todo el programa también puede quedar exento de la revisión intermedia si el importe total de flexibilidad en el marco de este programa se asigna a prioridades específicas de STEP.</w:t>
      </w:r>
    </w:p>
    <w:p w:rsidR="00786B3E" w:rsidRDefault="00786B3E" w:rsidP="00786B3E">
      <w:r>
        <w:t>En segundo lugar, de conformidad con el artículo 3, apartado 1 bis, del Reglamento del FEDER/FC y el artículo 12 bis del Reglamento del FSE +, la prefinanciación vinculada a las prioridades específicas STEP para el FEDER, el Fondo de Cohesión y el FSE + solo se paga si el Estado miembro presenta la modificación del programa a más tardar el 31 de marzo de 2025.</w:t>
      </w:r>
    </w:p>
    <w:p w:rsidR="00786B3E" w:rsidRDefault="00786B3E" w:rsidP="00786B3E"/>
    <w:p w:rsidR="00786B3E" w:rsidRDefault="00786B3E" w:rsidP="00786B3E">
      <w:pPr>
        <w:pStyle w:val="P68B1DB1-Normal1"/>
      </w:pPr>
      <w:r>
        <w:t>Pregunta 9</w:t>
      </w:r>
    </w:p>
    <w:p w:rsidR="00786B3E" w:rsidRDefault="00786B3E" w:rsidP="00786B3E">
      <w:r>
        <w:t xml:space="preserve">Después de que el programa sea modificado por la Decisión de la Comisión y se hayan añadido nuevas prioridades o prioridades para los objetivos de STEP, si no puede utilizarse la totalidad de la asignación para STEP (procedente de fondos del FEDER), ¿cómo, </w:t>
      </w:r>
      <w:proofErr w:type="gramStart"/>
      <w:r>
        <w:t>cuándo y en qué condiciones pueden utilizarse de nuevo en el marco del programa?</w:t>
      </w:r>
      <w:proofErr w:type="gramEnd"/>
      <w:r>
        <w:t xml:space="preserve"> ¿Puede la autoridad de gestión, de conformidad con el artículo 24, apartado 5, del Reglamento (CE) no 2021/1060, transferir hasta el 8 % de esta prioridad a otra prioridad y notificarlo a la Comisión? ¿Se contabiliza la «asignación inicial de la prioridad» desde el principio después de que se haya modificado el programa?</w:t>
      </w:r>
    </w:p>
    <w:p w:rsidR="00786B3E" w:rsidRDefault="00786B3E" w:rsidP="00786B3E"/>
    <w:p w:rsidR="00786B3E" w:rsidRDefault="00786B3E" w:rsidP="00786B3E">
      <w:pPr>
        <w:pStyle w:val="P68B1DB1-Normal1"/>
      </w:pPr>
      <w:r>
        <w:t>Respuestas a la pregunta 9</w:t>
      </w:r>
    </w:p>
    <w:p w:rsidR="00786B3E" w:rsidRDefault="00786B3E" w:rsidP="00786B3E">
      <w:r>
        <w:t>Si los recursos del FEDER programados para inversiones relacionadas con STEP no se utilizan plenamente, es decir, se enfrentan a dificultades de ejecución, se aplica la práctica habitual de gestión del programa. Entre otras cosas, los importes en el marco de la prioridad STEP pueden reasignarse a otras prioridades o programas en caso necesario. Esto debe considerarse como último recurso si todas las demás acciones para continuar la ejecución fracasan.</w:t>
      </w:r>
    </w:p>
    <w:p w:rsidR="00786B3E" w:rsidRDefault="00786B3E" w:rsidP="00786B3E">
      <w:r>
        <w:t xml:space="preserve">Dicha reasignación también podrá adoptar la forma de una transferencia no sustancial de prioridades específicas de STEP sin necesidad de una modificación formal del programa de conformidad con el artículo 24, apartado 5, del RDC. Tras la transferencia, el programa debe seguir cumpliendo todos los requisitos reglamentarios aplicables. Las transferencias no sustanciales también pueden dar lugar a cambios conexos, cuyas condiciones se explican en el </w:t>
      </w:r>
      <w:hyperlink w:anchor="scroll-bookmark-555" w:history="1">
        <w:r>
          <w:rPr>
            <w:rStyle w:val="Hipervnculo"/>
          </w:rPr>
          <w:t>QA00264 — Modificaciones del programa — transferencias no sustanciales y cambios conexos.</w:t>
        </w:r>
      </w:hyperlink>
    </w:p>
    <w:p w:rsidR="00786B3E" w:rsidRDefault="00786B3E" w:rsidP="00786B3E"/>
    <w:p w:rsidR="00786B3E" w:rsidRDefault="00786B3E" w:rsidP="00786B3E">
      <w:pPr>
        <w:pStyle w:val="Ttulo2"/>
      </w:pPr>
      <w:bookmarkStart w:id="732" w:name="scroll-bookmark-842"/>
      <w:r>
        <w:t>Indicadores</w:t>
      </w:r>
      <w:bookmarkEnd w:id="732"/>
    </w:p>
    <w:p w:rsidR="00786B3E" w:rsidRDefault="00786B3E" w:rsidP="00786B3E">
      <w:pPr>
        <w:pStyle w:val="P68B1DB1-Normal1"/>
      </w:pPr>
      <w:r>
        <w:t>Pregunta 10 (indicadores del FSE +)</w:t>
      </w:r>
    </w:p>
    <w:p w:rsidR="00786B3E" w:rsidRDefault="00786B3E" w:rsidP="00786B3E">
      <w:r>
        <w:t xml:space="preserve">En el anexo 1, cuadro 1, relativo al artículo 13 de la propuesta de Reglamento, se introducen 2 códigos de intervención que pueden asociarse al FSE +, sin la asociación de indicadores que correspondan a los códigos de intervención. </w:t>
      </w:r>
      <w:proofErr w:type="gramStart"/>
      <w:r>
        <w:t>A través de la nueva prioridad, se introducirán indicadores adicionales a los existentes en la forma actual del programa?</w:t>
      </w:r>
      <w:proofErr w:type="gramEnd"/>
    </w:p>
    <w:p w:rsidR="00786B3E" w:rsidRDefault="00786B3E" w:rsidP="00786B3E">
      <w:pPr>
        <w:pStyle w:val="P68B1DB1-Normal1"/>
      </w:pPr>
      <w:r>
        <w:t>Respuesta a la pregunta 10</w:t>
      </w:r>
    </w:p>
    <w:p w:rsidR="00786B3E" w:rsidRDefault="00786B3E" w:rsidP="00786B3E">
      <w:r>
        <w:t xml:space="preserve">De conformidad con el artículo 7 del Reglamento STEP [Reglamento (UE) 2024/795], la Comisión supervisará la ejecución de STEP sobre la base de los marcos de seguimiento de los programas de la Unión existentes. El Reglamento STEP no introdujo ninguna modificación en la lista de indicadores comunes establecida en el anexo I del Reglamento del FSE + [Reglamento (UE) 2021/1057]. Por consiguiente, de conformidad con el artículo 17 del Reglamento del FSE +, </w:t>
      </w:r>
      <w:r>
        <w:rPr>
          <w:i/>
        </w:rPr>
        <w:t>los programas utilizarán indicadores comunes de realización y de resultados, tal como se establece en el anexo I, para supervisar los avances en la ejecución. Los programas podrán utilizar también indicadores específicos propios.</w:t>
      </w:r>
      <w:r>
        <w:t xml:space="preserve"> Esto significa que la lista de indicadores que figura en el anexo I del Reglamento del FSE + se mantiene sin cambios y debe utilizarse para estos tipos de operaciones, como se desprende claramente del artículo 17, apartado 1, del FSE +. Los Estados miembros podrán establecer indicadores específicos de programa para estas operaciones, pero la Comisión considera que esto no es necesario, </w:t>
      </w:r>
      <w:r w:rsidR="002F3719">
        <w:t xml:space="preserve">ya que, </w:t>
      </w:r>
      <w:r>
        <w:t>los indicadores comunes existentes siguen siendo pertinentes para las operaciones STEP.</w:t>
      </w:r>
    </w:p>
    <w:p w:rsidR="00786B3E" w:rsidRDefault="00786B3E" w:rsidP="00786B3E">
      <w:r>
        <w:lastRenderedPageBreak/>
        <w:t>Además, los Estados miembros podrán informar sobre la contribución financiera del FSE + a los objetivos de STEP a través de los nuevos tipos de intervenciones</w:t>
      </w:r>
      <w:hyperlink w:anchor="scroll-bookmark-843" w:history="1">
        <w:r>
          <w:rPr>
            <w:rStyle w:val="Hipervnculo"/>
          </w:rPr>
          <w:t>[1]</w:t>
        </w:r>
      </w:hyperlink>
      <w:r>
        <w:t xml:space="preserve"> introducidas y el nuevo tema secundario</w:t>
      </w:r>
      <w:hyperlink w:anchor="scroll-bookmark-844" w:history="1">
        <w:r>
          <w:rPr>
            <w:rStyle w:val="Hipervnculo"/>
          </w:rPr>
          <w:t>[2]</w:t>
        </w:r>
      </w:hyperlink>
      <w:r>
        <w:t>.</w:t>
      </w:r>
    </w:p>
    <w:p w:rsidR="00786B3E" w:rsidRDefault="00786B3E" w:rsidP="00786B3E">
      <w:r>
        <w:t>Cabe señalar que estos tipos de intervenciones deben utilizarse no solo para las prioridades dedicadas a STEP, sino también para cualquier otra prioridad que incluya (entre otras) operaciones que presten apoyo a los objetivos de STEP. En caso de que un Estado miembro haya previsto utilizar el FSE + para operaciones STEP, pero no esté obligado a modificar sus programas para utilizar el FSE + para STEP (es decir, en caso de que estas operaciones ya sean subvencionables en el marco del programa), se anima al Estado miembro a incluir los nuevos tipos de intervenciones y el tema secundario en una futura modificación del programa.</w:t>
      </w:r>
    </w:p>
    <w:p w:rsidR="00786B3E" w:rsidRDefault="00786B3E" w:rsidP="00786B3E"/>
    <w:p w:rsidR="00786B3E" w:rsidRDefault="00786B3E" w:rsidP="00786B3E">
      <w:pPr>
        <w:pStyle w:val="P68B1DB1-Normal1"/>
      </w:pPr>
      <w:r>
        <w:t>Pregunta 11 (Indicadores del FTJ)</w:t>
      </w:r>
    </w:p>
    <w:p w:rsidR="00786B3E" w:rsidRDefault="00786B3E" w:rsidP="00786B3E">
      <w:r>
        <w:t>¿Se aplican también al FTJ los nuevos indicadores STEP-FEDER (RCO125, RCO126 y RCO127)?</w:t>
      </w:r>
    </w:p>
    <w:p w:rsidR="00786B3E" w:rsidRDefault="00786B3E" w:rsidP="00786B3E">
      <w:pPr>
        <w:pStyle w:val="P68B1DB1-Normal1"/>
      </w:pPr>
      <w:r>
        <w:t>Respuesta a la pregunta 11</w:t>
      </w:r>
    </w:p>
    <w:p w:rsidR="00786B3E" w:rsidRDefault="00786B3E" w:rsidP="00786B3E">
      <w:r>
        <w:t>No se incluyeron nuevos indicadores comunes en el Reglamento del FTJ, pero las autoridades de gestión pueden utilizar indicadores específicos del programa que reflejen los previstos para el FEDER/FC. Será posible elegir indicadores específicos del programa en SFC (el mismo código con «a» al final).</w:t>
      </w:r>
    </w:p>
    <w:p w:rsidR="00786B3E" w:rsidRDefault="00786B3E" w:rsidP="00786B3E">
      <w:r>
        <w:rPr>
          <w:noProof/>
          <w:lang w:val="es-ES"/>
        </w:rPr>
        <w:drawing>
          <wp:inline distT="0" distB="0" distL="0" distR="0" wp14:anchorId="1B0A0149" wp14:editId="69DFFCF2">
            <wp:extent cx="5395595" cy="1951598"/>
            <wp:effectExtent l="0" t="0" r="0" b="0"/>
            <wp:docPr id="101467" name="Imagen 10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7" name=""/>
                    <pic:cNvPicPr>
                      <a:picLocks noChangeAspect="1"/>
                    </pic:cNvPicPr>
                  </pic:nvPicPr>
                  <pic:blipFill>
                    <a:blip r:embed="rId544"/>
                    <a:stretch>
                      <a:fillRect/>
                    </a:stretch>
                  </pic:blipFill>
                  <pic:spPr>
                    <a:xfrm>
                      <a:off x="0" y="0"/>
                      <a:ext cx="5395595" cy="1951598"/>
                    </a:xfrm>
                    <a:prstGeom prst="rect">
                      <a:avLst/>
                    </a:prstGeom>
                  </pic:spPr>
                </pic:pic>
              </a:graphicData>
            </a:graphic>
          </wp:inline>
        </w:drawing>
      </w:r>
    </w:p>
    <w:p w:rsidR="00786B3E" w:rsidRDefault="00786B3E" w:rsidP="00786B3E"/>
    <w:p w:rsidR="00786B3E" w:rsidRDefault="00786B3E" w:rsidP="00786B3E">
      <w:pPr>
        <w:pStyle w:val="P68B1DB1-Normal1"/>
      </w:pPr>
      <w:r>
        <w:t>Pregunta 12</w:t>
      </w:r>
    </w:p>
    <w:p w:rsidR="00786B3E" w:rsidRDefault="00786B3E" w:rsidP="00786B3E">
      <w:r>
        <w:t>Los indicadores que pueden utilizarse para el OE 1.6 «Apoyo a inversiones que contribuyan a la consecución de los objetivos de STEP a que se refiere el artículo 2 del Reglamento (UE) 2024/795» son todas las OCR enumeradas en relación con los objetivos específicos 1.1, 1.3 y 1.4, así como las ORC 125-127. La situación es similar en el caso de los indicadores de resultados (RCR).</w:t>
      </w:r>
    </w:p>
    <w:p w:rsidR="00786B3E" w:rsidRDefault="00786B3E" w:rsidP="00786B3E">
      <w:r>
        <w:t>a) En el contexto del apoyo en el marco de STEP a las tecnologías digitales: ¿por qué no pueden utilizarse los indicadores relacionados con el OE 1.2?</w:t>
      </w:r>
    </w:p>
    <w:p w:rsidR="00786B3E" w:rsidRDefault="00786B3E" w:rsidP="00786B3E">
      <w:r>
        <w:t>b) En el contexto de una referencia a las «inversiones productivas» en los indicadores de STEP, ¿será posible, en el marco del FEDER, apoyar inversiones en los ámbitos de investigación y desarrollo de STEP?</w:t>
      </w:r>
    </w:p>
    <w:p w:rsidR="00786B3E" w:rsidRDefault="00786B3E" w:rsidP="00786B3E">
      <w:pPr>
        <w:pStyle w:val="P68B1DB1-Normal1"/>
      </w:pPr>
      <w:r>
        <w:lastRenderedPageBreak/>
        <w:t>Respuesta 12</w:t>
      </w:r>
    </w:p>
    <w:p w:rsidR="00786B3E" w:rsidRDefault="00786B3E" w:rsidP="00786B3E">
      <w:pPr>
        <w:pStyle w:val="P68B1DB1-Normal1"/>
      </w:pPr>
      <w:r>
        <w:t>Letra a)</w:t>
      </w:r>
    </w:p>
    <w:p w:rsidR="00786B3E" w:rsidRDefault="00786B3E" w:rsidP="00786B3E">
      <w:r>
        <w:t xml:space="preserve">Los colegisladores propusieron tres indicadores adaptados a los sectores tecnológicos a que se refiere el artículo 2 de STEP.  RCO 125 «Empresas: Las empresas apoyadas vinculadas principalmente a tecnologías digitales e inversiones productivas en innovación de tecnología profunda cubren bien las inversiones relacionadas con el desarrollo o la fabricación de tecnologías digitales.  Dado que el despliegue o despliegue de tecnologías digitales no entra en el ámbito de aplicación del artículo 2 de STEP (en comparación con </w:t>
      </w:r>
      <w:hyperlink w:anchor="scroll-bookmark-831" w:history="1">
        <w:r>
          <w:rPr>
            <w:rStyle w:val="Hipervnculo"/>
          </w:rPr>
          <w:t>las</w:t>
        </w:r>
      </w:hyperlink>
      <w:r>
        <w:t xml:space="preserve"> evaluaciones de calidad sobre el ámbito de aplicación del artículo 2 de STEP), no se consideró necesario el uso de indicadores relacionados con el OE 1.2 «Aprovechar los beneficios de la digitalización para los ciudadanos, las empresas, los organismos de investigación y las organizaciones públicas».</w:t>
      </w:r>
    </w:p>
    <w:p w:rsidR="00786B3E" w:rsidRDefault="00786B3E" w:rsidP="00786B3E">
      <w:pPr>
        <w:pStyle w:val="P68B1DB1-Normal1"/>
      </w:pPr>
      <w:r>
        <w:t>Letra b)</w:t>
      </w:r>
    </w:p>
    <w:p w:rsidR="00786B3E" w:rsidRDefault="00786B3E" w:rsidP="00786B3E">
      <w:r>
        <w:t>Será posible utilizar los indicadores relacionados con la investigación y el desarrollo, en la medida en que dichas inversiones entren en el ámbito de aplicación del artículo 2 del Reglamento STEP (en comparación con las evaluaciones de</w:t>
      </w:r>
      <w:hyperlink w:anchor="scroll-bookmark-831" w:history="1">
        <w:r>
          <w:rPr>
            <w:rStyle w:val="Hipervnculo"/>
          </w:rPr>
          <w:t xml:space="preserve"> calidad </w:t>
        </w:r>
      </w:hyperlink>
      <w:r>
        <w:t xml:space="preserve">sobre el ámbito de aplicación del artículo 2 de STEP </w:t>
      </w:r>
      <w:hyperlink r:id="rId545" w:history="1">
        <w:proofErr w:type="spellStart"/>
        <w:r>
          <w:rPr>
            <w:rStyle w:val="Hipervnculo"/>
          </w:rPr>
          <w:t>y</w:t>
        </w:r>
      </w:hyperlink>
      <w:r>
        <w:t>la</w:t>
      </w:r>
      <w:proofErr w:type="spellEnd"/>
      <w:r>
        <w:t xml:space="preserve"> Guía STEP).</w:t>
      </w:r>
    </w:p>
    <w:p w:rsidR="00786B3E" w:rsidRDefault="00786B3E" w:rsidP="00786B3E"/>
    <w:p w:rsidR="00786B3E" w:rsidRDefault="00786B3E" w:rsidP="00786B3E">
      <w:pPr>
        <w:pStyle w:val="P68B1DB1-Normal1"/>
      </w:pPr>
      <w:r>
        <w:t>Pregunta 13</w:t>
      </w:r>
    </w:p>
    <w:p w:rsidR="00786B3E" w:rsidRDefault="00786B3E" w:rsidP="00786B3E">
      <w:r>
        <w:t>¿Se prepararán las definiciones de los indicadores RCO126, RCO127 y RCO125 para la iniciativa STEP?</w:t>
      </w:r>
    </w:p>
    <w:p w:rsidR="00786B3E" w:rsidRDefault="00786B3E" w:rsidP="00786B3E">
      <w:pPr>
        <w:pStyle w:val="P68B1DB1-Normal1"/>
      </w:pPr>
      <w:r>
        <w:t>Respuesta a la pregunta 13</w:t>
      </w:r>
    </w:p>
    <w:p w:rsidR="00786B3E" w:rsidRDefault="00786B3E" w:rsidP="00786B3E">
      <w:r>
        <w:t xml:space="preserve">Está previsto incorporar las definiciones de los indicadores RCO125, RCO126 y RCO127 en una versión revisada del </w:t>
      </w:r>
      <w:hyperlink r:id="rId546" w:history="1">
        <w:r>
          <w:rPr>
            <w:rStyle w:val="Hipervnculo"/>
          </w:rPr>
          <w:t>documento SWD (2021) 198</w:t>
        </w:r>
      </w:hyperlink>
      <w:r>
        <w:t>, previa consulta con la red de expertos nacionales de evaluación de la DG REGIO.</w:t>
      </w:r>
    </w:p>
    <w:p w:rsidR="00786B3E" w:rsidRDefault="00786B3E" w:rsidP="00786B3E">
      <w:pPr>
        <w:pStyle w:val="P68B1DB1-Normal1"/>
      </w:pPr>
      <w:r>
        <w:t>TIERNA _</w:t>
      </w:r>
    </w:p>
    <w:p w:rsidR="00786B3E" w:rsidRDefault="00FC0FB1" w:rsidP="00786B3E">
      <w:hyperlink w:anchor="scroll-bookmark-845" w:history="1">
        <w:r w:rsidR="00786B3E">
          <w:rPr>
            <w:rStyle w:val="Hipervnculo"/>
          </w:rPr>
          <w:t>[1]</w:t>
        </w:r>
      </w:hyperlink>
      <w:r w:rsidR="00786B3E">
        <w:t xml:space="preserve"> Anexo I, cuadro 1, códigos de intervención: 145.a y b y 188-193</w:t>
      </w:r>
    </w:p>
    <w:p w:rsidR="00786B3E" w:rsidRDefault="00FC0FB1" w:rsidP="00786B3E">
      <w:hyperlink w:anchor="scroll-bookmark-846" w:history="1">
        <w:r w:rsidR="00786B3E">
          <w:rPr>
            <w:rStyle w:val="Hipervnculo"/>
          </w:rPr>
          <w:t>[2]</w:t>
        </w:r>
      </w:hyperlink>
      <w:r w:rsidR="00786B3E">
        <w:t xml:space="preserve"> Anexo I, cuadro 6, tema secundario: «11 contribución a las capacidades y al empleo en tecnologías digitales e innovación de tecnología profunda, tecnologías limpias y eficientes en el uso de los recursos y biotecnologías</w:t>
      </w:r>
    </w:p>
    <w:p w:rsidR="00786B3E" w:rsidRDefault="00786B3E" w:rsidP="00786B3E"/>
    <w:p w:rsidR="00786B3E" w:rsidRDefault="00786B3E" w:rsidP="00786B3E"/>
    <w:p w:rsidR="00786B3E" w:rsidRDefault="00786B3E" w:rsidP="00786B3E">
      <w:pPr>
        <w:pStyle w:val="Ttulo1"/>
      </w:pPr>
      <w:bookmarkStart w:id="733" w:name="scroll-bookmark-847"/>
      <w:bookmarkStart w:id="734" w:name="scroll-bookmark-848"/>
      <w:bookmarkEnd w:id="733"/>
      <w:r>
        <w:t>QA00304 — Preguntas relacionadas con los objetivos climáticos, el límite máximo del 20 % de los recursos del FEDER y la comunicación</w:t>
      </w:r>
      <w:bookmarkEnd w:id="734"/>
    </w:p>
    <w:p w:rsidR="00786B3E" w:rsidRDefault="00786B3E" w:rsidP="00786B3E">
      <w:r>
        <w:rPr>
          <w:noProof/>
          <w:lang w:val="es-ES"/>
        </w:rPr>
        <w:drawing>
          <wp:inline distT="0" distB="0" distL="0" distR="0" wp14:anchorId="50F7CF4B" wp14:editId="4DD841FE">
            <wp:extent cx="152435" cy="152435"/>
            <wp:effectExtent l="0" t="0" r="0" b="0"/>
            <wp:docPr id="101469" name="Imagen 1014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Artículos 6 y 49 del RDC </w:t>
      </w:r>
    </w:p>
    <w:p w:rsidR="00786B3E" w:rsidRDefault="00786B3E" w:rsidP="00786B3E">
      <w:r>
        <w:lastRenderedPageBreak/>
        <w:t>Artículo 3 del Reglamento FEDER</w:t>
      </w:r>
    </w:p>
    <w:p w:rsidR="00786B3E" w:rsidRDefault="00786B3E" w:rsidP="00786B3E">
      <w:r>
        <w:rPr>
          <w:noProof/>
          <w:lang w:val="es-ES"/>
        </w:rPr>
        <w:drawing>
          <wp:inline distT="0" distB="0" distL="0" distR="0" wp14:anchorId="7C688DA1" wp14:editId="520E49F4">
            <wp:extent cx="152435" cy="152435"/>
            <wp:effectExtent l="0" t="0" r="0" b="0"/>
            <wp:docPr id="101471" name="Imagen 1014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El artículo 13, apartado 2, hace referencia a que la flexibilidad para los objetivos climáticos se aplica cuando la revisión es el resultado de una modificación del programa de la plataforma STEP. ¿Puede confirmar que esta flexibilidad también se aplica cuando la revisión contiene modificaciones para STEP, así como otras enmiendas?</w:t>
      </w:r>
    </w:p>
    <w:p w:rsidR="00786B3E" w:rsidRDefault="00786B3E" w:rsidP="00786B3E">
      <w:pPr>
        <w:pStyle w:val="P68B1DB1-Normal1"/>
      </w:pPr>
      <w:r>
        <w:t>Respuesta a la pregunta 1</w:t>
      </w:r>
    </w:p>
    <w:p w:rsidR="00786B3E" w:rsidRDefault="00786B3E" w:rsidP="00786B3E">
      <w:r>
        <w:t>En consonancia con el considerando 20 del Reglamento STEP, debe permitirse que el importe de la contribución climática del Fondo de Cohesión que supere el 37 % de su asignación total se tenga en cuenta al calcular la contribución climática del FEDER, por una parte, y el importe de la contribución climática del FEDER que supere el 30 % de su asignación total debe permitirse que se tenga en cuenta al calcular la contribución climática del Fondo de Cohesión, por otra.</w:t>
      </w:r>
    </w:p>
    <w:p w:rsidR="00786B3E" w:rsidRDefault="00786B3E" w:rsidP="00786B3E">
      <w:r>
        <w:t>El artículo 6, apartado 1, del RDC modificado permite compensar la contribución a los objetivos climáticos en situaciones en las que, como resultado de la reprogramación de STEP en uno o más programas, la contribución climática en el marco del FEDER o del Fondo de Cohesión a nivel nacional descenderá por debajo del umbral debido a la selección de los ámbitos de intervención del anexo I del RDC con una menor contribución climática.</w:t>
      </w:r>
    </w:p>
    <w:p w:rsidR="00786B3E" w:rsidRDefault="00786B3E" w:rsidP="00786B3E">
      <w:r>
        <w:t>La contribución del Fondo de Cohesión al objetivo climático superior al 37 % puede compensar una caída (resultante de la reprogramación de STEP) en la contribución del FEDER por debajo del objetivo del 30 %.</w:t>
      </w:r>
    </w:p>
    <w:p w:rsidR="00786B3E" w:rsidRDefault="00786B3E" w:rsidP="00786B3E">
      <w:r>
        <w:t>La contribución del FEDER al objetivo climático superior al 30 % puede compensar una caída (resultante de la reprogramación de STEP) en la contribución del Fondo de Cohesión por debajo del objetivo.</w:t>
      </w:r>
    </w:p>
    <w:p w:rsidR="00786B3E" w:rsidRDefault="00786B3E" w:rsidP="00786B3E"/>
    <w:p w:rsidR="00786B3E" w:rsidRDefault="00786B3E" w:rsidP="00786B3E">
      <w:pPr>
        <w:pStyle w:val="P68B1DB1-Normal1"/>
      </w:pPr>
      <w:r>
        <w:t>Pregunta 2</w:t>
      </w:r>
    </w:p>
    <w:p w:rsidR="00786B3E" w:rsidRDefault="00786B3E" w:rsidP="00786B3E">
      <w:r>
        <w:t>¿Incluye el límite máximo del 20 % de la dotación nacional inicial para la movilización de fondos [véase el artículo 10, apartado 1, letra c)] la asistencia técnica? ¿Incluye el importe de flexibilidad?</w:t>
      </w:r>
    </w:p>
    <w:p w:rsidR="00786B3E" w:rsidRDefault="00786B3E" w:rsidP="00786B3E">
      <w:pPr>
        <w:pStyle w:val="P68B1DB1-Normal1"/>
      </w:pPr>
      <w:r>
        <w:t>Respuesta a la pregunta 2</w:t>
      </w:r>
    </w:p>
    <w:p w:rsidR="00786B3E" w:rsidRDefault="00786B3E" w:rsidP="00786B3E">
      <w:r>
        <w:t>La asignación nacional inicial para el FEDER a que se refiere el artículo 3, apartado 1 bis, del Reglamento del FEDER/FC se refiere al desglose anual por Estado miembro de los recursos totales asignados en el marco del objetivo de inversión en empleo y crecimiento y del objetivo de cooperación territorial europea establecido en la Decisión de Ejecución (UE) 2021/1131 de la Comisión, de 5 de julio de 2021.</w:t>
      </w:r>
    </w:p>
    <w:p w:rsidR="00786B3E" w:rsidRDefault="00786B3E" w:rsidP="00786B3E">
      <w:r>
        <w:t>La asignación nacional inicial para el FEDER incluye importes de asistencia técnica y flexibilidad.</w:t>
      </w:r>
    </w:p>
    <w:p w:rsidR="00786B3E" w:rsidRDefault="00786B3E" w:rsidP="00786B3E"/>
    <w:p w:rsidR="00786B3E" w:rsidRDefault="00786B3E" w:rsidP="00786B3E"/>
    <w:p w:rsidR="00786B3E" w:rsidRDefault="00786B3E" w:rsidP="00786B3E">
      <w:pPr>
        <w:pStyle w:val="P68B1DB1-Normal1"/>
      </w:pPr>
      <w:r>
        <w:t>Pregunta 3</w:t>
      </w:r>
    </w:p>
    <w:p w:rsidR="00786B3E" w:rsidRDefault="00786B3E" w:rsidP="00786B3E">
      <w:r>
        <w:t>¿Con qué frecuencia tendrán que enviar a la Comisión la información solicitada sobre sus convocatorias de proyectos del FEDER, el FSE y el FTJ en STEP? (¿cuándo hay noticias concretas para notificar o transmitir periódicamente?)</w:t>
      </w:r>
    </w:p>
    <w:p w:rsidR="00786B3E" w:rsidRDefault="00786B3E" w:rsidP="00786B3E">
      <w:pPr>
        <w:pStyle w:val="P68B1DB1-Normal1"/>
      </w:pPr>
      <w:r>
        <w:t>Respuesta a la pregunta 3</w:t>
      </w:r>
    </w:p>
    <w:p w:rsidR="00786B3E" w:rsidRDefault="00786B3E" w:rsidP="00786B3E">
      <w:r>
        <w:t>Tal como se establece en el artículo 13, apartado 6, del Reglamento STEP, cuando la ayuda esté programada para los objetivos de STEP, la información que debe publicarse exigida por el artículo 49, apartado 2, del RDC [un calendario para las convocatorias previstas con los datos indicativos enumerados en las letras a) a e) de dicha disposición] debe presentarse a la Comisión para su publicación en el portal de soberanía al menos tres veces al año. El enlace a las convocatorias de propuestas debe presentarse el día de su publicación.</w:t>
      </w:r>
    </w:p>
    <w:p w:rsidR="00786B3E" w:rsidRDefault="00786B3E" w:rsidP="00786B3E"/>
    <w:p w:rsidR="00786B3E" w:rsidRDefault="00786B3E" w:rsidP="00786B3E"/>
    <w:p w:rsidR="00786B3E" w:rsidRDefault="00786B3E" w:rsidP="00786B3E">
      <w:pPr>
        <w:pStyle w:val="Ttulo1"/>
      </w:pPr>
      <w:bookmarkStart w:id="735" w:name="scroll-bookmark-849"/>
      <w:bookmarkStart w:id="736" w:name="scroll-bookmark-850"/>
      <w:bookmarkEnd w:id="735"/>
      <w:r>
        <w:t>QA00305 — Preguntas relacionadas con las normas de subvencionabilidad, la fecha de inicio de la subvencionabilidad y los códigos de intervención</w:t>
      </w:r>
      <w:bookmarkEnd w:id="736"/>
    </w:p>
    <w:p w:rsidR="00786B3E" w:rsidRDefault="00786B3E" w:rsidP="00786B3E">
      <w:r>
        <w:rPr>
          <w:noProof/>
          <w:lang w:val="es-ES"/>
        </w:rPr>
        <w:drawing>
          <wp:inline distT="0" distB="0" distL="0" distR="0" wp14:anchorId="09380836" wp14:editId="459FA8AE">
            <wp:extent cx="152435" cy="152435"/>
            <wp:effectExtent l="0" t="0" r="0" b="0"/>
            <wp:docPr id="101473" name="Imagen 1014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Artículos 24, 63 y 73 del RDC</w:t>
      </w:r>
    </w:p>
    <w:p w:rsidR="00786B3E" w:rsidRDefault="00786B3E" w:rsidP="00786B3E">
      <w:r>
        <w:t>Artículo 5 del FEDER</w:t>
      </w:r>
    </w:p>
    <w:p w:rsidR="00786B3E" w:rsidRDefault="00786B3E" w:rsidP="00786B3E">
      <w:r>
        <w:t>Artículos: Artículo 12 bis y artículo 4 del Reglamento del FSE +</w:t>
      </w:r>
    </w:p>
    <w:p w:rsidR="00786B3E" w:rsidRDefault="00786B3E" w:rsidP="00786B3E">
      <w:r>
        <w:rPr>
          <w:noProof/>
          <w:lang w:val="es-ES"/>
        </w:rPr>
        <w:drawing>
          <wp:inline distT="0" distB="0" distL="0" distR="0" wp14:anchorId="1916E35F" wp14:editId="1E1D63EB">
            <wp:extent cx="152435" cy="152435"/>
            <wp:effectExtent l="0" t="0" r="0" b="0"/>
            <wp:docPr id="101475" name="Imagen 1014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¿Cuál es la fecha de inicio de la subvencionabilidad de los gastos relacionados con STEP? ¿Cómo se relaciona con la introducción de los nuevos códigos para los tipos de intervención del anexo I del RDC (códigos de intervención)?</w:t>
      </w:r>
    </w:p>
    <w:p w:rsidR="00786B3E" w:rsidRDefault="00786B3E" w:rsidP="00786B3E">
      <w:r>
        <w:t>¿Es necesario asignar a los nuevos códigos de intervención prioritarios de STEP introducidos por el Reglamento STEP? ¿Es necesario modificar el programa al introducir nuevos códigos de intervención?</w:t>
      </w:r>
    </w:p>
    <w:p w:rsidR="00786B3E" w:rsidRDefault="00786B3E" w:rsidP="00786B3E">
      <w:pPr>
        <w:pStyle w:val="P68B1DB1-Normal1"/>
      </w:pPr>
      <w:r>
        <w:t>Respuesta a la pregunta 1</w:t>
      </w:r>
    </w:p>
    <w:p w:rsidR="00786B3E" w:rsidRDefault="00786B3E" w:rsidP="00786B3E">
      <w:r>
        <w:t xml:space="preserve">De conformidad con el artículo 63, apartado 7, párrafo primero, del RDC, los gastos relacionados con la operación que entran en el ámbito de aplicación de STEP que no eran subvencionables en el marco del programa o del RDC y de los Reglamentos específicos de cada Fondo antes de la entrada en vigor del Reglamento STEP pasarán a </w:t>
      </w:r>
      <w:r>
        <w:lastRenderedPageBreak/>
        <w:t>ser subvencionables a partir de la fecha de presentación a la Comisión de una solicitud de modificación del programa.</w:t>
      </w:r>
    </w:p>
    <w:p w:rsidR="00786B3E" w:rsidRDefault="00786B3E" w:rsidP="00786B3E">
      <w:r>
        <w:t>Las operaciones en consonancia con los objetivos de STEP serían subvencionables en el marco de un programa siempre que estén cubiertas por la descripción de acciones en el marco de cualquiera de las prioridades del programa (por ejemplo, cuando la descripción de las acciones en el marco de un programa se refiera a la innovación o al apoyo a nuevas tecnologías) y contribuyan a los objetivos específicos correspondientes en virtud de los cuales deben recibir apoyo.</w:t>
      </w:r>
    </w:p>
    <w:p w:rsidR="00786B3E" w:rsidRDefault="00786B3E" w:rsidP="00786B3E">
      <w:r>
        <w:rPr>
          <w:b/>
        </w:rPr>
        <w:t>En el caso del FEDER y el Fondo de Cohesión</w:t>
      </w:r>
      <w:r>
        <w:t>, la norma de subvencionabilidad recientemente introducida en el artículo 5, apartado 2, letra e), del Reglamento del FEDER/FC se refiere a inversiones productivas en empresas distintas de las pymes ejecutadas en el marco de los objetivos específicos de STEP. Los gastos relacionados con dichas inversiones que contribuyan a los objetivos específicos de STEP solo podrán ser subvencionables a partir de la fecha de presentación de una solicitud de modificación del programa, incluida en el programa una o varias prioridades específicas de STEP.</w:t>
      </w:r>
    </w:p>
    <w:p w:rsidR="00786B3E" w:rsidRDefault="00786B3E" w:rsidP="00786B3E">
      <w:r>
        <w:rPr>
          <w:b/>
        </w:rPr>
        <w:t>En el caso del FTJ</w:t>
      </w:r>
      <w:r>
        <w:t>, las normas recientemente introducidas que deben tenerse en cuenta se refieren a:</w:t>
      </w:r>
    </w:p>
    <w:p w:rsidR="00786B3E" w:rsidRDefault="00786B3E" w:rsidP="00786B3E">
      <w:pPr>
        <w:numPr>
          <w:ilvl w:val="0"/>
          <w:numId w:val="302"/>
        </w:numPr>
      </w:pPr>
      <w:r>
        <w:t>El objetivo específico del FTJ se modificó para aclarar que el FTJ también puede contribuir a los objetivos de STEP dentro de su ámbito de aplicación de la ayuda.</w:t>
      </w:r>
    </w:p>
    <w:p w:rsidR="00786B3E" w:rsidRDefault="00786B3E" w:rsidP="00786B3E">
      <w:pPr>
        <w:numPr>
          <w:ilvl w:val="0"/>
          <w:numId w:val="302"/>
        </w:numPr>
      </w:pPr>
      <w:r>
        <w:t>Eliminar el requisito de llevar a cabo un análisis de deficiencias para las inversiones productivas relacionadas con STEP en empresas distintas de las pymes.</w:t>
      </w:r>
    </w:p>
    <w:p w:rsidR="00786B3E" w:rsidRDefault="00786B3E" w:rsidP="00786B3E">
      <w:pPr>
        <w:numPr>
          <w:ilvl w:val="0"/>
          <w:numId w:val="302"/>
        </w:numPr>
      </w:pPr>
      <w:r>
        <w:t xml:space="preserve">Eliminación, en virtud del Reglamento del FTJ, de las restricciones geográficas relacionadas con las zonas designadas como asistidas a efectos del artículo 107, apartado 3, letras a) y c), del TFUE para inversiones productivas que contribuyan a los objetivos de STEP (véase la evaluación cualitativa sobre los aspectos de las ayudas estatales relativos a la aplicación de las normas sobre ayudas estatales de finalidad regional: </w:t>
      </w:r>
      <w:hyperlink w:anchor="scroll-bookmark-851" w:history="1">
        <w:r>
          <w:rPr>
            <w:rStyle w:val="Hipervnculo"/>
          </w:rPr>
          <w:t>QA00310 — Preguntas relacionadas con aspectos relacionados con las ayudas estatales</w:t>
        </w:r>
      </w:hyperlink>
      <w:r>
        <w:t>)</w:t>
      </w:r>
    </w:p>
    <w:p w:rsidR="00786B3E" w:rsidRDefault="00786B3E" w:rsidP="00786B3E">
      <w:pPr>
        <w:numPr>
          <w:ilvl w:val="0"/>
          <w:numId w:val="302"/>
        </w:numPr>
      </w:pPr>
      <w:r>
        <w:t>Los gastos relacionados con las restricciones geográficas eliminadas relativas a las zonas a) y c) con arreglo a las normas sobre ayudas estatales (las restricciones se suprimen para las inversiones productivas que persiguen los objetivos de STEP) solo pueden ser subvencionables a partir de la fecha de presentación de la modificación del programa.</w:t>
      </w:r>
    </w:p>
    <w:p w:rsidR="00786B3E" w:rsidRDefault="00786B3E" w:rsidP="00786B3E"/>
    <w:p w:rsidR="00786B3E" w:rsidRDefault="00786B3E" w:rsidP="00786B3E">
      <w:r>
        <w:t xml:space="preserve">La introducción de nuevas categorías de intervención (188-193) en los programas del </w:t>
      </w:r>
      <w:r>
        <w:rPr>
          <w:b/>
        </w:rPr>
        <w:t>FEDER, el FC o el FTJ</w:t>
      </w:r>
      <w:r>
        <w:t xml:space="preserve"> que incluyan en la descripción de las acciones en el marco de las prioridades pertinentes que estén en consonancia con STEP no estaría vinculada a una nueva fecha de inicio de la subvencionabilidad, siempre que estas acciones ya entren en el ámbito de aplicación de otras categorías de intervención establecidas en el programa. En tal caso, los cambios pueden introducirse en la próxima modificación del programa.</w:t>
      </w:r>
    </w:p>
    <w:p w:rsidR="00786B3E" w:rsidRDefault="00786B3E" w:rsidP="00786B3E"/>
    <w:p w:rsidR="00786B3E" w:rsidRDefault="00786B3E" w:rsidP="00786B3E">
      <w:r>
        <w:rPr>
          <w:b/>
        </w:rPr>
        <w:lastRenderedPageBreak/>
        <w:t>En relación con el FSE +</w:t>
      </w:r>
      <w:r>
        <w:t>, es importante señalar que el artículo 63, apartado 7, párrafo segundo, del RDC no se aplica a las operaciones financiadas por el FSE +, es decir, en el caso de este Fondo, la introducción de un nuevo campo de intervención no afecta a la subvencionabilidad del gasto. La subvencionabilidad de los gastos viene determinada más bien por el hecho de que las operaciones subvencionadas contribuyen a los objetivos y tipos de acciones específicos establecidos en el programa y están cubiertos por ellos. A este respecto, de conformidad con el artículo 12 bis del Reglamento del FSE + [introducido por el Reglamento (UE) 2024/795 (Reglamento STEP)], los Estados miembros pueden utilizar el FSE + para operaciones que contribuyan al objetivo de STEP establecido en el artículo 2, apartado 1, letra b), del Reglamento STEP en el marco de los objetivos específicos pertinentes del FSE + establecidos en el artículo 4, apartado 1, del Reglamento del FSE +. Esto significa que las operaciones que contribuyen a los objetivos de STEP ya eran subvencionables en el marco del FSE + antes de la entrada en vigor del Reglamento STEP (</w:t>
      </w:r>
      <w:r w:rsidR="002F3719">
        <w:t xml:space="preserve">ya que, </w:t>
      </w:r>
      <w:r>
        <w:t>podrían contribuir a muchos de los objetivos específicos del FSE +).</w:t>
      </w:r>
    </w:p>
    <w:p w:rsidR="00786B3E" w:rsidRDefault="00786B3E" w:rsidP="00786B3E">
      <w:r>
        <w:t>Por lo tanto, siempre que las operaciones que contribuyan a los objetivos de STEP también contribuyan a los objetivos específicos del FSE + establecidos en el programa y que la operación también encaje en los tipos de acciones relacionados que ya estén incluidos en el programa, los tipos de gasto introducidos en el artículo 2 del Reglamento STEP podrían ser subvencionables con arreglo a las normas del FSE + entre la fecha de presentación del programa a la Comisión o el 1 de enero de 2021, si esta fecha fuera anterior, a partir del 1 de enero de 2 021, de conformidad con el artículo 63, apartado 2, del RDC.</w:t>
      </w:r>
    </w:p>
    <w:p w:rsidR="00786B3E" w:rsidRDefault="00786B3E" w:rsidP="00786B3E">
      <w:r>
        <w:t>No obstante, dado que el Reglamento STEP introdujo dos nuevos ámbitos de intervención dedicados a STEP (145 bis y 145 ter), se anima encarecidamente a los Estados miembros a que los utilicen para rastrear el apoyo que contribuye a los objetivos de STEP. Para ello, será necesaria una modificación del programa para introducirlos en el cuadro 4 del programa.  Sin embargo, dado que los ámbitos de intervención, de conformidad con el artículo 63, apartado 7, del RDC y como se ha explicado anteriormente, no afectan a la subvencionabilidad en el contexto del FSE +, pueden introducirse en la próxima modificación del programa.</w:t>
      </w:r>
    </w:p>
    <w:p w:rsidR="00786B3E" w:rsidRDefault="00786B3E" w:rsidP="00786B3E"/>
    <w:p w:rsidR="00786B3E" w:rsidRDefault="00786B3E" w:rsidP="00786B3E">
      <w:pPr>
        <w:pStyle w:val="P68B1DB1-Normal1"/>
      </w:pPr>
      <w:r>
        <w:t>Pregunta 2</w:t>
      </w:r>
    </w:p>
    <w:p w:rsidR="00786B3E" w:rsidRDefault="00786B3E" w:rsidP="00786B3E">
      <w:r>
        <w:t>¿Pueden añadirse los nuevos ámbitos de intervención a las prioridades existentes no STEP (sin crear una nueva prioridad STEP)?</w:t>
      </w:r>
    </w:p>
    <w:p w:rsidR="00786B3E" w:rsidRDefault="00786B3E" w:rsidP="00786B3E">
      <w:pPr>
        <w:pStyle w:val="P68B1DB1-Normal1"/>
      </w:pPr>
      <w:r>
        <w:t>Respuesta a la pregunta 2</w:t>
      </w:r>
    </w:p>
    <w:p w:rsidR="00786B3E" w:rsidRDefault="00786B3E" w:rsidP="00786B3E">
      <w:r>
        <w:t>Podrán introducirse nuevos ámbitos de intervención relacionados con STEP en las prioridades no STEP existentes sin crear una prioridad STEP específica. Sin embargo, en este último caso, el programa no podrá optar a la prefinanciación excepcional en el marco del FEDER, el FC y el FSE + ni al porcentaje de cofinanciación del 100 % en el marco del FEDER, el FC, el FTJ y el FSE +, cuando las disposiciones se refieran claramente a «prioridades específicas».</w:t>
      </w:r>
    </w:p>
    <w:p w:rsidR="00786B3E" w:rsidRDefault="00786B3E" w:rsidP="00786B3E">
      <w:r>
        <w:t>Se animaría encarecidamente a introducir categorías de intervención relacionadas con STEP para poder hacer un seguimiento de estas inversiones.</w:t>
      </w:r>
    </w:p>
    <w:p w:rsidR="00786B3E" w:rsidRDefault="00786B3E" w:rsidP="00786B3E"/>
    <w:p w:rsidR="00786B3E" w:rsidRDefault="00786B3E" w:rsidP="00786B3E">
      <w:pPr>
        <w:pStyle w:val="P68B1DB1-Normal1"/>
      </w:pPr>
      <w:r>
        <w:t>Pregunta 3</w:t>
      </w:r>
    </w:p>
    <w:p w:rsidR="00786B3E" w:rsidRDefault="00786B3E" w:rsidP="00786B3E">
      <w:r>
        <w:t>¿Pueden optar a STEP proyectos finalizados/en curso/seleccionados para cofinanciación si entran en el ámbito de la ayuda en el marco de STEP?</w:t>
      </w:r>
    </w:p>
    <w:p w:rsidR="00786B3E" w:rsidRDefault="00786B3E" w:rsidP="00786B3E">
      <w:pPr>
        <w:pStyle w:val="P68B1DB1-Normal1"/>
      </w:pPr>
      <w:r>
        <w:t>Respuesta a la pregunta 3</w:t>
      </w:r>
    </w:p>
    <w:p w:rsidR="00786B3E" w:rsidRDefault="00786B3E" w:rsidP="00786B3E">
      <w:r>
        <w:t>De conformidad con el artículo 63, apartado 6, del RDC, las operaciones que se hayan completado físicamente o se hayan ejecutado íntegramente antes de la presentación de la solicitud de financiación en el marco del programa no deben seleccionarse para recibir ayuda de los Fondos, independientemente de que se hayan efectuado todos los pagos correspondientes. El Reglamento STEP no ha modificado esta norma.</w:t>
      </w:r>
    </w:p>
    <w:p w:rsidR="00786B3E" w:rsidRDefault="00786B3E" w:rsidP="00786B3E">
      <w:r>
        <w:t>En cuanto a las operaciones en curso (financiadas con recursos nacionales o por Fondos), pueden ser subvencionables si entran en el ámbito de la ayuda en el marco de STEP.</w:t>
      </w:r>
    </w:p>
    <w:p w:rsidR="00786B3E" w:rsidRDefault="00786B3E" w:rsidP="00786B3E"/>
    <w:p w:rsidR="00786B3E" w:rsidRDefault="00786B3E" w:rsidP="00786B3E">
      <w:pPr>
        <w:pStyle w:val="P68B1DB1-Normal1"/>
      </w:pPr>
      <w:r>
        <w:t>Pregunta 4</w:t>
      </w:r>
    </w:p>
    <w:p w:rsidR="00786B3E" w:rsidRDefault="00786B3E" w:rsidP="00786B3E">
      <w:r>
        <w:t>Teniendo en cuenta que ya se han establecido procedimientos para la concesión de diferentes fondos de la UE en régimen de gestión compartida (criterios de selección de operaciones y convocatorias de propuestas) y que cualquier modificación de un programa que considere dicha operación podría retrasar aún más la ejecución de dichas convocatorias, ¿es posible continuar un procedimiento de selección, conceder un contrato y modificar posteriormente el programa con vistas a establecer prioridades STEP dentro de un programa sobre el que podrían aplicarse retroactivamente normas de prefinanciación del 30 % y cofinanciación del 100 %?</w:t>
      </w:r>
    </w:p>
    <w:p w:rsidR="00786B3E" w:rsidRDefault="00786B3E" w:rsidP="00786B3E">
      <w:pPr>
        <w:pStyle w:val="P68B1DB1-Normal1"/>
      </w:pPr>
      <w:r>
        <w:t>Respuesta a la pregunta 4</w:t>
      </w:r>
    </w:p>
    <w:p w:rsidR="00786B3E" w:rsidRDefault="00786B3E" w:rsidP="00786B3E">
      <w:r>
        <w:t>La autoridad de gestión (AG) podrá empezar a seleccionar operaciones relacionadas con STEP en el marco de las prioridades/programas existentes, siempre que su contenido cubra inversiones en consonancia con los objetivos de STEP, teniendo en cuenta al mismo tiempo las explicaciones anteriores sobre la fecha de inicio de la subvencionabilidad.</w:t>
      </w:r>
    </w:p>
    <w:p w:rsidR="00786B3E" w:rsidRDefault="00786B3E" w:rsidP="00786B3E">
      <w:r>
        <w:t>Los recursos dedicados a la prioridad específica STEP, ya establecida, podrían cubrir convocatorias de propuestas en curso (puestas en marcha antes de la modificación del programa) en riesgo de la autoridad de gestión. Sin embargo, las inversiones seleccionadas en el marco de dichas convocatorias deben estar en consonancia con los objetivos de esta prioridad, tal como se acordó en última instancia con la Comisión en la modificación posterior del programa, y cumplir todos los requisitos establecidos en el artículo 73, apartado 2, del RDC, la legislación aplicable y las normas de subvencionabilidad introducidas por el Reglamento STEP. Además, corresponde a la autoridad de gestión asegurarse de que cualquier cambio en el procedimiento de selección garantice la transparencia, la no discriminación y la igualdad de trato de los beneficiarios.</w:t>
      </w:r>
    </w:p>
    <w:p w:rsidR="00786B3E" w:rsidRDefault="00786B3E" w:rsidP="00786B3E">
      <w:r>
        <w:t xml:space="preserve">En el caso del FEDER, el FC y el FSE +, tanto la prefinanciación como el porcentaje de cofinanciación incrementado pueden aplicarse a partir de la notificación de la decisión sobre la modificación del programa (nota: la prefinanciación excepcional para el FTJ no </w:t>
      </w:r>
      <w:r>
        <w:lastRenderedPageBreak/>
        <w:t>estaba relacionada con modificaciones del programa y ya se había abonado; el porcentaje de cofinanciación incrementado podrá aplicarse a partir de la notificación de la decisión sobre la modificación del programa).</w:t>
      </w:r>
    </w:p>
    <w:p w:rsidR="00786B3E" w:rsidRDefault="00786B3E" w:rsidP="00786B3E"/>
    <w:p w:rsidR="00786B3E" w:rsidRDefault="00786B3E" w:rsidP="00786B3E">
      <w:pPr>
        <w:pStyle w:val="P68B1DB1-Normal1"/>
      </w:pPr>
      <w:r>
        <w:t>Pregunta 5</w:t>
      </w:r>
    </w:p>
    <w:p w:rsidR="00786B3E" w:rsidRDefault="00786B3E" w:rsidP="00786B3E">
      <w:r>
        <w:t>La prioridad existente del FTJ en el marco de nuestro programa incluye únicamente inversiones productivas en grandes empresas que estén en consonancia con el ámbito de aplicación permitido de la ayuda en virtud del artículo 2 del Reglamento STEP. Estas inversiones se incluyen actualmente en el código de intervención 22, tal como recomienda la Comisión para las inversiones productivas en grandes empresas en el marco del FTJ. La prioridad no incluye otros tipos de actividades.</w:t>
      </w:r>
    </w:p>
    <w:p w:rsidR="00786B3E" w:rsidRDefault="00786B3E" w:rsidP="00786B3E">
      <w:r>
        <w:t>¿Puede esta prioridad actual del FTJ convertirse en una prioridad específica STEP o bien deben establecerse recientemente prioridades específicas de STEP en el marco del programa?</w:t>
      </w:r>
    </w:p>
    <w:p w:rsidR="00786B3E" w:rsidRDefault="00786B3E" w:rsidP="00786B3E">
      <w:r>
        <w:t>Mediante una modificación del programa, añadiríamos a la prioridad existente un nuevo código de intervención STEP para las inversiones productivas en grandes empresas vinculadas principalmente a tecnologías limpias y eficientes en el uso de los recursos (código 188). Por lo tanto, la subvencionabilidad de las inversiones continuará en el marco del nuevo código. Si se aprueba la modificación, ¿podría esta prioridad beneficiarse de una cofinanciación del 100 % de conformidad con el artículo 11 del Reglamento STEP [10 (4) FTJ]?</w:t>
      </w:r>
    </w:p>
    <w:p w:rsidR="00786B3E" w:rsidRDefault="00786B3E" w:rsidP="00786B3E">
      <w:pPr>
        <w:pStyle w:val="P68B1DB1-Normal1"/>
      </w:pPr>
      <w:r>
        <w:t>Respuesta a la pregunta 5</w:t>
      </w:r>
    </w:p>
    <w:p w:rsidR="00786B3E" w:rsidRDefault="00786B3E" w:rsidP="00786B3E">
      <w:r>
        <w:t>Sí, la prioridad existente del FTJ puede convertirse en prioridad específica de STEP siempre que la prioridad existente incluya exclusivamente los tipos de actividades y los tipos de intervención conexos que entran en el ámbito de las inversiones que contribuyen a los objetivos de STEP a que se refiere el artículo 2 del Reglamento STEP.</w:t>
      </w:r>
    </w:p>
    <w:p w:rsidR="00786B3E" w:rsidRDefault="00786B3E" w:rsidP="00786B3E">
      <w:r>
        <w:t xml:space="preserve">En caso de que esté claro que los tipos de acciones existentes abarcaban las actividades de STEP, la introducción de los nuevos tipos de intervención (introducidos por el Reglamento STEP) en la práctica no da lugar a una nueva subvencionabilidad de los gastos. De conformidad con el artículo 63, apartado 7, del RDC, la modificación relativa a la introducción de los nuevos códigos de intervención, en particular los de 188 a 193, </w:t>
      </w:r>
      <w:r>
        <w:rPr>
          <w:i/>
        </w:rPr>
        <w:t>daría lugar</w:t>
      </w:r>
      <w:r>
        <w:t xml:space="preserve"> de iure a una nueva </w:t>
      </w:r>
      <w:r>
        <w:rPr>
          <w:i/>
        </w:rPr>
        <w:t>subvencionabilidad,</w:t>
      </w:r>
      <w:r>
        <w:t xml:space="preserve"> de facto la modificación no tendrá un impacto en la subvencionabilidad, </w:t>
      </w:r>
      <w:r w:rsidR="002F3719">
        <w:t xml:space="preserve">ya que, </w:t>
      </w:r>
      <w:r>
        <w:t>estas actividades ya eran subvencionables en el marco del programa sobre la base de los tipos de intervención anteriores y la subvencionabilidad de los gastos continuará con los nuevos códigos.</w:t>
      </w:r>
    </w:p>
    <w:p w:rsidR="00786B3E" w:rsidRDefault="00786B3E" w:rsidP="00786B3E">
      <w:r>
        <w:t>A efectos puramente de seguimiento, se recomienda utilizar los nuevos códigos de intervención para las inversiones relacionadas con las STEPT en la prioridad, es decir, los puntos 145 bis, 145 ter y 188 a 193 del anexo I del RDC, y las asignaciones correspondientes en el marco de esta prioridad deben trasladarse a ellos. Requeriría una modificación del programa.</w:t>
      </w:r>
    </w:p>
    <w:p w:rsidR="00786B3E" w:rsidRDefault="00786B3E" w:rsidP="00786B3E">
      <w:r>
        <w:t>Por consiguiente, esta prioridad se considerará una prioridad específica de STEP y podrá beneficiarse de una cofinanciación de hasta el 100 %, de conformidad con el artículo 10, apartado 4, del FTJ. </w:t>
      </w:r>
    </w:p>
    <w:p w:rsidR="00786B3E" w:rsidRDefault="00786B3E" w:rsidP="00786B3E">
      <w:r>
        <w:lastRenderedPageBreak/>
        <w:t>La excepción a la revisión intermedia en las condiciones establecidas en el artículo 24, apartado 9, del RDC también es posible si la solicitud de modificación del programa se presenta a más tardar el 31 de agosto de 2024.  </w:t>
      </w:r>
    </w:p>
    <w:p w:rsidR="00786B3E" w:rsidRDefault="00786B3E" w:rsidP="00786B3E"/>
    <w:p w:rsidR="00786B3E" w:rsidRDefault="00786B3E" w:rsidP="00786B3E"/>
    <w:p w:rsidR="00786B3E" w:rsidRDefault="00786B3E" w:rsidP="00786B3E">
      <w:pPr>
        <w:pStyle w:val="Ttulo1"/>
      </w:pPr>
      <w:bookmarkStart w:id="737" w:name="scroll-bookmark-852"/>
      <w:bookmarkStart w:id="738" w:name="scroll-bookmark-853"/>
      <w:bookmarkEnd w:id="737"/>
      <w:r>
        <w:t>QA00306 — Preguntas relacionadas con la revisión intermedia</w:t>
      </w:r>
      <w:bookmarkEnd w:id="738"/>
    </w:p>
    <w:p w:rsidR="00786B3E" w:rsidRDefault="00786B3E" w:rsidP="00786B3E">
      <w:r>
        <w:rPr>
          <w:noProof/>
          <w:lang w:val="es-ES"/>
        </w:rPr>
        <w:drawing>
          <wp:inline distT="0" distB="0" distL="0" distR="0" wp14:anchorId="688EEEE2" wp14:editId="4E6F3D00">
            <wp:extent cx="152435" cy="152435"/>
            <wp:effectExtent l="0" t="0" r="0" b="0"/>
            <wp:docPr id="101477" name="Imagen 1014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786B3E" w:rsidRDefault="00786B3E" w:rsidP="00786B3E">
      <w:r>
        <w:t>Artículos 18 y 24 del RDC</w:t>
      </w:r>
    </w:p>
    <w:p w:rsidR="00786B3E" w:rsidRDefault="00786B3E" w:rsidP="00786B3E">
      <w:r>
        <w:rPr>
          <w:noProof/>
          <w:lang w:val="es-ES"/>
        </w:rPr>
        <w:drawing>
          <wp:inline distT="0" distB="0" distL="0" distR="0" wp14:anchorId="1C840E3B" wp14:editId="1122B01F">
            <wp:extent cx="152435" cy="152435"/>
            <wp:effectExtent l="0" t="0" r="0" b="0"/>
            <wp:docPr id="101479" name="Imagen 1014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La regulación de las etapas introdujo un incentivo (en determinadas condiciones) que permitía excluir una prioridad o un programa de la revisión intermedia. Las condiciones están relacionadas con el calendario de presentación de una modificación del programa que introduce la prioridad o prioridades específicas de STEP (a finales de agosto de 2024) y la asignación de la totalidad del importe de flexibilidad a las prioridades específicas.</w:t>
      </w:r>
    </w:p>
    <w:p w:rsidR="00786B3E" w:rsidRDefault="00786B3E" w:rsidP="00786B3E">
      <w:r>
        <w:t>¿Puede explicar cómo se aplicarán estas condiciones? ¿Puede excluirse la prioridad o el programa de la revisión intermedia si se presenta una solicitud de modificación después del 31 de agosto de 2024? En caso negativo, ¿sería necesario fijar un importe de flexibilidad para las prioridades específicas de STEP, que se sometería a la revisión intermedia?</w:t>
      </w:r>
    </w:p>
    <w:p w:rsidR="00786B3E" w:rsidRDefault="00786B3E" w:rsidP="00786B3E">
      <w:pPr>
        <w:pStyle w:val="P68B1DB1-Normal1"/>
      </w:pPr>
      <w:r>
        <w:t>Respuesta a la pregunta 1</w:t>
      </w:r>
    </w:p>
    <w:p w:rsidR="00786B3E" w:rsidRDefault="00786B3E" w:rsidP="00786B3E">
      <w:r>
        <w:t>De conformidad con el artículo 13, apartado 5, del Reglamento STEP, se concederá una excepción a la revisión intermedia a las prioridades dedicadas a STEP, siempre que se introduzcan mediante una modificación del programa presentada por los Estados miembros a más tardar el 31 de agosto de 2024 y que sea posteriormente aprobada por la Comisión.</w:t>
      </w:r>
    </w:p>
    <w:p w:rsidR="00786B3E" w:rsidRDefault="00786B3E" w:rsidP="00786B3E">
      <w:r>
        <w:t>Además, cuando el importe total de flexibilidad para un programa (para todos los fondos en el marco de un programa) se asigne a prioridades específicas de STEP (para una modificación del programa presentada dentro de este plazo), no será necesario llevar a cabo la revisión intermedia de este programa.</w:t>
      </w:r>
    </w:p>
    <w:p w:rsidR="00786B3E" w:rsidRDefault="00786B3E" w:rsidP="00786B3E">
      <w:r>
        <w:t xml:space="preserve">El importe de flexibilidad no puede asignarse a prioridades específicas de STEP en las modificaciones de los programas presentadas después del 31 de agosto de 2024, a menos que se base en el resultado de la revisión intermedia y se presente como una modificación vinculada a la revisión intermedia en virtud del artículo 18 del RDC. Cualquier modificación de este tipo, que asigne una parte o el importe total de flexibilidad a las nuevas prioridades STEP, debe hacerse en el contexto de la revisión </w:t>
      </w:r>
      <w:r w:rsidR="00F70C5D">
        <w:lastRenderedPageBreak/>
        <w:t>intermedia. Véase también</w:t>
      </w:r>
      <w:hyperlink w:anchor="scroll-bookmark-12" w:history="1">
        <w:r>
          <w:rPr>
            <w:rStyle w:val="Hipervnculo"/>
          </w:rPr>
          <w:t xml:space="preserve"> </w:t>
        </w:r>
        <w:r w:rsidR="00F70C5D">
          <w:rPr>
            <w:rStyle w:val="Hipervnculo"/>
          </w:rPr>
          <w:t>la QA</w:t>
        </w:r>
        <w:r>
          <w:rPr>
            <w:rStyle w:val="Hipervnculo"/>
          </w:rPr>
          <w:t>00274 sobre la reasignación del importe de flexibilidad confirmado tras la revisión intermedia</w:t>
        </w:r>
      </w:hyperlink>
      <w:r>
        <w:t>.</w:t>
      </w:r>
    </w:p>
    <w:p w:rsidR="00786B3E" w:rsidRDefault="00786B3E" w:rsidP="00786B3E"/>
    <w:p w:rsidR="00786B3E" w:rsidRDefault="00786B3E" w:rsidP="00786B3E">
      <w:pPr>
        <w:pStyle w:val="P68B1DB1-Normal1"/>
      </w:pPr>
      <w:r>
        <w:t>Pregunta 2</w:t>
      </w:r>
    </w:p>
    <w:p w:rsidR="00786B3E" w:rsidRDefault="00786B3E" w:rsidP="00786B3E">
      <w:r>
        <w:t>¿Requiere la reprogramación de STEP el importe correspondiente del importe de flexibilidad que se asigne a las nuevas prioridades de STEP? ¿Cómo entender el límite máximo de los recursos que pueden destinarse a STEP (20 % de la asignación total del FEDER) en el contexto del importe total de flexibilidad, que es inferior? ¿Puede explicar los aspectos prácticos de la asignación de una parte o el importe total de flexibilidad y los cambios en el cuadro 11 del anexo V del RDC (una plantilla de programa)?</w:t>
      </w:r>
    </w:p>
    <w:p w:rsidR="00786B3E" w:rsidRDefault="00786B3E" w:rsidP="00786B3E">
      <w:pPr>
        <w:pStyle w:val="P68B1DB1-Normal1"/>
      </w:pPr>
      <w:r>
        <w:t>Respuesta a la pregunta 2</w:t>
      </w:r>
    </w:p>
    <w:p w:rsidR="00786B3E" w:rsidRDefault="00786B3E" w:rsidP="00786B3E">
      <w:r>
        <w:t>La reprogramación por etapas puede vincularse, de conformidad con el artículo 24, apartado 9, del RDC, a una asignación definitiva de la totalidad o parte del importe de flexibilidad, pero no se trata de una obligación. Los recursos para STEP, limitados en el caso del FEDER y del Fondo de Cohesión al 20 % de los recursos iniciales del FEDER para un Estado miembro determinado, también podrán estar relacionados con reasignaciones de importes no flexibles entre prioridades.</w:t>
      </w:r>
    </w:p>
    <w:p w:rsidR="00786B3E" w:rsidRDefault="00786B3E" w:rsidP="00786B3E">
      <w:r>
        <w:t>Cuando las reasignaciones financieras a las prioridades de STEP (por ejemplo, mediante una asignación definitiva de la totalidad o parte del importe de flexibilidad o transferencias entre prioridades de la asignación sin el importe de flexibilidad) se realicen como parte de una solicitud de modificación del programa, los cuadros financieros pertinentes deben modificarse en consecuencia.</w:t>
      </w:r>
    </w:p>
    <w:p w:rsidR="00786B3E" w:rsidRDefault="00786B3E" w:rsidP="00786B3E">
      <w:r>
        <w:t>En el cuadro 11 del anexo V (plantilla de programa), el importe de flexibilidad de la prioridad STEP debe permanecer en la columna «Importe de flexibilidad» y no trasladarse a una columna relativa a «Contribución de la Unión menos el importe de flexibilidad».  Este enfoque permite hacer un seguimiento de los desplazamientos de los importes de flexibilidad (si se reasignan parcial o totalmente), transparencia sobre dónde se han asignado definitivamente los importes de flexibilidad y facilitar la gestión financiera de su liberación.</w:t>
      </w:r>
    </w:p>
    <w:p w:rsidR="00786B3E" w:rsidRDefault="00786B3E" w:rsidP="00786B3E"/>
    <w:p w:rsidR="00786B3E" w:rsidRDefault="00786B3E" w:rsidP="00786B3E">
      <w:r>
        <w:rPr>
          <w:noProof/>
          <w:lang w:val="es-ES"/>
        </w:rPr>
        <w:drawing>
          <wp:inline distT="0" distB="0" distL="0" distR="0" wp14:anchorId="7ACB620F" wp14:editId="677DE09E">
            <wp:extent cx="5395595" cy="2261558"/>
            <wp:effectExtent l="0" t="0" r="0" b="0"/>
            <wp:docPr id="101481" name="Imagen 10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1" name=""/>
                    <pic:cNvPicPr>
                      <a:picLocks noChangeAspect="1"/>
                    </pic:cNvPicPr>
                  </pic:nvPicPr>
                  <pic:blipFill>
                    <a:blip r:embed="rId547"/>
                    <a:stretch>
                      <a:fillRect/>
                    </a:stretch>
                  </pic:blipFill>
                  <pic:spPr>
                    <a:xfrm>
                      <a:off x="0" y="0"/>
                      <a:ext cx="5395595" cy="2261558"/>
                    </a:xfrm>
                    <a:prstGeom prst="rect">
                      <a:avLst/>
                    </a:prstGeom>
                  </pic:spPr>
                </pic:pic>
              </a:graphicData>
            </a:graphic>
          </wp:inline>
        </w:drawing>
      </w:r>
      <w:r>
        <w:t> </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739" w:name="scroll-bookmark-854"/>
      <w:bookmarkStart w:id="740" w:name="scroll-bookmark-855"/>
      <w:bookmarkEnd w:id="739"/>
      <w:r>
        <w:t>QA00307 — Preguntas relacionadas con la modificación del acuerdo de asociación</w:t>
      </w:r>
      <w:bookmarkEnd w:id="740"/>
    </w:p>
    <w:p w:rsidR="00786B3E" w:rsidRDefault="00786B3E" w:rsidP="00786B3E">
      <w:r>
        <w:rPr>
          <w:noProof/>
          <w:lang w:val="es-ES"/>
        </w:rPr>
        <w:drawing>
          <wp:inline distT="0" distB="0" distL="0" distR="0" wp14:anchorId="631F0150" wp14:editId="378233D4">
            <wp:extent cx="152435" cy="152435"/>
            <wp:effectExtent l="0" t="0" r="0" b="0"/>
            <wp:docPr id="101483" name="Imagen 1014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13 del RDC</w:t>
      </w:r>
    </w:p>
    <w:p w:rsidR="00786B3E" w:rsidRDefault="00786B3E" w:rsidP="00786B3E">
      <w:r>
        <w:rPr>
          <w:noProof/>
          <w:lang w:val="es-ES"/>
        </w:rPr>
        <w:drawing>
          <wp:inline distT="0" distB="0" distL="0" distR="0" wp14:anchorId="190B16B9" wp14:editId="59736E5A">
            <wp:extent cx="152435" cy="152435"/>
            <wp:effectExtent l="0" t="0" r="0" b="0"/>
            <wp:docPr id="101485" name="Imagen 1014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 xml:space="preserve">¿Cuál debería ser la secuencia de modificaciones de los respectivos programas y del acuerdo de asociación? ¿Podría ocurrir esto por separado? ¿Puede presentarse una modificación de un programa relacionado con </w:t>
      </w:r>
      <w:proofErr w:type="gramStart"/>
      <w:r>
        <w:t>STEP</w:t>
      </w:r>
      <w:proofErr w:type="gramEnd"/>
      <w:r>
        <w:t xml:space="preserve"> aunque aún no se haya presentado una modificación del acuerdo de asociación?</w:t>
      </w:r>
    </w:p>
    <w:p w:rsidR="00786B3E" w:rsidRDefault="00786B3E" w:rsidP="00786B3E">
      <w:r>
        <w:t>¿Cuál es el plazo para la modificación del OP? ¿Puede el acuerdo de asociación ser objeto de una única modificación a más tardar el 31 de marzo de 2025 (independientemente del calendario de modificación del programa relacionado con STEP)?</w:t>
      </w:r>
    </w:p>
    <w:p w:rsidR="00786B3E" w:rsidRDefault="00786B3E" w:rsidP="00786B3E">
      <w:pPr>
        <w:pStyle w:val="P68B1DB1-Normal1"/>
      </w:pPr>
      <w:r>
        <w:t>Respuesta a la pregunta 1</w:t>
      </w:r>
    </w:p>
    <w:p w:rsidR="00786B3E" w:rsidRDefault="00786B3E" w:rsidP="00786B3E">
      <w:r>
        <w:t>La modificación del acuerdo de asociación es opcional y no es una condición necesaria para adoptar las modificaciones de los programas relacionadas con las STEP. Depende del Estado miembro si considera necesario modificar el organismo pagador.</w:t>
      </w:r>
    </w:p>
    <w:p w:rsidR="00786B3E" w:rsidRDefault="00786B3E" w:rsidP="00786B3E">
      <w:r>
        <w:t>De conformidad con el artículo 13, apartado 5, del RDC, modificado por el Reglamento STEP, un Estado miembro podrá presentar a la Comisión un acuerdo de asociación modificado para tener en cuenta la introducción en los programas de prioridades que contribuyan a los objetivos de STEP a que se refiere el artículo 2 del Reglamento STEP.</w:t>
      </w:r>
    </w:p>
    <w:p w:rsidR="00786B3E" w:rsidRDefault="00786B3E" w:rsidP="00786B3E">
      <w:r>
        <w:t>La modificación de la AP relacionada con la STEP se entiende sin perjuicio de la posibilidad de modificarla a más tardar el 31 de marzo de 2025 para tener en cuenta el resultado de la revisión intermedia.</w:t>
      </w:r>
    </w:p>
    <w:p w:rsidR="00786B3E" w:rsidRDefault="00786B3E" w:rsidP="00786B3E">
      <w:r>
        <w:t>El Reglamento STEP no establece ningún plazo específico para la presentación de la modificación del acuerdo de asociación a que se refiere el artículo 13, apartado 5, del RDC. Por lo tanto, no es necesario presentarlo a más tardar el 31 de marzo de 2025.</w:t>
      </w:r>
    </w:p>
    <w:p w:rsidR="00786B3E" w:rsidRDefault="00786B3E" w:rsidP="00786B3E">
      <w:r>
        <w:t xml:space="preserve">Para permitir que la modificación de la AP haga balance de las modificaciones del programa relacionadas con la introducción de prioridades específicas de STEP y reducir la carga administrativa derivada de las modificaciones consecutivas relacionadas tanto con la STEP como con el resultado de la revisión intermedia, los Estados miembros podrían considerar la posibilidad de presentar el acuerdo de asociación una vez que las modificaciones pertinentes del programa sean aprobadas por la Comisión (o al menos </w:t>
      </w:r>
      <w:r>
        <w:lastRenderedPageBreak/>
        <w:t>previamente acordadas con ella) para garantizar la plena coherencia entre todos los documentos de programación. </w:t>
      </w:r>
    </w:p>
    <w:p w:rsidR="00786B3E" w:rsidRDefault="00786B3E" w:rsidP="00786B3E"/>
    <w:p w:rsidR="00786B3E" w:rsidRDefault="00786B3E" w:rsidP="00786B3E"/>
    <w:p w:rsidR="00786B3E" w:rsidRDefault="00786B3E" w:rsidP="00786B3E">
      <w:pPr>
        <w:pStyle w:val="Ttulo1"/>
      </w:pPr>
      <w:bookmarkStart w:id="741" w:name="scroll-bookmark-856"/>
      <w:bookmarkStart w:id="742" w:name="scroll-bookmark-857"/>
      <w:bookmarkEnd w:id="741"/>
      <w:r>
        <w:t>QA00308 — Preguntas relacionadas con la prefinanciación y el porcentaje de cofinanciación</w:t>
      </w:r>
      <w:bookmarkEnd w:id="742"/>
    </w:p>
    <w:p w:rsidR="00786B3E" w:rsidRDefault="00786B3E" w:rsidP="00786B3E">
      <w:r>
        <w:rPr>
          <w:noProof/>
          <w:lang w:val="es-ES"/>
        </w:rPr>
        <w:drawing>
          <wp:inline distT="0" distB="0" distL="0" distR="0" wp14:anchorId="3C5D66E9" wp14:editId="6641C7EB">
            <wp:extent cx="152435" cy="152435"/>
            <wp:effectExtent l="0" t="0" r="0" b="0"/>
            <wp:docPr id="101487" name="Imagen 1014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786B3E" w:rsidRDefault="00786B3E" w:rsidP="00786B3E">
      <w:r>
        <w:t>Artículos 90, 91, 92 y 105 del RDC</w:t>
      </w:r>
    </w:p>
    <w:p w:rsidR="00786B3E" w:rsidRDefault="00786B3E" w:rsidP="00786B3E">
      <w:r>
        <w:rPr>
          <w:noProof/>
          <w:lang w:val="es-ES"/>
        </w:rPr>
        <w:drawing>
          <wp:inline distT="0" distB="0" distL="0" distR="0" wp14:anchorId="049F62F5" wp14:editId="71A409A6">
            <wp:extent cx="152435" cy="152435"/>
            <wp:effectExtent l="0" t="0" r="0" b="0"/>
            <wp:docPr id="101489" name="Imagen 1014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¿Está vinculada la prefinanciación del 30 % a la creación de una prioridad específica STEP? ¿Puede un programa que contribuya a los objetivos de STEP beneficiarse de una prefinanciación automática del 30 % sin una prioridad STEP?</w:t>
      </w:r>
    </w:p>
    <w:p w:rsidR="00786B3E" w:rsidRDefault="00786B3E" w:rsidP="00786B3E">
      <w:pPr>
        <w:pStyle w:val="P68B1DB1-Normal1"/>
      </w:pPr>
      <w:r>
        <w:t>Respuesta a la pregunta 1</w:t>
      </w:r>
    </w:p>
    <w:p w:rsidR="00786B3E" w:rsidRDefault="00786B3E" w:rsidP="00786B3E">
      <w:r>
        <w:t>En el caso del FEDER, el Fondo de Cohesión y el FSE +, la prefinanciación única excepcional está vinculada a la creación de prioridades dedicadas a inversiones que contribuyan a los objetivos de STEP. El importe de la prefinanciación que debe abonarse está relacionado con la asignación programada en el marco de las prioridades específicas de STEP. Un programa que contribuya a los objetivos de STEP, en el que no existan prioridades específicas de STEP, no puede beneficiarse de la prefinanciación única excepcional.</w:t>
      </w:r>
    </w:p>
    <w:p w:rsidR="00786B3E" w:rsidRDefault="00786B3E" w:rsidP="00786B3E">
      <w:r>
        <w:t>En el caso del FTJ, la prefinanciación excepcional del 30 % fue automática en virtud del Reglamento STEP y se pagó en la primera mitad de marzo de 2024. La prefinanciación para el FTJ se calculó en relación con la totalidad de la asignación del FTJ en un programa. No se requirió ninguna acción por parte de las autoridades del programa ni ninguna modificación del mismo.</w:t>
      </w:r>
    </w:p>
    <w:p w:rsidR="00786B3E" w:rsidRDefault="00786B3E" w:rsidP="00786B3E"/>
    <w:p w:rsidR="00786B3E" w:rsidRDefault="00786B3E" w:rsidP="00786B3E">
      <w:pPr>
        <w:pStyle w:val="P68B1DB1-Normal1"/>
      </w:pPr>
      <w:r>
        <w:t>Pregunta 2:</w:t>
      </w:r>
    </w:p>
    <w:p w:rsidR="00786B3E" w:rsidRDefault="00786B3E" w:rsidP="00786B3E">
      <w:r>
        <w:t>¿Tiene la prefinanciación del 30 % un impacto en el cálculo del umbral de liberación automática de los compromisos? En caso afirmativo, ¿a partir de qué año y de qué manera?</w:t>
      </w:r>
    </w:p>
    <w:p w:rsidR="00786B3E" w:rsidRDefault="00786B3E" w:rsidP="00786B3E">
      <w:pPr>
        <w:pStyle w:val="P68B1DB1-Normal1"/>
      </w:pPr>
      <w:r>
        <w:t>Respuesta a la pregunta 2</w:t>
      </w:r>
    </w:p>
    <w:p w:rsidR="00786B3E" w:rsidRDefault="00786B3E" w:rsidP="00786B3E">
      <w:r>
        <w:t xml:space="preserve">Sí, para todos los fondos. De conformidad con el artículo 105 del RDC, cualquier importe de un programa que no se haya utilizado para la prefinanciación de conformidad con el artículo 90 del RDC, o para el que no se haya presentado una solicitud de pago de </w:t>
      </w:r>
      <w:r>
        <w:lastRenderedPageBreak/>
        <w:t>conformidad con los artículos 91 y 92 del RDC, será liberado en el plazo especificado en dicho artículo. El importe que debe liberarse se reducirá en la prefinanciación abonada.</w:t>
      </w:r>
    </w:p>
    <w:p w:rsidR="00786B3E" w:rsidRDefault="00786B3E" w:rsidP="00786B3E">
      <w:r>
        <w:t>La prefinanciación única del 30 % puede abonarse siempre que la modificación del programa relacionada con STEP se presente a la Comisión a más tardar el 31 de marzo de 2025 (ya sea en 2024 o en 2025). El primer año de aplicación de la norma N + 3 es 2025 (para compromisos para 2022). A partir de 2025, la prefinanciación única puede contribuir a la consecución del objetivo N + 3.</w:t>
      </w:r>
    </w:p>
    <w:p w:rsidR="00786B3E" w:rsidRDefault="00786B3E" w:rsidP="00786B3E"/>
    <w:p w:rsidR="00786B3E" w:rsidRDefault="00786B3E" w:rsidP="00786B3E">
      <w:pPr>
        <w:pStyle w:val="P68B1DB1-Normal1"/>
      </w:pPr>
      <w:r>
        <w:t>Pregunta 3</w:t>
      </w:r>
    </w:p>
    <w:p w:rsidR="00786B3E" w:rsidRDefault="00786B3E" w:rsidP="00786B3E">
      <w:r>
        <w:t>¿Podría confirmar que los Estados miembros podrían decidir si aplicar el porcentaje de cofinanciación incrementado a las prioridades específicas de STEP?</w:t>
      </w:r>
    </w:p>
    <w:p w:rsidR="00786B3E" w:rsidRDefault="00786B3E" w:rsidP="00786B3E">
      <w:pPr>
        <w:pStyle w:val="P68B1DB1-Normal1"/>
      </w:pPr>
      <w:r>
        <w:t>Respuesta a la pregunta 3</w:t>
      </w:r>
    </w:p>
    <w:p w:rsidR="00786B3E" w:rsidRDefault="00786B3E" w:rsidP="00786B3E">
      <w:r>
        <w:t>La adopción de STEP y los incentivos conexos es voluntaria. Los Estados miembros podrán decidir si hacen uso o no de las opciones previstas en el Reglamento. Puede aplicarse un porcentaje de cofinanciación más elevado hasta un máximo del 100 % a las prioridades específicas de STEP, pero no es una obligación.</w:t>
      </w:r>
    </w:p>
    <w:p w:rsidR="00786B3E" w:rsidRDefault="00786B3E" w:rsidP="00786B3E">
      <w:pPr>
        <w:pStyle w:val="P68B1DB1-Normal1"/>
      </w:pPr>
      <w:r>
        <w:t> </w:t>
      </w:r>
    </w:p>
    <w:p w:rsidR="00786B3E" w:rsidRDefault="00786B3E" w:rsidP="00786B3E">
      <w:pPr>
        <w:pStyle w:val="P68B1DB1-Normal1"/>
      </w:pPr>
      <w:r>
        <w:t>Pregunta 4</w:t>
      </w:r>
    </w:p>
    <w:p w:rsidR="00786B3E" w:rsidRDefault="00786B3E" w:rsidP="00786B3E">
      <w:r>
        <w:t>Si se introduce un porcentaje de cofinanciación de la UE del 100 % en las acciones STEP, ¿reducirá en consecuencia la necesidad de cofinanciación nacional en el fondo en cuestión o debería mantenerse sin cambios el volumen total de financiación?</w:t>
      </w:r>
    </w:p>
    <w:p w:rsidR="00786B3E" w:rsidRDefault="00786B3E" w:rsidP="00786B3E">
      <w:pPr>
        <w:pStyle w:val="P68B1DB1-Normal1"/>
      </w:pPr>
      <w:r>
        <w:t>Respuesta a la pregunta 4</w:t>
      </w:r>
    </w:p>
    <w:p w:rsidR="00786B3E" w:rsidRDefault="00786B3E" w:rsidP="00786B3E">
      <w:r>
        <w:t>Una prioridad específica STEP con un porcentaje de cofinanciación del 100 % no tiene que presentar ninguna contribución nacional en el plan financiero del programa. El volumen total del programa (contribución de la UE y nacional) puede disminuir como consecuencia de ello.</w:t>
      </w:r>
    </w:p>
    <w:p w:rsidR="00786B3E" w:rsidRDefault="00786B3E" w:rsidP="00786B3E">
      <w:r>
        <w:t>La necesidad real de contribución nacional (pública o privada) a nivel de una operación depende, entre otras cosas, de las normas aplicables en materia de ayudas estatales o de las decisiones nacionales relacionadas con la contribución propia requerida de los beneficiarios.</w:t>
      </w:r>
    </w:p>
    <w:p w:rsidR="00786B3E" w:rsidRDefault="00786B3E" w:rsidP="00786B3E"/>
    <w:p w:rsidR="00786B3E" w:rsidRDefault="00786B3E" w:rsidP="00786B3E">
      <w:pPr>
        <w:pStyle w:val="P68B1DB1-Normal1"/>
      </w:pPr>
      <w:r>
        <w:t>Pregunta 5</w:t>
      </w:r>
    </w:p>
    <w:p w:rsidR="00786B3E" w:rsidRDefault="00786B3E" w:rsidP="00786B3E">
      <w:r>
        <w:t>¿Cómo y cuándo se aplicará el aumento del porcentaje de cofinanciación y la prefinanciación puntual?</w:t>
      </w:r>
    </w:p>
    <w:p w:rsidR="00786B3E" w:rsidRDefault="00786B3E" w:rsidP="00786B3E">
      <w:pPr>
        <w:pStyle w:val="P68B1DB1-Normal1"/>
      </w:pPr>
      <w:r>
        <w:t>Respuesta a la pregunta 5</w:t>
      </w:r>
    </w:p>
    <w:p w:rsidR="00786B3E" w:rsidRDefault="00786B3E" w:rsidP="00786B3E">
      <w:r>
        <w:t xml:space="preserve">Los programas financiados por el FEDER, el Fondo de Cohesión y el FSE + pueden beneficiarse de una prefinanciación adicional siempre que la modificación del programa para introducir una o varias prioridades específicas de STEP se presente antes del 31 de marzo de 2025 (como se ha explicado anteriormente, la prefinanciación excepcional </w:t>
      </w:r>
      <w:r>
        <w:lastRenderedPageBreak/>
        <w:t>para el FTJ no estaba relacionada con modificaciones del programa y ya se había pagado).</w:t>
      </w:r>
    </w:p>
    <w:p w:rsidR="00786B3E" w:rsidRDefault="00786B3E" w:rsidP="00786B3E">
      <w:r>
        <w:t>Tanto la prefinanciación como el porcentaje de cofinanciación incrementado podrán aplicarse a partir de la notificación de la decisión sobre la modificación del programa.</w:t>
      </w:r>
    </w:p>
    <w:p w:rsidR="00786B3E" w:rsidRDefault="00786B3E" w:rsidP="00786B3E">
      <w:r>
        <w:t>El porcentaje de cofinanciación aprobado en el plan de financiación de un programa mediante una decisión por la que se apruebe una modificación del programa se aplicaría a las solicitudes de pago presentadas en el marco de dicho programa.</w:t>
      </w:r>
    </w:p>
    <w:p w:rsidR="00786B3E" w:rsidRDefault="00786B3E" w:rsidP="00786B3E"/>
    <w:p w:rsidR="00786B3E" w:rsidRDefault="00786B3E" w:rsidP="00786B3E"/>
    <w:p w:rsidR="00786B3E" w:rsidRDefault="00786B3E" w:rsidP="00786B3E">
      <w:pPr>
        <w:pStyle w:val="Ttulo1"/>
      </w:pPr>
      <w:bookmarkStart w:id="743" w:name="scroll-bookmark-858"/>
      <w:bookmarkStart w:id="744" w:name="scroll-bookmark-859"/>
      <w:bookmarkEnd w:id="743"/>
      <w:r>
        <w:t>QA00309 — Preguntas relacionadas con el SEAL SOVEREIGNTY, SYNERGIES, FINANCIACIÓN CUMULATIVA</w:t>
      </w:r>
      <w:bookmarkEnd w:id="744"/>
    </w:p>
    <w:p w:rsidR="00786B3E" w:rsidRDefault="00786B3E" w:rsidP="00786B3E">
      <w:r>
        <w:rPr>
          <w:noProof/>
          <w:lang w:val="es-ES"/>
        </w:rPr>
        <w:drawing>
          <wp:inline distT="0" distB="0" distL="0" distR="0" wp14:anchorId="3D130B6F" wp14:editId="1EAA6AFB">
            <wp:extent cx="152435" cy="152435"/>
            <wp:effectExtent l="0" t="0" r="0" b="0"/>
            <wp:docPr id="101491" name="Imagen 1014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786B3E" w:rsidRDefault="00786B3E" w:rsidP="00786B3E">
      <w:r>
        <w:t>Artículos 63 y 73 del RDC</w:t>
      </w:r>
    </w:p>
    <w:p w:rsidR="00786B3E" w:rsidRDefault="00786B3E" w:rsidP="00786B3E">
      <w:r>
        <w:rPr>
          <w:noProof/>
          <w:lang w:val="es-ES"/>
        </w:rPr>
        <w:drawing>
          <wp:inline distT="0" distB="0" distL="0" distR="0" wp14:anchorId="0AD6E7DE" wp14:editId="7189EA77">
            <wp:extent cx="152435" cy="152435"/>
            <wp:effectExtent l="0" t="0" r="0" b="0"/>
            <wp:docPr id="101493" name="Imagen 1014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r>
        <w:t>Sírvase aclarar cómo se concederá el sello de soberanía.</w:t>
      </w:r>
    </w:p>
    <w:p w:rsidR="00786B3E" w:rsidRDefault="00786B3E" w:rsidP="00786B3E">
      <w:pPr>
        <w:numPr>
          <w:ilvl w:val="0"/>
          <w:numId w:val="303"/>
        </w:numPr>
      </w:pPr>
      <w:r>
        <w:t>¿Qué criterios deben cumplir los proyectos para recibir el sello? ¿Deberían enumerarse estos criterios en las convocatorias de candidaturas para que el sello sea aplicable?</w:t>
      </w:r>
    </w:p>
    <w:p w:rsidR="00786B3E" w:rsidRDefault="00786B3E" w:rsidP="00786B3E">
      <w:pPr>
        <w:numPr>
          <w:ilvl w:val="0"/>
          <w:numId w:val="303"/>
        </w:numPr>
      </w:pPr>
      <w:r>
        <w:t>¿Quién concede el sello? ¿Es la Comisión Europea? ¿O son las autoridades de gestión? ¿Puede concederse el sello en el marco de fondos o programas en régimen de gestión compartida?</w:t>
      </w:r>
    </w:p>
    <w:p w:rsidR="00786B3E" w:rsidRDefault="00786B3E" w:rsidP="00786B3E">
      <w:pPr>
        <w:numPr>
          <w:ilvl w:val="0"/>
          <w:numId w:val="303"/>
        </w:numPr>
      </w:pPr>
      <w:r>
        <w:t>¿Existe la posibilidad de que el sello de soberanía se conceda a proyectos que hayan sido evaluados en convocatorias ya cerradas en el marco de instrumentos gestionados directamente?</w:t>
      </w:r>
    </w:p>
    <w:p w:rsidR="00786B3E" w:rsidRDefault="00786B3E" w:rsidP="00786B3E">
      <w:pPr>
        <w:numPr>
          <w:ilvl w:val="0"/>
          <w:numId w:val="303"/>
        </w:numPr>
      </w:pPr>
      <w:r>
        <w:t>¿Es posible conceder el sello a un proyecto cuya ejecución ya ha comenzado?</w:t>
      </w:r>
    </w:p>
    <w:p w:rsidR="00786B3E" w:rsidRDefault="00786B3E" w:rsidP="00786B3E">
      <w:pPr>
        <w:pStyle w:val="P68B1DB1-Normal1"/>
      </w:pPr>
      <w:r>
        <w:t>Respuesta a la pregunta 1</w:t>
      </w:r>
    </w:p>
    <w:p w:rsidR="00786B3E" w:rsidRDefault="00786B3E" w:rsidP="00786B3E">
      <w:r>
        <w:t>La Comisión Europea concede el sello de soberanía en el marco de los siguientes programas: Horizonte Europa, el Fondo Europeo de Defensa, el Fondo de Innovación, el programa EU4Health o el programa Europa Digital.</w:t>
      </w:r>
    </w:p>
    <w:p w:rsidR="00786B3E" w:rsidRDefault="00786B3E" w:rsidP="00786B3E">
      <w:r>
        <w:t xml:space="preserve">Debe concederse un sello de soberanía a los proyectos que contribuyan a los objetivos de STEP, siempre que el proyecto haya sido evaluado y cumpla los requisitos mínimos de calidad, en particular los criterios de admisibilidad, exclusión y adjudicación. Estas condiciones se describirán en las convocatorias de propuestas de los instrumentos de gestión directa antes mencionados. El Sello se proporcionará tanto para los proyectos que se seleccionan para su financiación en el marco del instrumento al que han </w:t>
      </w:r>
      <w:r>
        <w:lastRenderedPageBreak/>
        <w:t>solicitado como para aquellos que cumplen las condiciones antes mencionadas, pero que no pueden ser financiados por razones presupuestarias.</w:t>
      </w:r>
    </w:p>
    <w:p w:rsidR="00786B3E" w:rsidRDefault="00786B3E" w:rsidP="00786B3E">
      <w:r>
        <w:t>El sello de soberanía solo se concederá a los proyectos una vez que haya entrado en vigor el Reglamento STEP. El sello no se concederá retroactivamente a las convocatorias cerradas.</w:t>
      </w:r>
    </w:p>
    <w:p w:rsidR="00786B3E" w:rsidRDefault="00786B3E" w:rsidP="00786B3E">
      <w:r>
        <w:t xml:space="preserve">Será posible prestar apoyo financiero a un proyecto con sello de soberanía una vez iniciado su ejecución, siempre que se evite la doble financiación. El sello es válido para toda la duración del proyecto, siempre que no se </w:t>
      </w:r>
      <w:proofErr w:type="spellStart"/>
      <w:r>
        <w:t>reubice</w:t>
      </w:r>
      <w:proofErr w:type="spellEnd"/>
      <w:r>
        <w:t xml:space="preserve"> fuera de la UE.</w:t>
      </w:r>
    </w:p>
    <w:p w:rsidR="00786B3E" w:rsidRDefault="00786B3E" w:rsidP="00786B3E">
      <w:r>
        <w:t>La Comisión solo puede conceder el sello de soberanía en el marco de determinados instrumentos de la Unión de gestión directa identificados en el Reglamento STEP. Por lo tanto, los Estados miembros no pueden concederla a operaciones apoyadas en el marco de la gestión compartida. De conformidad con el artículo 73 (4) del RDC, las autoridades de gestión pueden decidir conceder ayuda a proyectos a los que la Comisión haya concedido un sello de soberanía en virtud de los instrumentos de la Unión mencionados, siempre que dichos proyectos cumplan los requisitos establecidos en el artículo 73, apartado 2, letras a), b) y g), del RDC. Esta ayuda solo podrá proceder del FEDER o del FSE +.</w:t>
      </w:r>
    </w:p>
    <w:p w:rsidR="00786B3E" w:rsidRDefault="00786B3E" w:rsidP="00786B3E"/>
    <w:p w:rsidR="00786B3E" w:rsidRDefault="00786B3E" w:rsidP="00786B3E">
      <w:pPr>
        <w:pStyle w:val="P68B1DB1-Normal1"/>
      </w:pPr>
      <w:r>
        <w:t>Pregunta 2</w:t>
      </w:r>
    </w:p>
    <w:p w:rsidR="00786B3E" w:rsidRDefault="00786B3E" w:rsidP="00786B3E">
      <w:r>
        <w:t>¿Cuál es la diferencia entre el Sello de Excelencia y el Sello de Soberanía? Ambos se conceden tras ser evaluados como conformes con los requisitos mínimos de calidad, en particular los criterios de admisibilidad, exclusión y adjudicación establecidos en una convocatoria de propuestas en el marco de los instrumentos de la Unión. ¿Existen diferencias entre los proyectos etiquetados con el Sello de Excelencia y el Sello de Soberanía en términos de procedimientos nacionales de adjudicación y una ejecución más rápida? ¿Cuál es la diferencia en la práctica?</w:t>
      </w:r>
    </w:p>
    <w:p w:rsidR="00786B3E" w:rsidRDefault="00786B3E" w:rsidP="00786B3E">
      <w:pPr>
        <w:pStyle w:val="P68B1DB1-Normal1"/>
      </w:pPr>
      <w:r>
        <w:t>Respuesta a la pregunta 2</w:t>
      </w:r>
    </w:p>
    <w:p w:rsidR="00786B3E" w:rsidRDefault="00786B3E" w:rsidP="00786B3E">
      <w:r>
        <w:t xml:space="preserve">El Sello de Excelencia es diferente del Sello de Soberanía, </w:t>
      </w:r>
      <w:r w:rsidR="002F3719">
        <w:t xml:space="preserve">ya que, </w:t>
      </w:r>
      <w:r>
        <w:t>este, de conformidad con el artículo 4, apartado 3, letra b), del Reglamento STEP, permite la financiación acumulativa. El artículo 4, apartado 7, del Reglamento de la fase del se refiere a las normas sobre financiación acumulativa.</w:t>
      </w:r>
    </w:p>
    <w:p w:rsidR="00786B3E" w:rsidRDefault="00786B3E" w:rsidP="00786B3E">
      <w:r>
        <w:t>El sello de soberanía solo se concederá a proyectos seleccionados en el marco de uno de los 5 instrumentos de gestión directa mencionados en el Reglamento (Fondo Europeo de Defensa, Horizonte Europa, programa Europa Digital, EU4Health, Fondo de Innovación) y solo después de la entrada en vigor del Reglamento STEP.</w:t>
      </w:r>
    </w:p>
    <w:p w:rsidR="00786B3E" w:rsidRDefault="00786B3E" w:rsidP="00786B3E">
      <w:r>
        <w:t xml:space="preserve">El Sello de Excelencia puede concederse en el marco de Horizonte Europa, el programa Europa Digital, </w:t>
      </w:r>
      <w:proofErr w:type="spellStart"/>
      <w:r>
        <w:t>LiFE</w:t>
      </w:r>
      <w:proofErr w:type="spellEnd"/>
      <w:r>
        <w:t>, Erasmus +, la Ley de Apoyo a la Producción de Municiones (ASAP) y el Mecanismo «Conectar Europa» — Digital. Dado que el Sello de Excelencia no permite la financiación acumulativa, solo puede concederse a proyectos que no hayan recibido financiación en el marco de los respectivos programas. Por el contrario, el sello de soberanía también puede concederse a proyectos que hayan recibido financiación, que posteriormente podrían optar a financiación acumulativa.</w:t>
      </w:r>
    </w:p>
    <w:p w:rsidR="00786B3E" w:rsidRDefault="00786B3E" w:rsidP="00786B3E">
      <w:r>
        <w:lastRenderedPageBreak/>
        <w:t>Sobre la base del artículo 63 (9) del RDC, los programas del FEDER o del FSE + pueden apoyar proyectos que también reciban financiación de un instrumento de la Unión gestionado directamente, siempre que no se declare el mismo gasto para ambos instrumentos. A tal fin, determina que el importe de los gastos que deban consignarse en una solicitud de pago de un Fondo podrá calcularse a prorrata para cada Fondo y para el programa o programas de que se trate, de conformidad con el documento en el que se establezcan las condiciones de la ayuda. La Comunicación sobre las sinergias entre los programas del FEDER y Horizonte Europa describe detalladamente las modalidades de ejecución de la financiación acumulativa, incluido el respeto de la prohibición de doble declaración y obligaciones de notificación.</w:t>
      </w:r>
    </w:p>
    <w:p w:rsidR="00786B3E" w:rsidRDefault="00786B3E" w:rsidP="00786B3E">
      <w:pPr>
        <w:pStyle w:val="P68B1DB1-Normal1"/>
      </w:pPr>
      <w:r>
        <w:t> </w:t>
      </w:r>
    </w:p>
    <w:p w:rsidR="00786B3E" w:rsidRDefault="00786B3E" w:rsidP="00786B3E">
      <w:pPr>
        <w:pStyle w:val="P68B1DB1-Normal1"/>
      </w:pPr>
      <w:r>
        <w:t>Pregunta 3</w:t>
      </w:r>
    </w:p>
    <w:p w:rsidR="00786B3E" w:rsidRDefault="00786B3E" w:rsidP="00786B3E">
      <w:r>
        <w:t>En el marco del FEDER y el FSE +, es posible conceder ayudas directamente para operaciones a las que se haya atribuido un sello. ¿Esto se aplica exclusivamente al FEDER y al FSE + o esto también es posible en el Fondo de Transición Justa?</w:t>
      </w:r>
    </w:p>
    <w:p w:rsidR="00786B3E" w:rsidRDefault="00786B3E" w:rsidP="00786B3E">
      <w:pPr>
        <w:pStyle w:val="P68B1DB1-Normal1"/>
      </w:pPr>
      <w:r>
        <w:t>Respuesta a la pregunta 3</w:t>
      </w:r>
    </w:p>
    <w:p w:rsidR="00786B3E" w:rsidRDefault="00786B3E" w:rsidP="00786B3E">
      <w:r>
        <w:t>El apoyo a proyectos con sello de soberanía de conformidad con el artículo 73 (4) del RDC solo podrá concederse con cargo al FEDER o al FSE +.</w:t>
      </w:r>
    </w:p>
    <w:p w:rsidR="00786B3E" w:rsidRDefault="00786B3E" w:rsidP="00786B3E">
      <w:pPr>
        <w:pStyle w:val="P68B1DB1-Normal1"/>
      </w:pPr>
      <w:r>
        <w:t> </w:t>
      </w:r>
    </w:p>
    <w:p w:rsidR="00786B3E" w:rsidRDefault="00786B3E" w:rsidP="00786B3E">
      <w:pPr>
        <w:pStyle w:val="P68B1DB1-Normal1"/>
      </w:pPr>
      <w:r>
        <w:t>Pregunta 4</w:t>
      </w:r>
    </w:p>
    <w:p w:rsidR="00786B3E" w:rsidRDefault="00786B3E" w:rsidP="00786B3E">
      <w:r>
        <w:t>¿Cuándo recibiremos orientaciones sobre cómo aplicar el sello? ¿Prevé la Comisión una comunicación activa para aumentar la visibilidad de estos proyectos, en particular dirigidos a inversores privados, a través de sus enlaces en los Estados miembros, o información periódica, a través de las autoridades de gestión de las regiones afectadas, sobre los beneficiarios de esta etiqueta (véase qué información se ha recibido sobre el Sello de Excelencia)?</w:t>
      </w:r>
    </w:p>
    <w:p w:rsidR="00786B3E" w:rsidRDefault="00786B3E" w:rsidP="00786B3E">
      <w:pPr>
        <w:pStyle w:val="P68B1DB1-Normal1"/>
      </w:pPr>
      <w:r>
        <w:t>Respuesta a la pregunta 4</w:t>
      </w:r>
    </w:p>
    <w:p w:rsidR="00786B3E" w:rsidRDefault="00786B3E" w:rsidP="00786B3E">
      <w:r>
        <w:t>No habrá orientaciones específicas relacionadas con la aplicación del sello de soberanía en régimen de gestión compartida. Las orientaciones sobre sinergias entre los programas Horizonte Europa y el FEDER podrían ser útiles para la cuestión de la financiación acumulativa. Teniendo en cuenta la aplicabilidad del artículo 73, apartado 4, del RDC al sello de soberanía, las normas y las orientaciones existentes, así como las soluciones prácticas relacionadas con la aplicación y la concesión del sello de excelencia, también son aplicables al sello de soberanía.</w:t>
      </w:r>
    </w:p>
    <w:p w:rsidR="00786B3E" w:rsidRDefault="00786B3E" w:rsidP="00786B3E">
      <w:r>
        <w:t>Para ayudar a sensibilizar y aumentar el flujo de información, a los inversores privados, los bancos públicos y las autoridades de gestión, la lista de proyectos a los que se haya concedido un sello de soberanía se publicará en el portal STEP. Además, la Comisión comunicará periódicamente la lista de titulares del sello de soberanía a los puntos de contacto nacionales de STEP, para que conozcan los proyectos de calidad en sus respectivos Estados miembros.</w:t>
      </w:r>
    </w:p>
    <w:p w:rsidR="00786B3E" w:rsidRDefault="00786B3E" w:rsidP="00786B3E"/>
    <w:p w:rsidR="00786B3E" w:rsidRDefault="00786B3E" w:rsidP="00786B3E">
      <w:pPr>
        <w:pStyle w:val="P68B1DB1-Normal1"/>
      </w:pPr>
      <w:r>
        <w:t>Pregunta 5</w:t>
      </w:r>
    </w:p>
    <w:p w:rsidR="00786B3E" w:rsidRDefault="00786B3E" w:rsidP="00786B3E">
      <w:r>
        <w:lastRenderedPageBreak/>
        <w:t xml:space="preserve">En cuanto a la afirmación de que «los Estados miembros podrán conceder ayudas con cargo a los fondos de la política de cohesión a proyectos que hayan recibido una etiqueta de soberanía directamente, sin ningún procedimiento de selección adicional», esto no fue posible con los «sellos de excelencia», </w:t>
      </w:r>
      <w:r w:rsidR="002F3719">
        <w:t xml:space="preserve">ya que, </w:t>
      </w:r>
      <w:r>
        <w:t>los proyectos debían cumplir determinados procedimientos y criterios. ¿Dispone la Comisión Europea de disposiciones especiales para aplicar esta posibilidad?</w:t>
      </w:r>
    </w:p>
    <w:p w:rsidR="00786B3E" w:rsidRDefault="00786B3E" w:rsidP="00786B3E">
      <w:pPr>
        <w:pStyle w:val="P68B1DB1-Normal1"/>
      </w:pPr>
      <w:r>
        <w:t>Respuesta a la pregunta 5</w:t>
      </w:r>
    </w:p>
    <w:p w:rsidR="00786B3E" w:rsidRDefault="00786B3E" w:rsidP="00786B3E">
      <w:r>
        <w:t xml:space="preserve">El Reglamento STEP modifica la definición de «sello de excelencia» establecida en el artículo 2, apartado 45, del RDC, con el fin de </w:t>
      </w:r>
      <w:proofErr w:type="gramStart"/>
      <w:r>
        <w:t>abarcar</w:t>
      </w:r>
      <w:proofErr w:type="gramEnd"/>
      <w:r>
        <w:t xml:space="preserve"> así como el «sello de soberanía». Por lo tanto, a efectos del RDC, el «sello de soberanía» se considera un «Sello de Excelencia». Por consiguiente, las normas establecidas en el artículo 73, apartado 4, en relación con la selección de los proyectos a los que se haya concedido un Sello de Excelencia también se aplican al Sello de Soberanía. Al igual que en el caso del Sello de Excelencia, en el caso de los proyectos con sello de soberanía, las autoridades de gestión no tienen que seguir todo el procedimiento de selección para la concesión de financiación del FEDER o del FSE +. No obstante, deben cumplirse los requisitos establecidos en el artículo 73 (2), letras a), b) y g), del RDC. Por ejemplo, las autoridades de gestión tendrán que verificar si el proyecto seleccionado entra en el ámbito de aplicación del Fondo de que se trate o si contribuye a la consecución de los objetivos del programa FEDER/FSE +.</w:t>
      </w:r>
    </w:p>
    <w:p w:rsidR="00786B3E" w:rsidRDefault="00786B3E" w:rsidP="00786B3E">
      <w:pPr>
        <w:pStyle w:val="P68B1DB1-Normal1"/>
      </w:pPr>
      <w:r>
        <w:t> </w:t>
      </w:r>
    </w:p>
    <w:p w:rsidR="00786B3E" w:rsidRDefault="00786B3E" w:rsidP="00786B3E">
      <w:pPr>
        <w:pStyle w:val="P68B1DB1-Normal1"/>
      </w:pPr>
      <w:r>
        <w:t>Pregunta 6</w:t>
      </w:r>
    </w:p>
    <w:p w:rsidR="00786B3E" w:rsidRDefault="00786B3E" w:rsidP="00786B3E">
      <w:r>
        <w:t>En relación con la selección de las operaciones con sello de soberanía concedido, aclaren:</w:t>
      </w:r>
    </w:p>
    <w:p w:rsidR="00786B3E" w:rsidRDefault="00786B3E" w:rsidP="00786B3E">
      <w:pPr>
        <w:numPr>
          <w:ilvl w:val="0"/>
          <w:numId w:val="304"/>
        </w:numPr>
      </w:pPr>
      <w:r>
        <w:t>¿puede una autoridad de gestión negarse a apoyar un proyecto si, a pesar del sello de soberanía concedido, no cumple las condiciones establecidas en el programa o la convocatoria de propuestas?</w:t>
      </w:r>
    </w:p>
    <w:p w:rsidR="00786B3E" w:rsidRDefault="00786B3E" w:rsidP="00786B3E">
      <w:pPr>
        <w:numPr>
          <w:ilvl w:val="0"/>
          <w:numId w:val="304"/>
        </w:numPr>
      </w:pPr>
      <w:r>
        <w:t>en los casos en que el apoyo a los proyectos STEP se preste a través de convocatorias de propuestas competitivas (en las que las solicitudes solo puedan presentarse dentro de un plazo de convocatoria específico), ¿bastará con ofrecer preferencias para proyectos con sello de soberanía mediante una bonificación por puntos en la fase de evaluación, que no proporcionará una garantía del 100 % de apoyo a dichos proyectos, si hay otros proyectos sin el sello de soberanía que recibirán un mayor número de puntos con arreglo a otros criterios o el sello de soberanía se refiere a un objetivo distinto del previsto para su ejecución en la selección en el marco del programa?</w:t>
      </w:r>
    </w:p>
    <w:p w:rsidR="00786B3E" w:rsidRDefault="00786B3E" w:rsidP="00786B3E">
      <w:pPr>
        <w:numPr>
          <w:ilvl w:val="0"/>
          <w:numId w:val="304"/>
        </w:numPr>
      </w:pPr>
      <w:r>
        <w:t>¿cómo será posible determinar si la operación con sello concedido afecta de forma soberana a una zona STEP que recibirá apoyo del nivel del programa? ¿Habrá algún criterio de delimitación previsto entre los programas en virtud de los cuales se financiarán los proyectos STEP?</w:t>
      </w:r>
    </w:p>
    <w:p w:rsidR="00786B3E" w:rsidRDefault="00786B3E" w:rsidP="00786B3E">
      <w:pPr>
        <w:pStyle w:val="P68B1DB1-Normal1"/>
      </w:pPr>
      <w:r>
        <w:t>Respuesta a la pregunta 6</w:t>
      </w:r>
    </w:p>
    <w:p w:rsidR="00786B3E" w:rsidRDefault="00786B3E" w:rsidP="00786B3E">
      <w:r>
        <w:t xml:space="preserve">El Reglamento STEP modifica la definición del «Sello de Excelencia» establecida en el artículo 2, apartado 45, del RDC, con el fin de </w:t>
      </w:r>
      <w:proofErr w:type="gramStart"/>
      <w:r>
        <w:t>abarcar</w:t>
      </w:r>
      <w:proofErr w:type="gramEnd"/>
      <w:r>
        <w:t xml:space="preserve"> así como el «sello de soberanía». </w:t>
      </w:r>
      <w:r>
        <w:lastRenderedPageBreak/>
        <w:t>Por lo tanto, a efectos del RDC, el «sello de soberanía» se considera un Sello de Excelencia y la única diferencia entre ambos es que la financiación acumulativa es posible en el marco del sello de soberanía.</w:t>
      </w:r>
    </w:p>
    <w:p w:rsidR="00786B3E" w:rsidRDefault="00786B3E" w:rsidP="00786B3E">
      <w:r>
        <w:t>Por consiguiente, las normas establecidas en el artículo 73, apartado 4, en relación con la selección de los proyectos a los que se haya concedido un sello de excelencia también se aplican al sello de soberanía, tal como se establece en el considerando (24) del Reglamento STEP. La concesión de financiación de los programas del FEDER/FSE + a proyectos con el sello de soberanía es una posibilidad, no una obligación para las autoridades de gestión. Al igual que en el caso del Sello de Excelencia, en el caso de los proyectos con sello de soberanía, las autoridades de gestión no tienen que seguir todo el procedimiento de selección para la concesión de financiación del FEDER o del FSE +. No obstante, deben cumplirse los requisitos establecidos en el artículo 73 (2), letras a), b) y g), del RDC, entre otras cosas, si el proyecto entra en el ámbito de aplicación de los Fondos y contribuye a la consecución del objetivo del programa FEDER/FSE +.</w:t>
      </w:r>
    </w:p>
    <w:p w:rsidR="00786B3E" w:rsidRDefault="00786B3E" w:rsidP="00786B3E">
      <w:r>
        <w:t>No obstante, la AG podrá aplicar todos los requisitos del artículo 73, apartado 2, del RDC a los proyectos a los que se haya concedido un Sello de Excelencia o un Sello de Soberanía. En el caso de los proyectos relacionados con STEP a los que no se haya concedido ninguno de los Sello, se aplicarán todos los requisitos establecidos en el artículo 73, apartado 2, del RDC.</w:t>
      </w:r>
    </w:p>
    <w:p w:rsidR="00786B3E" w:rsidRDefault="00786B3E" w:rsidP="00786B3E">
      <w:r>
        <w:t>En la práctica, las autoridades de gestión son libres de organizarse en lo que respecta a la selección de estos proyectos: por ejemplo, a través de puntos adicionales en una convocatoria general (no solo para proyectos relativos al sello de soberanía) o mediante la puesta en marcha de una convocatoria específica de proyectos del sello de soberanía.</w:t>
      </w:r>
    </w:p>
    <w:p w:rsidR="00786B3E" w:rsidRDefault="00786B3E" w:rsidP="00786B3E">
      <w:r>
        <w:t>En el caso de los fondos gestionados directamente (Fondo Europeo de Defensa, Horizonte Europa, programa Europa Digital, EU4Health, Fondo de Innovación), puede concederse un sello de soberanía a proyectos que contribuyan a los objetivos de STEP dentro del ámbito de aplicación del fondo pertinente (por ejemplo, el Fondo de Innovación solo financiará y concederá sellos a proyectos de tecnologías limpias) y cumpla las normas específicas de los fondos. Estos fondos publicarán convocatorias específicas pertinentes para las STEP, en las que se definirán los requisitos mínimos de calidad (en particular, los criterios de admisibilidad, exclusión y adjudicación) para obtener el sello de soberanía.</w:t>
      </w:r>
    </w:p>
    <w:p w:rsidR="00786B3E" w:rsidRDefault="00786B3E" w:rsidP="00786B3E">
      <w:r>
        <w:t>El portal de soberanía contendrá información sobre los proyectos a los que se haya concedido un sello de soberanía, incluido el instrumento gestionado directamente en virtud del cual se concedió el sello, así como el sector específico de STEP abordado (tecnologías digitales profundas, tecnologías limpias y eficientes en el uso de los recursos o biotecnologías) y una breve descripción del proyecto.</w:t>
      </w:r>
    </w:p>
    <w:p w:rsidR="00786B3E" w:rsidRDefault="00786B3E" w:rsidP="00786B3E">
      <w:r>
        <w:t>Para solicitar financiación del FEDER o del FSE + en virtud del artículo 73, apartado 4, un proyecto con sello de soberanía debe conservar su ámbito de aplicación inicial, ya que, de lo contrario, la evaluación en el marco del instrumento de la Unión gestionado directamente sobre cuya base se concede el sello de calidad ya no es válida.</w:t>
      </w:r>
    </w:p>
    <w:p w:rsidR="00786B3E" w:rsidRDefault="00786B3E" w:rsidP="00786B3E"/>
    <w:p w:rsidR="00786B3E" w:rsidRDefault="00786B3E" w:rsidP="00786B3E">
      <w:pPr>
        <w:pStyle w:val="P68B1DB1-Normal1"/>
      </w:pPr>
      <w:r>
        <w:t>Pregunta 7</w:t>
      </w:r>
    </w:p>
    <w:p w:rsidR="00786B3E" w:rsidRDefault="00786B3E" w:rsidP="00786B3E">
      <w:r>
        <w:lastRenderedPageBreak/>
        <w:t>Aclaren cómo se comunicarán o publicarán los proyectos con sello de soberanía concedido.</w:t>
      </w:r>
    </w:p>
    <w:p w:rsidR="00786B3E" w:rsidRDefault="00786B3E" w:rsidP="00786B3E">
      <w:pPr>
        <w:numPr>
          <w:ilvl w:val="0"/>
          <w:numId w:val="305"/>
        </w:numPr>
      </w:pPr>
      <w:r>
        <w:t>¿Dónde será posible acceder a la lista de empresas con la etiqueta de soberanía?</w:t>
      </w:r>
    </w:p>
    <w:p w:rsidR="00786B3E" w:rsidRDefault="00786B3E" w:rsidP="00786B3E">
      <w:pPr>
        <w:numPr>
          <w:ilvl w:val="0"/>
          <w:numId w:val="305"/>
        </w:numPr>
      </w:pPr>
      <w:r>
        <w:t>¿Cuándo se publicará en la plataforma la lista de ganadores?</w:t>
      </w:r>
    </w:p>
    <w:p w:rsidR="00786B3E" w:rsidRDefault="00786B3E" w:rsidP="00786B3E">
      <w:pPr>
        <w:numPr>
          <w:ilvl w:val="0"/>
          <w:numId w:val="305"/>
        </w:numPr>
      </w:pPr>
      <w:r>
        <w:t>¿Se incluye una información geográfica en la lista de proyectos etiquetados para ayudar a identificar proyectos en un territorio determinado? En caso afirmativo, ¿a nivel nacional o regional?</w:t>
      </w:r>
    </w:p>
    <w:p w:rsidR="00786B3E" w:rsidRDefault="00786B3E" w:rsidP="00786B3E">
      <w:pPr>
        <w:pStyle w:val="P68B1DB1-Normal1"/>
      </w:pPr>
      <w:r>
        <w:t>Respuesta a la pregunta 7</w:t>
      </w:r>
    </w:p>
    <w:p w:rsidR="00786B3E" w:rsidRDefault="00786B3E" w:rsidP="00786B3E">
      <w:r>
        <w:t>Está previsto que los proyectos con sello de soberanía se publiquen en el portal STEP, en consonancia con el RGPD y otras legislaciones pertinentes en materia de protección de datos. La Comisión también comunicará periódicamente la lista de titulares del sello de soberanía a los puntos de contacto nacionales de STEP.</w:t>
      </w:r>
    </w:p>
    <w:p w:rsidR="00786B3E" w:rsidRDefault="00786B3E" w:rsidP="00786B3E">
      <w:r>
        <w:t>Los primeros proyectos a los que se concederá el sello de soberanía se esperan hacia finales de 2024. La Comisión actualizará periódicamente la lista de proyectos a los que se haya concedido el Sello, en consonancia con los plazos de evaluación de las convocatorias de STEP puestas en marcha en el marco de los programas pertinentes en régimen de gestión directa cubiertos por STEP.</w:t>
      </w:r>
    </w:p>
    <w:p w:rsidR="00786B3E" w:rsidRDefault="00786B3E" w:rsidP="00786B3E">
      <w:r>
        <w:t>De hecho, la intención de la Comisión es incluir información geográfica sobre los proyectos a los que se ha concedido el Sello en el portal STEP. Esta información se presentará, al menos, a nivel nacional. El suministro de información a nivel regional dependerá de la viabilidad técnica y de la disponibilidad de recursos.</w:t>
      </w:r>
    </w:p>
    <w:p w:rsidR="00786B3E" w:rsidRDefault="00786B3E" w:rsidP="00786B3E"/>
    <w:p w:rsidR="00786B3E" w:rsidRDefault="00786B3E" w:rsidP="00786B3E">
      <w:pPr>
        <w:pStyle w:val="P68B1DB1-Normal1"/>
      </w:pPr>
      <w:r>
        <w:t>Pregunta 8</w:t>
      </w:r>
    </w:p>
    <w:p w:rsidR="00786B3E" w:rsidRDefault="00786B3E" w:rsidP="00786B3E">
      <w:r>
        <w:t>¿Puede confirmar que el sello de soberanía previsto en el artículo 4 no es un requisito previo para el apoyo del FEDER o del FTJ a un proyecto a través de fondos destinados a una prioridad STEP, sino que constituye una ventaja para los proyectos, en particular al permitir la acumulación de ayudas europeas para los mismos gastos?</w:t>
      </w:r>
    </w:p>
    <w:p w:rsidR="00786B3E" w:rsidRDefault="00786B3E" w:rsidP="00786B3E">
      <w:pPr>
        <w:pStyle w:val="P68B1DB1-Normal1"/>
      </w:pPr>
      <w:r>
        <w:t>Respuesta a la pregunta 8</w:t>
      </w:r>
    </w:p>
    <w:p w:rsidR="00786B3E" w:rsidRDefault="00786B3E" w:rsidP="00786B3E">
      <w:r>
        <w:t>El sello de soberanía no es un requisito previo para la financiación en el marco de las prioridades STEP recientemente introducidas en los programas de la política de cohesión. Solo ofrece la posibilidad de obtener financiación (adicional) de los programas del FEDER o del FSE + para proyectos que solicitaron financiación por primera vez con cargo a instrumentos de la Unión gestionados directamente.</w:t>
      </w:r>
    </w:p>
    <w:p w:rsidR="00786B3E" w:rsidRDefault="00786B3E" w:rsidP="00786B3E">
      <w:r>
        <w:t>Los proyectos con el Sello también pueden financiarse con cargo al FTJ (no necesariamente a través de una prioridad específica), pero no se aplicaría el procedimiento de selección simplificado con arreglo al artículo 73, apartado 4.</w:t>
      </w:r>
    </w:p>
    <w:p w:rsidR="00786B3E" w:rsidRDefault="00786B3E" w:rsidP="00786B3E"/>
    <w:p w:rsidR="00786B3E" w:rsidRDefault="00786B3E" w:rsidP="00786B3E">
      <w:pPr>
        <w:pStyle w:val="P68B1DB1-Normal1"/>
      </w:pPr>
      <w:r>
        <w:t>Pregunta 9</w:t>
      </w:r>
    </w:p>
    <w:p w:rsidR="00786B3E" w:rsidRDefault="00786B3E" w:rsidP="00786B3E">
      <w:r>
        <w:t xml:space="preserve">El artículo 4, apartado 2, del Reglamento STEP especifica que los criterios geográficos no parecen ser obligatorios. ¿Tendrán que los programas incorporar estos criterios con </w:t>
      </w:r>
      <w:r>
        <w:lastRenderedPageBreak/>
        <w:t>mayor frecuencia, en particular el criterio geográfico, con el fin de identificar mejor la ubicación de los jefes de proyecto o de los proyectos?</w:t>
      </w:r>
    </w:p>
    <w:p w:rsidR="00786B3E" w:rsidRDefault="00786B3E" w:rsidP="00786B3E">
      <w:pPr>
        <w:pStyle w:val="P68B1DB1-Normal1"/>
      </w:pPr>
      <w:r>
        <w:t>Respuesta a la pregunta 9</w:t>
      </w:r>
    </w:p>
    <w:p w:rsidR="00786B3E" w:rsidRDefault="00786B3E" w:rsidP="00786B3E">
      <w:r>
        <w:t>Los criterios geográficos no son obligatorios para las convocatorias de propuestas en el marco de los instrumentos de la Unión a que se refiere el artículo 4 (1) del Reglamento STEP.</w:t>
      </w:r>
    </w:p>
    <w:p w:rsidR="00786B3E" w:rsidRDefault="00786B3E" w:rsidP="00786B3E">
      <w:r>
        <w:t>En el caso de los fondos gestionados directamente (Fondo Europeo de Defensa, Horizonte Europa, programa Europa Digital, EU4Health, Fondo de Innovación), puede concederse un sello de soberanía a proyectos que contribuyan a los objetivos de STEP dentro del ámbito de aplicación del fondo pertinente (por ejemplo, el Fondo de Innovación solo financiará y concederá sellos a proyectos de tecnologías limpias) y cumpla las normas específicas de los fondos. Estos fondos publicarán convocatorias específicas pertinentes para las STEP, en las que se definirán los requisitos mínimos de calidad (en particular, los criterios de admisibilidad, exclusión y adjudicación) para obtener el sello de soberanía.</w:t>
      </w:r>
    </w:p>
    <w:p w:rsidR="00786B3E" w:rsidRDefault="00786B3E" w:rsidP="00786B3E"/>
    <w:p w:rsidR="00786B3E" w:rsidRDefault="00786B3E" w:rsidP="00786B3E">
      <w:pPr>
        <w:pStyle w:val="P68B1DB1-Normal1"/>
      </w:pPr>
      <w:r>
        <w:t>Pregunta 10</w:t>
      </w:r>
    </w:p>
    <w:p w:rsidR="00786B3E" w:rsidRDefault="00786B3E" w:rsidP="00786B3E">
      <w:r>
        <w:t>En relación con el considerando 6 — en caso de que se haya finalizado el procedimiento PIICE y también se hayan establecido socios directos e indirectos, ¿es posible considerar que el Sello de Excelencia se concede a socios directos o indirectos?</w:t>
      </w:r>
    </w:p>
    <w:p w:rsidR="00786B3E" w:rsidRDefault="00786B3E" w:rsidP="00786B3E">
      <w:pPr>
        <w:pStyle w:val="P68B1DB1-Normal1"/>
      </w:pPr>
      <w:r>
        <w:t>Respuesta a la pregunta 10</w:t>
      </w:r>
    </w:p>
    <w:p w:rsidR="00786B3E" w:rsidRDefault="00786B3E" w:rsidP="00786B3E">
      <w:r>
        <w:t>De conformidad con el artículo 2, apartado 6, del Reglamento STEP, cuando un proyecto importante de interés común europeo (PIICE) aprobado por la Comisión se refiera a tecnologías STEP, la tecnología pertinente se considerará crítica y, en consecuencia, el proyecto en cuestión podrá considerarse incluido en el ámbito de aplicación de STEP. Sin embargo, esto no significa que se conceda al proyecto el sello de soberanía (suponiendo que se trate del sello al que se refiere la pregunta). Como establece el artículo 4, apartado 1, del Reglamento STEP, la Comisión solo concederá sellos de soberanía a proyectos que hayan sido evaluados y cumplan los requisitos mínimos de calidad (en particular, los criterios de admisibilidad, exclusión y adjudicación) previstos en una convocatoria de propuestas del Fondo Europeo de Defensa, Horizonte Europa, el programa Europa Digital, EU4Health o el Fondo de Innovación.</w:t>
      </w:r>
    </w:p>
    <w:p w:rsidR="00786B3E" w:rsidRDefault="00786B3E" w:rsidP="00786B3E"/>
    <w:p w:rsidR="00786B3E" w:rsidRDefault="00786B3E" w:rsidP="00786B3E">
      <w:pPr>
        <w:pStyle w:val="P68B1DB1-Normal1"/>
      </w:pPr>
      <w:r>
        <w:t>Pregunta 11</w:t>
      </w:r>
    </w:p>
    <w:p w:rsidR="00786B3E" w:rsidRDefault="00786B3E" w:rsidP="00786B3E">
      <w:r>
        <w:t xml:space="preserve">¿Podría darnos un ejemplo sobre si, y de qué manera, a los ojos de la Comisión podrían combinarse las siguientes fuentes financieras (materializadas en la práctica)? es decir, las actividades STEP del FEDER en el marco del PO 2021-2027 (Programa de Inversión) y la financiación del programa de financiación europea gestionado directamente por la Comisión, </w:t>
      </w:r>
      <w:r w:rsidR="00214B1C">
        <w:t xml:space="preserve">por ejemplo, </w:t>
      </w:r>
      <w:r>
        <w:t>Horizonte Europa, el programa Europa Digital (DIGITAL), etc. — referencia al artículo 4, punto 3 ter, del Reglamento STEP.</w:t>
      </w:r>
    </w:p>
    <w:p w:rsidR="00786B3E" w:rsidRDefault="00786B3E" w:rsidP="00786B3E">
      <w:pPr>
        <w:pStyle w:val="P68B1DB1-Normal1"/>
      </w:pPr>
      <w:r>
        <w:t>Respuesta a la pregunta 11</w:t>
      </w:r>
    </w:p>
    <w:p w:rsidR="00786B3E" w:rsidRDefault="00786B3E" w:rsidP="00786B3E">
      <w:r>
        <w:lastRenderedPageBreak/>
        <w:t>La combinación de fondos en el marco de STEP sigue el marco de sinergias establecido en el marco regulador de los respectivos fondos para el período 2021-2027. Estas disposiciones se interpretan detalladamente en la Comunicación de la Comisión relativa a las sinergias entre los programas Horizonte Europa y el FEDER (DO C 421 de 4.11.2022), en particular en los puntos 2 y 3 de la Comunicación.</w:t>
      </w:r>
    </w:p>
    <w:p w:rsidR="00786B3E" w:rsidRDefault="00786B3E" w:rsidP="00786B3E"/>
    <w:p w:rsidR="00786B3E" w:rsidRDefault="00786B3E" w:rsidP="00786B3E"/>
    <w:p w:rsidR="00786B3E" w:rsidRDefault="00786B3E" w:rsidP="00786B3E">
      <w:pPr>
        <w:pStyle w:val="Ttulo1"/>
      </w:pPr>
      <w:bookmarkStart w:id="745" w:name="scroll-bookmark-860"/>
      <w:bookmarkStart w:id="746" w:name="scroll-bookmark-851"/>
      <w:bookmarkEnd w:id="745"/>
      <w:r>
        <w:t>QA00310 — Preguntas relacionadas con aspectos relacionados con las ayudas estatales</w:t>
      </w:r>
      <w:bookmarkEnd w:id="746"/>
    </w:p>
    <w:p w:rsidR="00786B3E" w:rsidRDefault="00786B3E" w:rsidP="00786B3E">
      <w:r>
        <w:rPr>
          <w:noProof/>
          <w:lang w:val="es-ES"/>
        </w:rPr>
        <w:drawing>
          <wp:inline distT="0" distB="0" distL="0" distR="0" wp14:anchorId="52F4C79F" wp14:editId="139B0A49">
            <wp:extent cx="152435" cy="152435"/>
            <wp:effectExtent l="0" t="0" r="0" b="0"/>
            <wp:docPr id="101495" name="Imagen 1014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3DE65F19" wp14:editId="49DB0DFC">
            <wp:extent cx="152435" cy="152435"/>
            <wp:effectExtent l="0" t="0" r="0" b="0"/>
            <wp:docPr id="101497" name="Imagen 1014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w:t>
      </w:r>
    </w:p>
    <w:p w:rsidR="00786B3E" w:rsidRDefault="00786B3E" w:rsidP="00786B3E">
      <w:proofErr w:type="gramStart"/>
      <w:r>
        <w:t>Teniendo en cuenta la admisibilidad de las grandes empresas, nos interesa si la Comisión prevé otras posibles flexibilidades en lo que respecta a las normas sobre ayudas estatales?</w:t>
      </w:r>
      <w:proofErr w:type="gramEnd"/>
    </w:p>
    <w:p w:rsidR="00786B3E" w:rsidRDefault="00786B3E" w:rsidP="00786B3E">
      <w:pPr>
        <w:pStyle w:val="P68B1DB1-Normal1"/>
      </w:pPr>
      <w:r>
        <w:t>Respuesta a la pregunta 1</w:t>
      </w:r>
    </w:p>
    <w:p w:rsidR="00786B3E" w:rsidRDefault="00786B3E" w:rsidP="00786B3E">
      <w:r>
        <w:t>Ya existen muchas posibilidades de conceder ayudas estatales a grandes empresas con arreglo a las normas vigentes en materia de ayudas estatales. Si la cuestión se refiere a la fabricación, las ayudas a la inversión inicial a grandes empresas son posibles con arreglo a las Directrices sobre ayudas regionales en zonas «a» (menos desarrolladas) y, siempre que la inversión inicial cree nuevas actividades económicas, también en zonas «c». Cuando se trate de un territorio del FTJ situado en una zona «c», no solo pueden concederse ayudas regionales a grandes empresas para inversiones iniciales que creen nuevas actividades económicas, sino también para la diversificación de la producción de un establecimiento o para un cambio fundamental en el proceso global de producción del producto o productos afectados por la inversión, siempre que se cumplan las condiciones del apartado 14 de las Directrices sobre ayudas regionales.</w:t>
      </w:r>
    </w:p>
    <w:p w:rsidR="00786B3E" w:rsidRDefault="00786B3E" w:rsidP="00786B3E">
      <w:r>
        <w:t>El apoyo a la inversión en fabricación realizada por grandes empresas también es posible en virtud de la sección de ayudas regionales del RGEC, es decir, también en zonas asistidas.</w:t>
      </w:r>
    </w:p>
    <w:p w:rsidR="00786B3E" w:rsidRDefault="00786B3E" w:rsidP="00786B3E">
      <w:r>
        <w:t>Además, en el caso de algunos de los sectores cubiertos por el Reglamento STEP (a saber, los sectores estratégicos para la transición hacia una economía de cero emisiones netas, tal como se definen en el marco temporal de crisis y transición), la sección 2.8 del Marco Temporal de Crisis y Transición ofrece la posibilidad de apoyar las inversiones iniciales en grandes empresas más allá de las zonas asistidas, siempre que se cumplan todas las condiciones correspondientes.</w:t>
      </w:r>
    </w:p>
    <w:p w:rsidR="00786B3E" w:rsidRDefault="00786B3E" w:rsidP="00786B3E">
      <w:r>
        <w:t xml:space="preserve">Por lo que se refiere a las ayudas regionales a la inversión, la Comisión ha introducido la posibilidad de que los Estados miembros aumenten la intensidad de la ayuda para los </w:t>
      </w:r>
      <w:r>
        <w:lastRenderedPageBreak/>
        <w:t>proyectos STEP hasta un 5 % de los costes subvencionables en las zonas «c» y un 10 % en las zonas «a», a fin de mantener el objetivo de la política de cohesión permitiendo un mayor apoyo en las zonas más desfavorecidas.</w:t>
      </w:r>
    </w:p>
    <w:p w:rsidR="00786B3E" w:rsidRDefault="00786B3E" w:rsidP="00786B3E">
      <w:r>
        <w:t>Téngase en cuenta que, en virtud del Reglamento del FEDER, modificado por el Reglamento STEP, las inversiones productivas en grandes empresas solo podrán recibir apoyo en las regiones menos desarrolladas y en transición, así como en las regiones más desarrolladas de los Estados miembros cuyo PIB medio per cápita sea inferior a la media de la EU-27, medido en estándares de poder adquisitivo y calculado sobre la base de las cifras de la Unión correspondientes al período 2015-2017. Sin embargo, en todos los casos, la cofinanciación del FEDER se mantiene sin perjuicio de las normas sobre ayudas estatales, lo que implica que debe comprobarse si la región menos desarrollada o en transición en la que se produciría la inversión figura en el mapa de ayudas regionales aprobado por el Estado miembro.</w:t>
      </w:r>
    </w:p>
    <w:p w:rsidR="00786B3E" w:rsidRDefault="00786B3E" w:rsidP="00786B3E"/>
    <w:p w:rsidR="00786B3E" w:rsidRDefault="00786B3E" w:rsidP="00786B3E">
      <w:pPr>
        <w:pStyle w:val="P68B1DB1-Normal1"/>
      </w:pPr>
      <w:r>
        <w:t>Pregunta 2</w:t>
      </w:r>
    </w:p>
    <w:p w:rsidR="00786B3E" w:rsidRDefault="00786B3E" w:rsidP="00786B3E">
      <w:r>
        <w:t>Cómo se gestionará el régimen de ayudas estatales para STEP: ¿habrá una exención o un régimen específico? ¿O tendrá que ajustarse a los regímenes existentes?</w:t>
      </w:r>
    </w:p>
    <w:p w:rsidR="00786B3E" w:rsidRDefault="00786B3E" w:rsidP="00786B3E">
      <w:pPr>
        <w:pStyle w:val="P68B1DB1-Normal1"/>
      </w:pPr>
      <w:r>
        <w:t>Respuesta a la pregunta 2</w:t>
      </w:r>
    </w:p>
    <w:p w:rsidR="00786B3E" w:rsidRDefault="00786B3E" w:rsidP="00786B3E">
      <w:r>
        <w:t>La ayuda concedida en el marco de STEP que se considera ayuda estatal se tratará del mismo modo que otros regímenes de ayudas estatales o ayudas individuales. Las ayudas estatales deben notificarse (o estar cubiertas por un régimen notificado) a menos que estén exentas de notificación en virtud de un Reglamento de exención existente.</w:t>
      </w:r>
    </w:p>
    <w:p w:rsidR="00786B3E" w:rsidRDefault="00786B3E" w:rsidP="00786B3E">
      <w:pPr>
        <w:pStyle w:val="P68B1DB1-Normal1"/>
      </w:pPr>
      <w:r>
        <w:t> </w:t>
      </w:r>
    </w:p>
    <w:p w:rsidR="00786B3E" w:rsidRDefault="00786B3E" w:rsidP="00786B3E">
      <w:pPr>
        <w:pStyle w:val="P68B1DB1-Normal1"/>
      </w:pPr>
      <w:r>
        <w:t>Pregunta 3</w:t>
      </w:r>
    </w:p>
    <w:p w:rsidR="00786B3E" w:rsidRDefault="00786B3E" w:rsidP="00786B3E">
      <w:r>
        <w:t>En el contexto de las normas sobre ayudas públicas (ayudas regionales a la inversión) y de las normas sobre la ayuda del FEDER a las inversiones en zonas asistidas que cumplan las condiciones establecidas en el artículo 107, sección 3, letra a), del Tratado, las ayudas podrán concederse para una inversión inicial en cualquier forma, independientemente del tamaño de la empresa del beneficiario y de conformidad con el artículo 5 del Reglamento del FEDER, podrán concederse ayudas para inversiones productivas en empresas distintas de las pymes, en el caso de los proyectos a que se refiere el artículo 5, letra a), letras a) a d).</w:t>
      </w:r>
    </w:p>
    <w:p w:rsidR="00786B3E" w:rsidRDefault="00786B3E" w:rsidP="00786B3E">
      <w:r>
        <w:t>— si el apoyo a grandes empresas en el marco de STEP, si la ayuda constituye una ayuda pública — ayuda a la inversión regional para una inversión inicial de carácter productivo (no será ayuda para proyectos de investigación), se ajustará a lo dispuesto en el citado artículo 5 del Reglamento del FEDER, lo que significa que dichas entidades no tendrán que garantizar la cooperación obligatoria con las pymes.</w:t>
      </w:r>
    </w:p>
    <w:p w:rsidR="00786B3E" w:rsidRDefault="00786B3E" w:rsidP="00786B3E">
      <w:r>
        <w:t>— si los proyectos de investigación y desarrollo cubiertos por ayudas públicas del FEDER están autorizados en el marco de STEP, ¿será obligatorio garantizar la cooperación entre las grandes empresas y las pymes, o se prevé alguna excepción a este respecto?</w:t>
      </w:r>
    </w:p>
    <w:p w:rsidR="00786B3E" w:rsidRDefault="00786B3E" w:rsidP="00786B3E">
      <w:r>
        <w:lastRenderedPageBreak/>
        <w:t>— ¿se prevén excepciones a este respecto a las condiciones para la acumulación de ayudas establecidas en el artículo 8 del Reglamento (CE) no 651/2014 (en el caso de los proyectos cubiertos por ayudas públicas)?</w:t>
      </w:r>
    </w:p>
    <w:p w:rsidR="00786B3E" w:rsidRDefault="00786B3E" w:rsidP="00786B3E">
      <w:pPr>
        <w:pStyle w:val="P68B1DB1-Normal1"/>
      </w:pPr>
      <w:r>
        <w:t>Respuesta a la pregunta 3</w:t>
      </w:r>
    </w:p>
    <w:p w:rsidR="00786B3E" w:rsidRDefault="00786B3E" w:rsidP="00786B3E">
      <w:r>
        <w:t>Con arreglo a las normas sobre ayudas estatales, el apoyo a las inversiones iniciales puede concederse a grandes empresas en zonas «a» con arreglo a las Directrices sobre ayudas regionales y a la sección de ayudas regionales del RGEC (en aras de la exhaustividad, dicha ayuda también puede concederse en zonas «c», siempre que la inversión inicial cree nuevas actividades económicas). Además, la sección 2.8 del TCTF prevé, para algunos de los sectores a los que se dirige el Reglamento STEP (a saber, los sectores estratégicos para la transición hacia una economía de cero emisiones netas, tal como se definen en el TCTF), la posibilidad de apoyar las inversiones iniciales en grandes empresas más allá de las zonas asistidas, siempre que se cumplan todas las condiciones correspondientes.</w:t>
      </w:r>
    </w:p>
    <w:p w:rsidR="00786B3E" w:rsidRDefault="00786B3E" w:rsidP="00786B3E">
      <w:r>
        <w:t>Entendemos que la pregunta se refiere más bien a las condiciones para el uso del FEDER para apoyar inversiones productivas (o inversiones iniciales) en grandes empresas en zonas «a» [tal como se definen en el artículo 107, apartado 3, letra a), del TFUE]. Con arreglo a las normas sobre ayudas estatales, las ayudas a la inversión a grandes empresas en zonas asistidas no están supeditadas ni vinculadas a su cooperación con las PYME. De conformidad con el artículo 5, apartado 2, del Reglamento del FEDER, las inversiones productivas en grandes empresas podrán recibir apoyo si están incluidas en uno de los apartados a) a e) del presente artículo, en función del objetivo específico aplicable de la inversión. Si la ayuda del FEDER se concede a una gran empresa en el marco del objetivo específico de STEP, se aplican las condiciones del artículo 5, apartado 2, letra e), y no se requiere la cooperación entre grandes empresas y pymes. Puede ser necesaria la cooperación con las pymes para que las grandes empresas reciban determinadas ayudas estatales relacionadas con la investigación y el desarrollo (por ejemplo, en virtud del artículo 29 del RGEC sobre innovación en materia de procesos y organización); no hay planes para aplicar excepciones a este respecto.</w:t>
      </w:r>
    </w:p>
    <w:p w:rsidR="00786B3E" w:rsidRDefault="00786B3E" w:rsidP="00786B3E">
      <w:r>
        <w:t>Existe un límite de acumulación de financiación de la Unión y nacional con arreglo a las normas sobre ayudas estatales (y también con arreglo a las normas sobre fondos de la UE) para evitar una compensación excesiva. La financiación pública debe ser necesaria para permitir el desarrollo del proyecto comercial, mientras que no se realizaría en ausencia de dicha financiación pública (efecto incentivador). Al mismo tiempo, es importante que esta financiación pública no excluya la inversión privada. Por lo tanto, no está previsto establecer excepciones a las normas establecidas en el artículo 8 del RGEC en el caso de los proyectos STEP.</w:t>
      </w:r>
    </w:p>
    <w:p w:rsidR="00786B3E" w:rsidRDefault="00786B3E" w:rsidP="00786B3E"/>
    <w:p w:rsidR="00786B3E" w:rsidRDefault="00786B3E" w:rsidP="00786B3E">
      <w:pPr>
        <w:pStyle w:val="P68B1DB1-Normal1"/>
      </w:pPr>
      <w:r>
        <w:t>Pregunta 4</w:t>
      </w:r>
    </w:p>
    <w:p w:rsidR="00786B3E" w:rsidRDefault="00786B3E" w:rsidP="00786B3E">
      <w:r>
        <w:t>En el caso de los proyectos de inversión empresarial en el ámbito de la digitalización para los proyectos STEP, la mayoría de las veces se aplicarán ayudas regionales a la inversión, para las que, de conformidad con el artículo 14 del Reglamento (CE) n.º 651/2014, el requisito de aportar al proyecto una contribución propia mínima del 25 %, libre de fondos públicos.</w:t>
      </w:r>
    </w:p>
    <w:p w:rsidR="00786B3E" w:rsidRDefault="00786B3E" w:rsidP="00786B3E">
      <w:r>
        <w:lastRenderedPageBreak/>
        <w:t>— ¿se prevé algún cambio en el alcance de la acumulación de ayudas que permita, en el caso de los proyectos STEP financiados mediante ayudas regionales a la inversión, la acumulación con fondos de otros programas a una intensidad de ayuda superior a la de acuerdo con el mapa de ayudas regionales y la acumulación que supere la división actual en fondos del FEDER y la contribución propia necesaria al IRC al nivel del 25 % del gasto subvencionable?</w:t>
      </w:r>
    </w:p>
    <w:p w:rsidR="00786B3E" w:rsidRDefault="00786B3E" w:rsidP="00786B3E">
      <w:r>
        <w:t>— ¿se prevén, en términos generales, cambios en el ámbito de aplicación del Reglamento (CE) n.º 651/2014 en lo que respecta a la posible ayuda pública a los proyectos STEP, teniendo en cuenta que no todas las inversiones en el citado Reglamento incluirán una base jurídica adecuada y favorable para la concesión de la ayuda, pero la concesión de ayudas de minimis puede resultar imposible debido al límite de las ayudas de minimis y otras exclusiones, si está previsto introducir excepciones en lo que respecta a las condiciones especificadas en los artículos individuales del Reglamento (CE) no 651/2014 (en particular, los artículos 1, 25, 13 y 14)?</w:t>
      </w:r>
    </w:p>
    <w:p w:rsidR="00786B3E" w:rsidRDefault="00786B3E" w:rsidP="00786B3E">
      <w:pPr>
        <w:pStyle w:val="P68B1DB1-Normal1"/>
      </w:pPr>
      <w:r>
        <w:t>Respuesta a la pregunta 4</w:t>
      </w:r>
    </w:p>
    <w:p w:rsidR="00786B3E" w:rsidRDefault="00786B3E" w:rsidP="00786B3E">
      <w:r>
        <w:t>Cuando un proyecto de inversión apoyado por STEP constituya ayuda estatal que pueda quedar exenta en virtud del artículo 14 del RGEC (ayudas regionales a la inversión), el requisito de una contribución propia mínima del 25 % por parte del beneficiario debe cumplirse y tenerse en cuenta en el cálculo de la intensidad máxima de la ayuda.</w:t>
      </w:r>
    </w:p>
    <w:p w:rsidR="00786B3E" w:rsidRDefault="00786B3E" w:rsidP="00786B3E">
      <w:r>
        <w:t>La acumulación con financiación pública procedente de una fuente gestionada de forma centralizada sigue siendo posible en un proyecto, pero el proyecto debe seguir cumpliendo la condición de que el beneficiario aporte una contribución del 25 % al proyecto libre de ayuda pública.</w:t>
      </w:r>
    </w:p>
    <w:p w:rsidR="00786B3E" w:rsidRDefault="00786B3E" w:rsidP="00786B3E">
      <w:r>
        <w:t>Por lo que se refiere a las ayudas regionales a la inversión (de conformidad con el artículo 14 del RGEC y las Directrices sobre las ayudas estatales de finalidad regional), la Comisión ha introducido la posibilidad de que los Estados miembros aumenten la intensidad de la ayuda para los proyectos STEP hasta un 5 % de los costes subvencionables en las zonas «c» y un 10 % en las zonas «a», a fin de mantener el objetivo de la política de cohesión permitiendo un mayor apoyo en las zonas más desfavorecidas. Estas intensidades máximas de ayuda aumentadas formarán parte de los mapas de ayudas regionales y, por tanto, también se aplicarán a los proyectos ejecutados en virtud del RGEC.</w:t>
      </w:r>
    </w:p>
    <w:p w:rsidR="00786B3E" w:rsidRDefault="00786B3E" w:rsidP="00786B3E">
      <w:r>
        <w:t>No hay planes para seguir modificando el RGEC en vista de STEP.</w:t>
      </w:r>
    </w:p>
    <w:p w:rsidR="00786B3E" w:rsidRDefault="00786B3E" w:rsidP="00786B3E"/>
    <w:p w:rsidR="00786B3E" w:rsidRDefault="00786B3E" w:rsidP="00786B3E">
      <w:pPr>
        <w:pStyle w:val="P68B1DB1-Normal1"/>
      </w:pPr>
      <w:r>
        <w:t>Pregunta 5</w:t>
      </w:r>
    </w:p>
    <w:p w:rsidR="00786B3E" w:rsidRDefault="00786B3E" w:rsidP="00786B3E">
      <w:r>
        <w:t xml:space="preserve">En cuanto a la posibilidad de financiar proyectos hasta el 100 % y las normas sobre ayudas estatales: ¿habrá algún cambio preparado a este respecto, </w:t>
      </w:r>
      <w:r w:rsidR="00214B1C">
        <w:t xml:space="preserve">por ejemplo, </w:t>
      </w:r>
      <w:r>
        <w:t>en el Reglamento RGEC, o solo será posible con arreglo a las normas sobre ayudas de minimis, lo que implicaría una fuerte limitación de las cuotas?</w:t>
      </w:r>
    </w:p>
    <w:p w:rsidR="00786B3E" w:rsidRDefault="00786B3E" w:rsidP="00786B3E">
      <w:pPr>
        <w:pStyle w:val="P68B1DB1-Normal1"/>
      </w:pPr>
      <w:r>
        <w:t>Respuesta a la pregunta 5</w:t>
      </w:r>
    </w:p>
    <w:p w:rsidR="00786B3E" w:rsidRDefault="00786B3E" w:rsidP="00786B3E">
      <w:r>
        <w:t xml:space="preserve">Los principios establecidos en el Tratado se aplican a STEP del mismo modo que a otros ámbitos políticos. De conformidad con el TFUE, las ayudas estatales deben seguir siendo excepcionales y limitarse al mínimo necesario para los proyectos que contribuyan a </w:t>
      </w:r>
      <w:r>
        <w:lastRenderedPageBreak/>
        <w:t>determinados objetivos que deban emprenderse. El artículo 8 del RGEC establece normas de acumulación para evitar una compensación excesiva. Es importante que la financiación pública no excluya la inversión privada. El artículo 8 del RGEC permite una cobertura elevada de los costes subvencionables en caso de cofinanciación con fondos gestionados de forma centralizada. No está previsto modificar el artículo 8 del RGEC. De minimis es una alternativa al RGEC en casos adecuados y, de hecho, permite excepcionalmente cubrir el 100 % de los costes de un proyecto.</w:t>
      </w:r>
    </w:p>
    <w:p w:rsidR="00786B3E" w:rsidRDefault="00786B3E" w:rsidP="00786B3E"/>
    <w:p w:rsidR="00786B3E" w:rsidRDefault="00786B3E" w:rsidP="00786B3E">
      <w:pPr>
        <w:pStyle w:val="P68B1DB1-Normal1"/>
      </w:pPr>
      <w:r>
        <w:t>Pregunta 6</w:t>
      </w:r>
    </w:p>
    <w:p w:rsidR="00786B3E" w:rsidRDefault="00786B3E" w:rsidP="00786B3E">
      <w:r>
        <w:t>Parece existir una brecha entre las disposiciones del Reglamento STEP y el Reglamento RGEC relativas al Sello de Excelencia, en concreto el nuevo tipo de sello introducido por el Reglamento STEP. Además de la introducción del sello, también son necesarias modificaciones del Reglamento (CE) no 651/2014 (RGEC) debido a que los programas operativos nacionales se benefician de subvenciones públicas en virtud de dicho Reglamento. El Reglamento 651 contiene disposiciones que solo tienen en cuenta el Sello de Excelencia en el contexto del programa de educación superior y no será posible aplicar excepciones específicas a proyectos con sello de soberanía.</w:t>
      </w:r>
    </w:p>
    <w:p w:rsidR="00786B3E" w:rsidRDefault="00786B3E" w:rsidP="00786B3E">
      <w:pPr>
        <w:pStyle w:val="P68B1DB1-Normal1"/>
      </w:pPr>
      <w:r>
        <w:t>Respuesta a la pregunta 6</w:t>
      </w:r>
    </w:p>
    <w:p w:rsidR="00786B3E" w:rsidRDefault="00786B3E" w:rsidP="00786B3E">
      <w:r>
        <w:t>Si bien el RGEC no establece condiciones específicas para eximir a los precintos de soberanía concedidos en virtud del Reglamento STEP de la notificación a la Comisión, los Estados miembros tienen derecho a aplicar cualquier artículo del RGEC a un proyecto, siempre que cumpla las condiciones establecidas en dicho artículo. Por lo tanto, la ausencia de una disposición específica no debe impedir la aplicación del RGEC a los proyectos a los que se haya concedido un sello de soberanía STEP.</w:t>
      </w:r>
    </w:p>
    <w:p w:rsidR="00786B3E" w:rsidRDefault="00786B3E" w:rsidP="00786B3E">
      <w:pPr>
        <w:pStyle w:val="P68B1DB1-Normal1"/>
      </w:pPr>
      <w:r>
        <w:t> </w:t>
      </w:r>
    </w:p>
    <w:p w:rsidR="00786B3E" w:rsidRDefault="00786B3E" w:rsidP="00786B3E">
      <w:pPr>
        <w:pStyle w:val="P68B1DB1-Normal1"/>
      </w:pPr>
      <w:r>
        <w:t>Pregunta 7</w:t>
      </w:r>
    </w:p>
    <w:p w:rsidR="00786B3E" w:rsidRDefault="00786B3E" w:rsidP="00786B3E">
      <w:r>
        <w:t xml:space="preserve">En el caso de la asignación de fondos del FEDER para proyectos STEP y de la posibilidad de combinar la ayuda con fondos de otros presupuestos (por ejemplo, el Mecanismo de Recuperación y Resiliencia, </w:t>
      </w:r>
      <w:proofErr w:type="spellStart"/>
      <w:r>
        <w:t>REPowerEU</w:t>
      </w:r>
      <w:proofErr w:type="spellEnd"/>
      <w:r>
        <w:t>, InvestEU, el programa Europa Digital, Horizonte Europa, siempre, por supuesto, la falta de doble financiación de determinados gastos), abordar la cuestión de examinar la incidencia del efecto incentivador: los proyectos del FEDER para empresas estarán cubiertos por ayudas públicas sobre la base de los reglamentos pertinentes del Reglamento (CE) n.º 651/2014; por lo tanto, el proyecto debe cumplir el efecto incentivador, que puede ser un obstáculo significativo para combinar financiación de diversos programas en relación con una inversión global que se financiará con diversas fuentes de apoyo a proyectos de STEP, por lo que está previsto a nivel de la normativa legal, por ejemplo, excluir la obligación de cumplir el efecto incentivador para los proyectos STEP en el caso de la concesión de ayudas públicas con cargo a fondos del FEDER, con el fin de permitir combinar el apoyo de varios programas, sin vulnerar el efecto incentivador antes mencionado.</w:t>
      </w:r>
    </w:p>
    <w:p w:rsidR="00786B3E" w:rsidRDefault="00786B3E" w:rsidP="00786B3E">
      <w:pPr>
        <w:pStyle w:val="P68B1DB1-Normal1"/>
      </w:pPr>
      <w:r>
        <w:t>Respuesta a la pregunta 7</w:t>
      </w:r>
    </w:p>
    <w:p w:rsidR="00786B3E" w:rsidRDefault="00786B3E" w:rsidP="00786B3E">
      <w:r>
        <w:t xml:space="preserve">La pregunta no está clara, </w:t>
      </w:r>
      <w:r w:rsidR="002F3719">
        <w:t xml:space="preserve">ya que, </w:t>
      </w:r>
      <w:r>
        <w:t xml:space="preserve">por qué el efecto incentivador no debe aplicarse a un proyecto STEP que necesita combinar varias fuentes de financiación. El efecto </w:t>
      </w:r>
      <w:r>
        <w:lastRenderedPageBreak/>
        <w:t>incentivador es una condición esencial para conceder ayudas estatales y no puede derogarse.</w:t>
      </w:r>
    </w:p>
    <w:p w:rsidR="00786B3E" w:rsidRDefault="00786B3E" w:rsidP="00786B3E"/>
    <w:p w:rsidR="00786B3E" w:rsidRDefault="00786B3E" w:rsidP="00786B3E">
      <w:pPr>
        <w:pStyle w:val="P68B1DB1-Normal1"/>
      </w:pPr>
      <w:r>
        <w:t>Pregunta 8</w:t>
      </w:r>
    </w:p>
    <w:p w:rsidR="00786B3E" w:rsidRDefault="00786B3E" w:rsidP="00786B3E">
      <w:r>
        <w:t>El sello de soberanía introducido en el marco del Reglamento STEP tiene por objeto aumentar la flexibilidad a la hora de combinar instrumentos de apoyo, pero también evitar la posible doble financiación. En este contexto, la posibilidad de solicitar ayuda de diferentes programas para el mismo proyecto parece lógica (aunque no para los mismos costes, teniendo en cuenta la prohibición de la doble financiación de los gastos); además, el contenido del Reglamento STEP implica directamente la posibilidad de acumular y combinar ayuda en el marco de diferentes programas («el sello de soberanía también debe apoyar un mejor acceso a la financiación de la Unión, en particular facilitando la financiación acumulativa o combinada de varios instrumentos de la Unión» — considerando 11 y artículo 4 del Reglamento STEP).</w:t>
      </w:r>
    </w:p>
    <w:p w:rsidR="00786B3E" w:rsidRDefault="00786B3E" w:rsidP="00786B3E">
      <w:r>
        <w:t>Se ruega aclaren si las condiciones para la acumulación de ayudas establecidas en el artículo 8 del Reglamento (CE) no 651/2014 (en el caso de los proyectos cubiertos por ayudas públicas), ¿están previstas excepciones a este respecto?</w:t>
      </w:r>
    </w:p>
    <w:p w:rsidR="00786B3E" w:rsidRDefault="00786B3E" w:rsidP="00786B3E">
      <w:pPr>
        <w:pStyle w:val="P68B1DB1-Normal1"/>
      </w:pPr>
      <w:r>
        <w:t>Respuesta a la pregunta 8</w:t>
      </w:r>
    </w:p>
    <w:p w:rsidR="00786B3E" w:rsidRDefault="00786B3E" w:rsidP="00786B3E">
      <w:r>
        <w:t>Los principios establecidos en el Tratado se aplican a STEP del mismo modo que a otros ámbitos políticos. De conformidad con el TFUE, las ayudas estatales deben seguir siendo excepcionales y limitarse al mínimo necesario para los proyectos que contribuyan a determinados objetivos que deban emprenderse. El artículo 8 del RGEC establece normas de acumulación para evitar una compensación excesiva. Es importante que esta financiación pública no excluya la inversión privada. El artículo 8 del RGEC permite una cobertura elevada de los costes subvencionables en caso de cofinanciación con fondos gestionados de forma centralizada. No está previsto modificar el artículo 8 del RGEC. De minimis es una alternativa al RGEC en casos adecuados y, de hecho, permite excepcionalmente cubrir el 100 % de los costes de un proyecto.</w:t>
      </w:r>
    </w:p>
    <w:p w:rsidR="00786B3E" w:rsidRDefault="00786B3E" w:rsidP="00786B3E"/>
    <w:p w:rsidR="00786B3E" w:rsidRDefault="00786B3E" w:rsidP="00786B3E"/>
    <w:p w:rsidR="00786B3E" w:rsidRDefault="00786B3E" w:rsidP="00786B3E">
      <w:pPr>
        <w:pStyle w:val="Ttulo1"/>
      </w:pPr>
      <w:bookmarkStart w:id="747" w:name="scroll-bookmark-861"/>
      <w:bookmarkStart w:id="748" w:name="scroll-bookmark-862"/>
      <w:bookmarkEnd w:id="747"/>
      <w:r>
        <w:t>QA00316 — Códigos del mecanismo de ejecución territorial para proyectos escalonados en virtud del artículo 118 bis del RDC 2021-2027</w:t>
      </w:r>
      <w:bookmarkEnd w:id="748"/>
    </w:p>
    <w:p w:rsidR="00786B3E" w:rsidRDefault="00786B3E" w:rsidP="00786B3E">
      <w:r>
        <w:rPr>
          <w:noProof/>
          <w:lang w:val="es-ES"/>
        </w:rPr>
        <w:drawing>
          <wp:inline distT="0" distB="0" distL="0" distR="0" wp14:anchorId="73B45675" wp14:editId="6865C581">
            <wp:extent cx="152435" cy="152435"/>
            <wp:effectExtent l="0" t="0" r="0" b="0"/>
            <wp:docPr id="101499" name="Imagen 1014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118 bis del RDC</w:t>
      </w:r>
    </w:p>
    <w:p w:rsidR="00786B3E" w:rsidRDefault="00786B3E" w:rsidP="00786B3E">
      <w:r>
        <w:t>Artículo 73 del RDC,</w:t>
      </w:r>
    </w:p>
    <w:p w:rsidR="00786B3E" w:rsidRDefault="00786B3E" w:rsidP="00786B3E">
      <w:r>
        <w:t>Artículo 28 del RDC</w:t>
      </w:r>
    </w:p>
    <w:p w:rsidR="00786B3E" w:rsidRDefault="00786B3E" w:rsidP="00786B3E">
      <w:r>
        <w:t>Artículo 29 del RDC</w:t>
      </w:r>
    </w:p>
    <w:p w:rsidR="00786B3E" w:rsidRDefault="00786B3E" w:rsidP="00786B3E">
      <w:r>
        <w:lastRenderedPageBreak/>
        <w:t>Artículo 32 del RDC</w:t>
      </w:r>
    </w:p>
    <w:p w:rsidR="00786B3E" w:rsidRDefault="00786B3E" w:rsidP="00786B3E">
      <w:r>
        <w:t>Artículo 11 del FEDER/FC</w:t>
      </w:r>
    </w:p>
    <w:p w:rsidR="00786B3E" w:rsidRDefault="00786B3E" w:rsidP="00786B3E">
      <w:r>
        <w:rPr>
          <w:noProof/>
          <w:lang w:val="es-ES"/>
        </w:rPr>
        <w:drawing>
          <wp:inline distT="0" distB="0" distL="0" distR="0" wp14:anchorId="2356E192" wp14:editId="5718739B">
            <wp:extent cx="152435" cy="152435"/>
            <wp:effectExtent l="0" t="0" r="0" b="0"/>
            <wp:docPr id="101501" name="Imagen 1015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De conformidad con lo dispuesto en el artículo 118 bis, entendemos que, si los proyectos escalonados subvencionables de 2014-2020 deben ejecutarse en el marco del OP 5, deberán vincularse a tipos de acciones programadas en el marco de los OE 5.1 o 5.2, pero no necesariamente cumplir las disposiciones del desarrollo territorial integrado (artículo 28 del RDC 2021-2027). Por lo que se refiere al mecanismo de ejecución territorial y los códigos territoriales focalizados, ¿significa que los proyectos escalonados financiados en el marco del OP 5 que no estén vinculados al desarrollo territorial integrado (artículo 28 del RDC 2021-2027) pueden tener otros códigos (es decir, 25 a 33) distintos de los permitidos en el OP5 (es decir, 01 a 24)?</w:t>
      </w:r>
    </w:p>
    <w:p w:rsidR="00786B3E" w:rsidRDefault="00786B3E" w:rsidP="00786B3E"/>
    <w:p w:rsidR="00786B3E" w:rsidRDefault="00786B3E" w:rsidP="00786B3E">
      <w:pPr>
        <w:pStyle w:val="P68B1DB1-Normal1"/>
      </w:pPr>
      <w:r>
        <w:t>Respuesta.</w:t>
      </w:r>
    </w:p>
    <w:p w:rsidR="00786B3E" w:rsidRDefault="00786B3E" w:rsidP="00786B3E">
      <w:r>
        <w:t xml:space="preserve">En consonancia con la respuesta facilitada en </w:t>
      </w:r>
      <w:r w:rsidR="0054633B">
        <w:t>la QA</w:t>
      </w:r>
      <w:r>
        <w:t>00204,</w:t>
      </w:r>
      <w:r>
        <w:rPr>
          <w:b/>
        </w:rPr>
        <w:t xml:space="preserve"> </w:t>
      </w:r>
      <w:r>
        <w:t>teniendo en cuenta la excepción a lo dispuesto en el artículo 73, apartado 1, y (2) del RDC, las operaciones escalonadas en virtud del artículo 118 bis del RDC son las operaciones que se han seleccionado de conformidad con las normas aplicables en virtud del RDC y los Reglamentos específicos de cada Fondo para el período 2014-2020. El ámbito de subvencionabilidad aplicable a estas operaciones es el del RDC y de los Reglamentos específicos de cada Fondo para el período 2014-2020. Las normas aplicables a la ejecución de la segunda fase de las operaciones escalonadas con arreglo al artículo 118 bis son las del período de programación 2021-2027.</w:t>
      </w:r>
    </w:p>
    <w:p w:rsidR="00786B3E" w:rsidRDefault="00786B3E" w:rsidP="00786B3E">
      <w:r>
        <w:t xml:space="preserve">Sobre la base de lo anterior, la obligación consagrada en el artículo 3, apartado 1, letra e), párrafo segundo, del Reglamento del FEDER/FC de prestar ayuda en el marco del OP 5 a través de estrategias de desarrollo territorial o local a través de los formularios establecidos en el artículo 28 del RDC, no se aplica a la segunda fase de las operaciones escalonadas de conformidad con el artículo 118 bis del RDC, </w:t>
      </w:r>
      <w:r w:rsidR="002F3719">
        <w:t xml:space="preserve">ya que, </w:t>
      </w:r>
      <w:r>
        <w:t>esta obligación puede considerarse incluida en el ámbito de aplicación de la subvencionabilidad.</w:t>
      </w:r>
    </w:p>
    <w:p w:rsidR="00786B3E" w:rsidRDefault="00786B3E" w:rsidP="00786B3E">
      <w:r>
        <w:t>Por el contrario, como se explica en el considerando (10) del Reglamento (UE) 2022/2039 (modificación del RDC a efectos de FAST-CARE), el apoyo a operaciones escalonadas con arreglo al artículo 118 bis del RDC no debe afectar a las obligaciones de los Estados miembros de cumplir los requisitos de concentración temática y los objetivos de contribución climática. Por lo tanto, dado que el nivel mínimo de recursos para el desarrollo urbano sostenible establecido en el artículo 11 del Reglamento FEDER/FC se considera uno de los requisitos de concentración, sí se aplica a la segunda fase de dichas operaciones y debe ser objeto de seguimiento a través de los códigos del mecanismo de ejecución territorial establecidos en el anexo I del RDC.</w:t>
      </w:r>
    </w:p>
    <w:p w:rsidR="00786B3E" w:rsidRDefault="00786B3E" w:rsidP="00786B3E">
      <w:r>
        <w:t>El cuadro 3 del anexo I del RDC enumera los códigos de 01 a 24 vinculados al mecanismo de entrega territorial utilizado para la notificación en el marco del OP 5.</w:t>
      </w:r>
    </w:p>
    <w:p w:rsidR="00786B3E" w:rsidRDefault="00786B3E" w:rsidP="00786B3E">
      <w:r>
        <w:lastRenderedPageBreak/>
        <w:t xml:space="preserve">En el caso de los códigos 25 a 33, se indica que deben utilizarse para </w:t>
      </w:r>
      <w:r>
        <w:rPr>
          <w:i/>
        </w:rPr>
        <w:t xml:space="preserve">«Otros enfoques adoptados en el marco de objetivos políticos distintos del objetivo político 5 y no en forma de inversión territorial integrada o en forma de desarrollo local participativo» </w:t>
      </w:r>
      <w:r>
        <w:t>(nota a pie de página 28 del cuadro 3 del anexo I del RDC).</w:t>
      </w:r>
    </w:p>
    <w:p w:rsidR="00786B3E" w:rsidRDefault="00786B3E" w:rsidP="00786B3E">
      <w:r>
        <w:t>Por lo tanto, las operaciones escalonadas financiadas en el marco del OP 5 deben consignarse en los códigos 01 a 24.</w:t>
      </w:r>
    </w:p>
    <w:p w:rsidR="00786B3E" w:rsidRDefault="00786B3E" w:rsidP="00786B3E">
      <w:r>
        <w:t>No obstante, de conformidad con el artículo 11, apartado </w:t>
      </w:r>
      <w:proofErr w:type="gramStart"/>
      <w:r>
        <w:t>2,</w:t>
      </w:r>
      <w:r w:rsidRPr="00767CF5">
        <w:t>párrafos</w:t>
      </w:r>
      <w:proofErr w:type="gramEnd"/>
      <w:r>
        <w:t xml:space="preserve"> 1.º y 2.º,</w:t>
      </w:r>
      <w:r w:rsidRPr="00767CF5">
        <w:t>del</w:t>
      </w:r>
      <w:r>
        <w:t xml:space="preserve"> Reglamento FEDER/FC, los recursos del FEDER deben asignarse al desarrollo urbano sostenible en una o varias de las formas a que se refiere el artículo 28 del RDC, respetando al mismo tiempo el requisito de implicar a las autoridades u organismos territoriales en la selección de operaciones de conformidad con los artículos 29 (3) (d) y 32 (3) del RDC. Por lo tanto, las operaciones escalonadas financiadas en el marco del OP 5 deben utilizar los códigos 9 a 3, 11 a 17 y 19 a 1 (contabilizados a efectos de asignación) únicamente cuando las autoridades u organismos territoriales pertinentes hayan seleccionado operaciones o hayan participado en la selección de operaciones.</w:t>
      </w:r>
    </w:p>
    <w:p w:rsidR="00786B3E" w:rsidRDefault="00786B3E" w:rsidP="00786B3E"/>
    <w:p w:rsidR="00786B3E" w:rsidRDefault="00786B3E" w:rsidP="00786B3E"/>
    <w:p w:rsidR="00786B3E" w:rsidRDefault="00786B3E" w:rsidP="00786B3E"/>
    <w:p w:rsidR="00786B3E" w:rsidRDefault="00786B3E" w:rsidP="00786B3E">
      <w:pPr>
        <w:pStyle w:val="Ttulo1"/>
      </w:pPr>
      <w:bookmarkStart w:id="749" w:name="scroll-bookmark-863"/>
      <w:bookmarkStart w:id="750" w:name="scroll-bookmark-864"/>
      <w:bookmarkEnd w:id="749"/>
      <w:r>
        <w:t>QA00315 — Recopilación y registro de los datos sobre los titulares reales de los beneficiarios de la financiación de la Unión</w:t>
      </w:r>
      <w:bookmarkEnd w:id="750"/>
    </w:p>
    <w:p w:rsidR="00786B3E" w:rsidRDefault="00786B3E" w:rsidP="00786B3E">
      <w:r>
        <w:rPr>
          <w:noProof/>
          <w:lang w:val="es-ES"/>
        </w:rPr>
        <w:drawing>
          <wp:inline distT="0" distB="0" distL="0" distR="0" wp14:anchorId="6017EBC8" wp14:editId="10BD35C5">
            <wp:extent cx="152435" cy="152435"/>
            <wp:effectExtent l="0" t="0" r="0" b="0"/>
            <wp:docPr id="101503" name="Imagen 1015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w:t>
      </w:r>
    </w:p>
    <w:p w:rsidR="00786B3E" w:rsidRDefault="00786B3E" w:rsidP="00786B3E">
      <w:r>
        <w:t>Artículo 72, apartado 1, letra e), del RDC </w:t>
      </w:r>
    </w:p>
    <w:p w:rsidR="00786B3E" w:rsidRDefault="00786B3E" w:rsidP="00786B3E">
      <w:r>
        <w:t>Anexo XVII </w:t>
      </w:r>
    </w:p>
    <w:p w:rsidR="00786B3E" w:rsidRDefault="00786B3E" w:rsidP="00786B3E">
      <w:r>
        <w:rPr>
          <w:noProof/>
          <w:lang w:val="es-ES"/>
        </w:rPr>
        <w:drawing>
          <wp:inline distT="0" distB="0" distL="0" distR="0" wp14:anchorId="45C47F70" wp14:editId="1E59C05C">
            <wp:extent cx="152435" cy="152435"/>
            <wp:effectExtent l="0" t="0" r="0" b="0"/>
            <wp:docPr id="101505" name="Imagen 1015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GR</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A continuación, le remito las preguntas planteadas por las autoridades griegas en relación con la recogida y el registro de los datos sobre los titulares reales de los beneficiarios de la financiación de la Unión:</w:t>
      </w:r>
    </w:p>
    <w:p w:rsidR="00786B3E" w:rsidRDefault="00786B3E" w:rsidP="00786B3E">
      <w:r>
        <w:t xml:space="preserve">A raíz de las obligaciones derivadas del RDC 2021-2027 para la recogida y el registro de datos sobre los titulares reales de los beneficiarios de la financiación de la Unión, el Servicio Especial griego de Apoyo Institucional y Sistemas de Información, como responsable del Sistema de Gestión y Control (SGC) para los programas 2021-2027, ha elaborado las directrices </w:t>
      </w:r>
      <w:r>
        <w:rPr>
          <w:i/>
        </w:rPr>
        <w:t xml:space="preserve">«O.I.1-2: Datos que deben registrarse y almacenarse electrónicamente en los titulares reales», </w:t>
      </w:r>
      <w:r>
        <w:t>dirigidos a las autoridades de gestión, los organismos intermedios y los beneficiarios,</w:t>
      </w:r>
      <w:r>
        <w:rPr>
          <w:i/>
        </w:rPr>
        <w:t xml:space="preserve"> </w:t>
      </w:r>
      <w:r>
        <w:t>teniendo en cuenta las disposiciones del RDC, los artículos 69 (2), 72 (1) (e) y el anexo XVII</w:t>
      </w:r>
      <w:r>
        <w:rPr>
          <w:i/>
        </w:rPr>
        <w:t>.</w:t>
      </w:r>
    </w:p>
    <w:p w:rsidR="00786B3E" w:rsidRDefault="00786B3E" w:rsidP="00786B3E">
      <w:r>
        <w:lastRenderedPageBreak/>
        <w:t>Las directrices mencionadas, que forman parte del SGC griego,</w:t>
      </w:r>
    </w:p>
    <w:p w:rsidR="00786B3E" w:rsidRDefault="00786B3E" w:rsidP="00786B3E">
      <w:pPr>
        <w:numPr>
          <w:ilvl w:val="0"/>
          <w:numId w:val="306"/>
        </w:numPr>
      </w:pPr>
      <w:r>
        <w:t>Grecia identificó la obligación de registrar los datos de titularidad real en nuestro sistema central de información de gestión (MIS) para los programas 2021-2027, con la obligación de registrar los datos de titularidad real en el registro central de titulares reales del Estado (es decir, si una entidad no está obligada a registrar los datos de la titularidad real en el Registro Central, tampoco está obligada a registrar los datos de la titularidad real en el MIS/OPS).</w:t>
      </w:r>
    </w:p>
    <w:p w:rsidR="00786B3E" w:rsidRDefault="00786B3E" w:rsidP="00786B3E">
      <w:pPr>
        <w:numPr>
          <w:ilvl w:val="0"/>
          <w:numId w:val="306"/>
        </w:numPr>
      </w:pPr>
      <w:r>
        <w:t>dado que la Ley 4557/2018 de lucha contra el blanqueo de capitales, que transpuso a nuestra legislación nacional la Directiva (UE) 2015/849, exime a determinadas entidades de la obligación pertinente (previa aprobación de la Dirección competente de la UE), estas entidades también estarán exentas del requisito de registrar los datos de titularidad real en el MIS/OPS.</w:t>
      </w:r>
    </w:p>
    <w:p w:rsidR="00786B3E" w:rsidRDefault="00786B3E" w:rsidP="00786B3E">
      <w:pPr>
        <w:numPr>
          <w:ilvl w:val="0"/>
          <w:numId w:val="306"/>
        </w:numPr>
      </w:pPr>
      <w:r>
        <w:t>La justificación anterior se ve respaldada por la redacción del RDC/anexo XVII/campo 3: «3. Información sobre todos los titulares reales del beneficiario</w:t>
      </w:r>
      <w:r>
        <w:rPr>
          <w:b/>
        </w:rPr>
        <w:t>, en su caso, tal como se definen en el artículo 3, apartado 6, de la Directiva (UE) 2015/849</w:t>
      </w:r>
      <w:r>
        <w:t>, a saber, [...]».  </w:t>
      </w:r>
    </w:p>
    <w:p w:rsidR="00786B3E" w:rsidRDefault="00786B3E" w:rsidP="00786B3E">
      <w:r>
        <w:t xml:space="preserve">En consecuencia, como se indica en las directrices adjuntas, </w:t>
      </w:r>
      <w:r>
        <w:rPr>
          <w:b/>
        </w:rPr>
        <w:t>las entidades</w:t>
      </w:r>
      <w:r>
        <w:t xml:space="preserve"> que </w:t>
      </w:r>
      <w:r>
        <w:rPr>
          <w:b/>
        </w:rPr>
        <w:t>no están obligadas a registrar los datos del titular real en el MIS (como en el Registro Central de BO</w:t>
      </w:r>
      <w:r>
        <w:t>) son:</w:t>
      </w:r>
    </w:p>
    <w:p w:rsidR="00786B3E" w:rsidRDefault="00786B3E" w:rsidP="00786B3E">
      <w:pPr>
        <w:numPr>
          <w:ilvl w:val="0"/>
          <w:numId w:val="307"/>
        </w:numPr>
      </w:pPr>
      <w:r>
        <w:rPr>
          <w:b/>
        </w:rPr>
        <w:t>los organismos gubernamentales generales, así como las entidades jurídicas propiedad al 100 % o bajo el control del Estado griego</w:t>
      </w:r>
      <w:r>
        <w:t>, ya que, en el caso de estas entidades, según el departamento de coordinación en materia de lucha contra el blanqueo de capitales del Ministerio de Economía y Finanzas, ya se cumple el requisito de plena transparencia. La justificación está disponible en el enlace (véase la sección B):</w:t>
      </w:r>
    </w:p>
    <w:p w:rsidR="00786B3E" w:rsidRDefault="00FC0FB1" w:rsidP="00786B3E">
      <w:hyperlink r:id="rId548" w:history="1">
        <w:r w:rsidR="00786B3E">
          <w:rPr>
            <w:rStyle w:val="Hipervnculo"/>
          </w:rPr>
          <w:t>httpson//www.gsis.gr/sites/default/files/2020-03/13-3-2020%20%20%CE%9C%CE%97%CE%A4%CE%A1%CE%A9%CE%9F%20%CE%A0%CE%94_%CF%85%CF%80%CF%8C%CF%87%CF%81%CE%B5%CE%BF%CE%B9%20%CE%BA%CE%B1%CF%84%CE%B1%CF%87%CF%8E%CF%81%CE%B9%CF%83%CE%B7%CF%82%205_3_20%20%CE%93%CE%99%CE%91%20%CE%91%CE%9D%CE%91%CE%A1%CE%A4%CE%97%CE%A3%CE%97.pdf</w:t>
        </w:r>
      </w:hyperlink>
      <w:r w:rsidR="00786B3E">
        <w:t>)</w:t>
      </w:r>
    </w:p>
    <w:p w:rsidR="00786B3E" w:rsidRDefault="00786B3E" w:rsidP="00786B3E">
      <w:pPr>
        <w:numPr>
          <w:ilvl w:val="0"/>
          <w:numId w:val="308"/>
        </w:numPr>
      </w:pPr>
      <w:r>
        <w:t>En el caso de una sociedad cotizada, los datos de registro incluyen el número de identificación a efectos del IVA o NIF, el identificador de entidad jurídica y los datos de contacto de la empresa.</w:t>
      </w:r>
    </w:p>
    <w:p w:rsidR="00786B3E" w:rsidRDefault="00786B3E" w:rsidP="00786B3E">
      <w:r>
        <w:t>Las autoridades griegas solicitan la confirmación de la DG REGIO sobre la corrección del enfoque antes mencionado.</w:t>
      </w:r>
    </w:p>
    <w:p w:rsidR="00786B3E" w:rsidRDefault="00786B3E" w:rsidP="00786B3E"/>
    <w:p w:rsidR="00786B3E" w:rsidRDefault="00786B3E" w:rsidP="00786B3E">
      <w:pPr>
        <w:pStyle w:val="P68B1DB1-Normal1"/>
      </w:pPr>
      <w:r>
        <w:t>Respuesta.</w:t>
      </w:r>
    </w:p>
    <w:p w:rsidR="00786B3E" w:rsidRDefault="00786B3E" w:rsidP="00786B3E">
      <w:r>
        <w:t>Como se indica en el campo de datos 3 del anexo XVII del RDC, la autoridad de gestión debe registrar en cada operación «</w:t>
      </w:r>
      <w:r>
        <w:rPr>
          <w:i/>
        </w:rPr>
        <w:t>información sobre todos los titulares reales del beneficiario, en su caso [</w:t>
      </w:r>
      <w:r>
        <w:t xml:space="preserve">...]».  Esta obligación debe entenderse de manera que, si el beneficiario tiene un titular real tal como se define en el artículo 3, apartado 6, de la Directiva (UE) 2015/849 (Directiva </w:t>
      </w:r>
      <w:proofErr w:type="spellStart"/>
      <w:r>
        <w:t>antiblanqueo</w:t>
      </w:r>
      <w:proofErr w:type="spellEnd"/>
      <w:r>
        <w:t xml:space="preserve">), la autoridad de gestión o los Estados </w:t>
      </w:r>
      <w:r>
        <w:lastRenderedPageBreak/>
        <w:t xml:space="preserve">miembros deben registrar y almacenar electrónicamente la información al respecto utilizando los datos almacenados en los registros a que se refiere el artículo 30 de la Directiva </w:t>
      </w:r>
      <w:proofErr w:type="spellStart"/>
      <w:r>
        <w:t>antiblanqueo</w:t>
      </w:r>
      <w:proofErr w:type="spellEnd"/>
      <w:r>
        <w:t xml:space="preserve">. Las exenciones de las obligaciones de recogida de datos en virtud de la Directiva </w:t>
      </w:r>
      <w:proofErr w:type="spellStart"/>
      <w:r>
        <w:t>antiblanqueo</w:t>
      </w:r>
      <w:proofErr w:type="spellEnd"/>
      <w:r>
        <w:t xml:space="preserve"> no afectan a las obligaciones en virtud del RDC.</w:t>
      </w:r>
    </w:p>
    <w:p w:rsidR="00786B3E" w:rsidRDefault="00786B3E" w:rsidP="00786B3E"/>
    <w:p w:rsidR="00786B3E" w:rsidRDefault="00786B3E" w:rsidP="00786B3E"/>
    <w:p w:rsidR="00786B3E" w:rsidRDefault="00786B3E" w:rsidP="00786B3E">
      <w:pPr>
        <w:pStyle w:val="Ttulo1"/>
      </w:pPr>
      <w:bookmarkStart w:id="751" w:name="scroll-bookmark-865"/>
      <w:bookmarkStart w:id="752" w:name="scroll-bookmark-866"/>
      <w:bookmarkEnd w:id="751"/>
      <w:r>
        <w:t>QA00313 — Inversiones del FEDER/FC en calderas de gas natural y sistemas de calefacción en viviendas y edificios que sustituyen a los combustibles fósiles sólidos</w:t>
      </w:r>
      <w:bookmarkEnd w:id="752"/>
    </w:p>
    <w:p w:rsidR="00786B3E" w:rsidRDefault="00786B3E" w:rsidP="00786B3E">
      <w:r>
        <w:rPr>
          <w:noProof/>
          <w:lang w:val="es-ES"/>
        </w:rPr>
        <w:drawing>
          <wp:inline distT="0" distB="0" distL="0" distR="0" wp14:anchorId="743546A3" wp14:editId="3AE3C46A">
            <wp:extent cx="152435" cy="152435"/>
            <wp:effectExtent l="0" t="0" r="0" b="0"/>
            <wp:docPr id="101507" name="Imagen 1015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del Reglamento del FEDER (exclusión del ámbito de aplicación del FEDER y del Fondo de Cohesión)</w:t>
      </w:r>
    </w:p>
    <w:p w:rsidR="00786B3E" w:rsidRDefault="00786B3E" w:rsidP="00786B3E">
      <w:r>
        <w:rPr>
          <w:noProof/>
          <w:lang w:val="es-ES"/>
        </w:rPr>
        <w:drawing>
          <wp:inline distT="0" distB="0" distL="0" distR="0" wp14:anchorId="4EF2F13F" wp14:editId="591DD673">
            <wp:extent cx="152435" cy="152435"/>
            <wp:effectExtent l="0" t="0" r="0" b="0"/>
            <wp:docPr id="101509" name="Imagen 10150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¿Puede la autoridad de gestión seleccionar, a más tardar el 31 de diciembre de 2025, las operaciones financiadas por el FEDER y el Fondo de Cohesión en virtud del artículo 7, apartado 1, letra h), inciso i), tercer guion, del Reglamento FEDER/FC, a la luz de la refundición de la Directiva relativa a la eficiencia energética de los edificios?</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El artículo 7, apartado 4, del Reglamento FEDER/FC establece un plazo límite para la posible ayuda a la inversión en calderas de gas natural en viviendas y edificios que sustituyan a las calderas de combustibles fósiles sólidos a que se refiere el artículo 7, apartado 1, letra h), inciso i), tercer guion: las operaciones conexas deberán ser seleccionadas por la autoridad de gestión a más tardar el 31 de diciembre de 2025</w:t>
      </w:r>
      <w:hyperlink w:anchor="scroll-bookmark-867" w:history="1">
        <w:r>
          <w:rPr>
            <w:rStyle w:val="Hipervnculo"/>
          </w:rPr>
          <w:t>[1]</w:t>
        </w:r>
      </w:hyperlink>
      <w:r>
        <w:t xml:space="preserve">. Por otra parte, el artículo </w:t>
      </w:r>
      <w:hyperlink r:id="rId549" w:history="1">
        <w:r>
          <w:rPr>
            <w:rStyle w:val="Hipervnculo"/>
          </w:rPr>
          <w:t>17, apartado 15, de la refundición de</w:t>
        </w:r>
      </w:hyperlink>
      <w:r>
        <w:t xml:space="preserve"> la EPBD establece que cualquier incentivo financiero para la instalación de calderas independientes basadas en combustibles fósiles debe cesar a partir del 1 </w:t>
      </w:r>
      <w:r>
        <w:rPr>
          <w:u w:val="single"/>
        </w:rPr>
        <w:t>de enero de 2025, a excepción de las seleccionadas</w:t>
      </w:r>
      <w:r>
        <w:t xml:space="preserve"> para </w:t>
      </w:r>
      <w:r>
        <w:rPr>
          <w:i/>
          <w:u w:val="single"/>
        </w:rPr>
        <w:t>inversión</w:t>
      </w:r>
      <w:r>
        <w:t>,</w:t>
      </w:r>
      <w:r>
        <w:rPr>
          <w:u w:val="single"/>
        </w:rPr>
        <w:t xml:space="preserve"> antes</w:t>
      </w:r>
      <w:r>
        <w:t xml:space="preserve"> de 2025, de conformidad con el artículo 7, apartado 1, letra h), inciso i), tercer guion, del Reglamento FEDER/FC.</w:t>
      </w:r>
    </w:p>
    <w:p w:rsidR="00786B3E" w:rsidRDefault="00786B3E" w:rsidP="00786B3E">
      <w:proofErr w:type="spellStart"/>
      <w:proofErr w:type="gramStart"/>
      <w:r>
        <w:t>Los</w:t>
      </w:r>
      <w:r>
        <w:rPr>
          <w:i/>
        </w:rPr>
        <w:t>«</w:t>
      </w:r>
      <w:proofErr w:type="gramEnd"/>
      <w:r>
        <w:rPr>
          <w:i/>
        </w:rPr>
        <w:t>incentivos</w:t>
      </w:r>
      <w:proofErr w:type="spellEnd"/>
      <w:r>
        <w:rPr>
          <w:i/>
        </w:rPr>
        <w:t xml:space="preserve"> financieros para la instalación de calderas independientes alimentadas con combustibles fósiles (...)</w:t>
      </w:r>
      <w:r>
        <w:t>», a que se refiere el artículo 17, apartado 15, de la refundición de la Directiva relativa a la eficiencia energética de los edificios, deben entenderse, en el contexto de la política de cohesión, como tipos de acción establecidos en un programa.</w:t>
      </w:r>
    </w:p>
    <w:p w:rsidR="00786B3E" w:rsidRDefault="00786B3E" w:rsidP="00786B3E">
      <w:r>
        <w:t xml:space="preserve">En términos prácticos, esto significa que cualquier programa o solicitud de modificación de un programa presentada antes del 1 de enero de 2025 (posteriormente aprobado), </w:t>
      </w:r>
      <w:r>
        <w:lastRenderedPageBreak/>
        <w:t>que contenga tipos de acción relacionados con la sustitución de sistemas de calefacción basados en combustibles fósiles sólidos por sistemas de calefacción a base de gas y el campo de intervención correspondiente del cuadro 1 del anexo I del RDC (código 56), cumpliría lo dispuesto en el artículo 17, apartado 15, de la refundición de la Directiva relativa a la eficiencia energética de los edificios. Las autoridades de gestión podrán seleccionar las operaciones relacionadas con la inversión en calderas de gas natural incluidas en los programas del FEDER/FC hasta finales de 2025, de conformidad con el artículo 7, apartado 4, del Reglamento FEDER/FC.</w:t>
      </w:r>
    </w:p>
    <w:p w:rsidR="00786B3E" w:rsidRDefault="00786B3E" w:rsidP="00786B3E"/>
    <w:p w:rsidR="00786B3E" w:rsidRDefault="00FC0FB1" w:rsidP="00786B3E">
      <w:hyperlink w:anchor="scroll-bookmark-868" w:history="1">
        <w:r w:rsidR="00786B3E">
          <w:rPr>
            <w:rStyle w:val="Hipervnculo"/>
          </w:rPr>
          <w:t>[1]</w:t>
        </w:r>
      </w:hyperlink>
      <w:r w:rsidR="00786B3E">
        <w:t xml:space="preserve"> Esta cuestión no afecta a los programas del FTJ, </w:t>
      </w:r>
      <w:r w:rsidR="002F3719">
        <w:t xml:space="preserve">ya que, </w:t>
      </w:r>
      <w:r w:rsidR="00786B3E">
        <w:t>el artículo 9 del Reglamento del FTJ sobre la exclusión de los combustibles fósiles no permite el apoyo del FTJ a las calderas de gas natural.</w:t>
      </w:r>
    </w:p>
    <w:p w:rsidR="00786B3E" w:rsidRDefault="00786B3E" w:rsidP="00786B3E"/>
    <w:p w:rsidR="00786B3E" w:rsidRDefault="00786B3E" w:rsidP="00786B3E"/>
    <w:p w:rsidR="00786B3E" w:rsidRDefault="00786B3E" w:rsidP="00786B3E">
      <w:pPr>
        <w:pStyle w:val="Ttulo1"/>
      </w:pPr>
      <w:bookmarkStart w:id="753" w:name="scroll-bookmark-869"/>
      <w:bookmarkStart w:id="754" w:name="scroll-bookmark-870"/>
      <w:bookmarkEnd w:id="753"/>
      <w:r>
        <w:t>QA00311 — Financiación acumulativa del FAMI y del FSE + para la creación de centros de integración de extranjeros en Polonia</w:t>
      </w:r>
      <w:bookmarkEnd w:id="754"/>
    </w:p>
    <w:p w:rsidR="00786B3E" w:rsidRDefault="00786B3E" w:rsidP="00786B3E">
      <w:r>
        <w:rPr>
          <w:noProof/>
          <w:lang w:val="es-ES"/>
        </w:rPr>
        <w:drawing>
          <wp:inline distT="0" distB="0" distL="0" distR="0" wp14:anchorId="68B8EE70" wp14:editId="19A037C6">
            <wp:extent cx="152435" cy="152435"/>
            <wp:effectExtent l="0" t="0" r="0" b="0"/>
            <wp:docPr id="101511" name="Imagen 10151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w:t>
      </w:r>
    </w:p>
    <w:p w:rsidR="00786B3E" w:rsidRDefault="00786B3E" w:rsidP="00786B3E">
      <w:r>
        <w:t>Artículo 32, apartado 1, del Reglamento (UE) 2021/1147 (Reglamento FAMI)</w:t>
      </w:r>
    </w:p>
    <w:p w:rsidR="00786B3E" w:rsidRDefault="00786B3E" w:rsidP="00786B3E">
      <w:r>
        <w:t>Artículo 63, apartado 9, del Reglamento sobre disposiciones comunes.</w:t>
      </w:r>
    </w:p>
    <w:p w:rsidR="00786B3E" w:rsidRDefault="00786B3E" w:rsidP="00786B3E">
      <w:r>
        <w:rPr>
          <w:noProof/>
          <w:lang w:val="es-ES"/>
        </w:rPr>
        <w:drawing>
          <wp:inline distT="0" distB="0" distL="0" distR="0" wp14:anchorId="32886EC9" wp14:editId="370EF647">
            <wp:extent cx="152435" cy="152435"/>
            <wp:effectExtent l="0" t="0" r="0" b="0"/>
            <wp:docPr id="101513" name="Imagen 10151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La autoridad de gestión del FAMI desea publicar una convocatoria de propuestas para la creación de centros de integración de extranjeros en 16 regiones. Estos centros serían creados y gestionados por autoridades regionales, que también son responsables de los programas regionales del FSE +.</w:t>
      </w:r>
    </w:p>
    <w:p w:rsidR="00786B3E" w:rsidRDefault="00786B3E" w:rsidP="00786B3E">
      <w:pPr>
        <w:numPr>
          <w:ilvl w:val="0"/>
          <w:numId w:val="309"/>
        </w:numPr>
      </w:pPr>
      <w:r>
        <w:t xml:space="preserve">¿Es posible </w:t>
      </w:r>
      <w:r>
        <w:rPr>
          <w:b/>
        </w:rPr>
        <w:t>acumular la financiación de la operación a través del FAMI</w:t>
      </w:r>
      <w:r>
        <w:t xml:space="preserve"> (cuyo porcentaje de cofinanciación a nivel de objetivo específico/tipo de acción es del 90 %) </w:t>
      </w:r>
      <w:r>
        <w:rPr>
          <w:b/>
        </w:rPr>
        <w:t>y del FSE +</w:t>
      </w:r>
      <w:r>
        <w:t xml:space="preserve"> (con un porcentaje de cofinanciación del 75 % a nivel de prioridad)?</w:t>
      </w:r>
    </w:p>
    <w:p w:rsidR="00786B3E" w:rsidRDefault="00786B3E" w:rsidP="00786B3E">
      <w:pPr>
        <w:numPr>
          <w:ilvl w:val="0"/>
          <w:numId w:val="309"/>
        </w:numPr>
      </w:pPr>
      <w:r>
        <w:t xml:space="preserve">Siempre que la respuesta a la pregunta 1 sea afirmativa, ¿es posible </w:t>
      </w:r>
      <w:r>
        <w:rPr>
          <w:b/>
        </w:rPr>
        <w:t>cubrir el 100 % de los costes de la operación con financiación de la UE</w:t>
      </w:r>
      <w:r>
        <w:t xml:space="preserve">, </w:t>
      </w:r>
      <w:r w:rsidR="00214B1C">
        <w:t xml:space="preserve">por ejemplo, </w:t>
      </w:r>
      <w:r>
        <w:t>de la siguiente manera?</w:t>
      </w:r>
    </w:p>
    <w:p w:rsidR="00786B3E" w:rsidRDefault="00786B3E" w:rsidP="00786B3E">
      <w:pPr>
        <w:numPr>
          <w:ilvl w:val="0"/>
          <w:numId w:val="310"/>
        </w:numPr>
      </w:pPr>
      <w:r>
        <w:t>El 90 % de los costes se financian con cargo al FAMI y siguen las normas del FAMI.</w:t>
      </w:r>
    </w:p>
    <w:p w:rsidR="00786B3E" w:rsidRDefault="00786B3E" w:rsidP="00786B3E">
      <w:pPr>
        <w:numPr>
          <w:ilvl w:val="0"/>
          <w:numId w:val="310"/>
        </w:numPr>
      </w:pPr>
      <w:r>
        <w:t>El 10 % de los costes (separados de los financiados por el FAMI) se financian con cargo al FSE + y siguen las normas del FSE +.</w:t>
      </w:r>
    </w:p>
    <w:p w:rsidR="00786B3E" w:rsidRDefault="00786B3E" w:rsidP="00786B3E">
      <w:pPr>
        <w:numPr>
          <w:ilvl w:val="0"/>
          <w:numId w:val="310"/>
        </w:numPr>
      </w:pPr>
      <w:r>
        <w:lastRenderedPageBreak/>
        <w:t>La contribución total de la UE a la operación es del 100 % (es decir, cubre el 100 % de los costes de la operación) y está compuesta por el 90 % del FAMI y el 10 % del FSE +.</w:t>
      </w:r>
    </w:p>
    <w:p w:rsidR="00786B3E" w:rsidRDefault="00786B3E" w:rsidP="00786B3E"/>
    <w:p w:rsidR="00786B3E" w:rsidRDefault="00786B3E" w:rsidP="00786B3E">
      <w:pPr>
        <w:pStyle w:val="P68B1DB1-Normal1"/>
      </w:pPr>
      <w:r>
        <w:t>Respuesta.</w:t>
      </w:r>
    </w:p>
    <w:p w:rsidR="00786B3E" w:rsidRDefault="00786B3E" w:rsidP="00786B3E">
      <w:r>
        <w:t>De conformidad con el artículo 32, apartado 1, del Reglamento del FAMI y el artículo 63, apartado 9, del RDC, una operación puede recibir contribución de dos fondos/programas diferentes (en este caso concreto, los programas FAMI y FSE +), siempre que las contribuciones no cubran los mismos costes. El gasto declarado en una solicitud de pago para uno de los Fondos o programas no puede declararse para la ayuda del otro Fondo o programa. El importe del gasto que debe consignarse en una solicitud de pago de un Fondo o programa podrá calcularse a prorrata para cada Fondo o programa de que se trate, de conformidad con el documento en el que se establezcan las condiciones de la ayuda. Es responsabilidad del Estado miembro garantizar que se evite la doble financiación. Además, las normas del Fondo o programa pertinente se aplican a la contribución correspondiente a la operación. A nivel de la operación, la financiación de ambos Fondos no podrá superar el total de los costes subvencionables.</w:t>
      </w:r>
    </w:p>
    <w:p w:rsidR="00786B3E" w:rsidRDefault="00786B3E" w:rsidP="00786B3E">
      <w:r>
        <w:t>Por ejemplo, los costes subvencionables de una parte (90 %) de la operación deben ser financiados por el FAMI con un porcentaje de cofinanciación del 90 %. Los costes subvencionables de la parte restante (10 %) de la operación deben ser financiados por el FSE + con un porcentaje de cofinanciación del 75 %. En el caso de los costes combinados de la operación, la Comisión puede reembolsar el 88,5 % del importe declarado para dicha operación en el marco de dos solicitudes de pago separadas para cada Fondo o programa.</w:t>
      </w:r>
    </w:p>
    <w:p w:rsidR="00786B3E" w:rsidRDefault="00786B3E" w:rsidP="00786B3E">
      <w:r>
        <w:t>Cabe señalar que, en el marco de la gestión compartida, los porcentajes de cofinanciación a nivel de prioridad para el FSE + y el objetivo o tipo específico del nivel de acción para el FAMI pueden diferir del porcentaje de cofinanciación a nivel de la operación establecido por la autoridad de gestión (o el organismo intermedio, cuando proceda) en el documento que establece las condiciones de la ayuda. Por lo tanto, es posible que el 100 % de los gastos subvencionables de una operación estén cubiertos por el presupuesto de la Unión si el porcentaje de cofinanciación de la operación se fija en el 100 %.</w:t>
      </w:r>
    </w:p>
    <w:p w:rsidR="00786B3E" w:rsidRDefault="00786B3E" w:rsidP="00786B3E"/>
    <w:p w:rsidR="00786B3E" w:rsidRDefault="00786B3E" w:rsidP="00786B3E"/>
    <w:p w:rsidR="00786B3E" w:rsidRDefault="00786B3E" w:rsidP="00786B3E">
      <w:pPr>
        <w:pStyle w:val="Ttulo1"/>
      </w:pPr>
      <w:bookmarkStart w:id="755" w:name="scroll-bookmark-871"/>
      <w:bookmarkStart w:id="756" w:name="scroll-bookmark-872"/>
      <w:bookmarkEnd w:id="755"/>
      <w:r>
        <w:t>QA00237 — Ayudas estatales a proyectos asociados en Polonia</w:t>
      </w:r>
      <w:bookmarkEnd w:id="756"/>
    </w:p>
    <w:p w:rsidR="00786B3E" w:rsidRDefault="00786B3E" w:rsidP="00786B3E">
      <w:r>
        <w:rPr>
          <w:noProof/>
          <w:lang w:val="es-ES"/>
        </w:rPr>
        <w:drawing>
          <wp:inline distT="0" distB="0" distL="0" distR="0" wp14:anchorId="540AD2CA" wp14:editId="3E4576C9">
            <wp:extent cx="152435" cy="152435"/>
            <wp:effectExtent l="0" t="0" r="0" b="0"/>
            <wp:docPr id="101515" name="Imagen 10151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2, apartado 9, del Reglamento (UE) 2021/1060 (RDC)</w:t>
      </w:r>
    </w:p>
    <w:p w:rsidR="00786B3E" w:rsidRDefault="00786B3E" w:rsidP="00786B3E">
      <w:r>
        <w:t>Reglamento (UE) n.º 651/2014 (RGEC)</w:t>
      </w:r>
    </w:p>
    <w:p w:rsidR="00786B3E" w:rsidRDefault="00786B3E" w:rsidP="00786B3E">
      <w:r>
        <w:rPr>
          <w:noProof/>
          <w:lang w:val="es-ES"/>
        </w:rPr>
        <w:lastRenderedPageBreak/>
        <w:drawing>
          <wp:inline distT="0" distB="0" distL="0" distR="0" wp14:anchorId="09EAC9F9" wp14:editId="0F531DD7">
            <wp:extent cx="152435" cy="152435"/>
            <wp:effectExtent l="0" t="0" r="0" b="0"/>
            <wp:docPr id="101517" name="Imagen 1015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Las autoridades polacas necesitarían aclaraciones sobre la situación en la que una operación es ejecutada por socios que forman una asociación y, aparte del socio principal, los socios no principales también serían receptores de la ayuda estatal. Las disposiciones establecidas en la ley polaca sobre los principios de ejecución de los programas de la política de cohesión indican que el acuerdo de financiación se celebra únicamente con un socio principal y que la autoridad de gestión será el organismo que concede la ayuda estatal. A la vista de lo anterior, me gustaría preguntar sobre el papel y los posibles derechos del resto de los socios que forman la asociación en caso de que se trate de una ayuda estatal.</w:t>
      </w:r>
    </w:p>
    <w:p w:rsidR="00786B3E" w:rsidRDefault="00786B3E" w:rsidP="00786B3E">
      <w:pPr>
        <w:pStyle w:val="P68B1DB1-Normal6"/>
      </w:pPr>
      <w:r>
        <w:t>Información adicional</w:t>
      </w:r>
    </w:p>
    <w:p w:rsidR="00786B3E" w:rsidRDefault="00786B3E" w:rsidP="00786B3E">
      <w:r>
        <w:t>Como parte del apoyo a los proyectos de I + D en el marco de la política de cohesión, se prestó especial atención al papel de la cooperación en las actividades de investigación y desarrollo. Esta cooperación adopta la forma de proyectos ejecutados conjuntamente por: empresarios, organizaciones de investigación y organizaciones no gubernamentales. Todos los socios de estos proyectos serán conocidos y evaluados como parte de la evaluación de la solicitud de cofinanciación del proyecto, y se presentará un acuerdo de asociación como parte de la solicitud. Gracias a ello, ya en la fase de evaluación de la solicitud de cofinanciación del proyecto se conocerá quién y en qué medida es responsable de la ejecución del proyecto. En opinión de las autoridades polacas, es importante que cada socio tenga derecho individualmente a recibir ayuda estatal sobre la base de las oportunidades que ofrece el RGEC (cabe señalar: en el caso de los proyectos de I + D ejecutados por varias entidades, definir una cooperación eficaz).</w:t>
      </w:r>
    </w:p>
    <w:p w:rsidR="00786B3E" w:rsidRDefault="00786B3E" w:rsidP="00786B3E"/>
    <w:p w:rsidR="00786B3E" w:rsidRDefault="00786B3E" w:rsidP="00786B3E">
      <w:pPr>
        <w:pStyle w:val="P68B1DB1-Normal1"/>
      </w:pPr>
      <w:r>
        <w:t>¿Es posible que los socios no principales que participen en la ejecución de la operación reciban financiación, incluidas las ayudas estatales, sin ser beneficiarios per se?</w:t>
      </w:r>
    </w:p>
    <w:p w:rsidR="00786B3E" w:rsidRDefault="00786B3E" w:rsidP="00786B3E">
      <w:r>
        <w:t>Además, teniendo en cuenta lo anterior, las autoridades polacas desean preguntarse si es conforme con el Reglamento sobre disposiciones comunes aplicar:</w:t>
      </w:r>
    </w:p>
    <w:p w:rsidR="00786B3E" w:rsidRDefault="00786B3E" w:rsidP="00786B3E">
      <w:pPr>
        <w:numPr>
          <w:ilvl w:val="0"/>
          <w:numId w:val="311"/>
        </w:numPr>
      </w:pPr>
      <w:r>
        <w:t>un proyecto de I + D en el que se llevaría a cabo la colaboración efectiva entre varias entidades, tal como se contempla en los Reglamentos del RGEC, y</w:t>
      </w:r>
    </w:p>
    <w:p w:rsidR="00786B3E" w:rsidRDefault="00786B3E" w:rsidP="00786B3E">
      <w:pPr>
        <w:numPr>
          <w:ilvl w:val="0"/>
          <w:numId w:val="311"/>
        </w:numPr>
      </w:pPr>
      <w:r>
        <w:t>por consiguiente, la ayuda estatal se concedería individualmente a cada empresario/organismo de investigación que participe en este proyecto.</w:t>
      </w:r>
    </w:p>
    <w:p w:rsidR="00786B3E" w:rsidRDefault="00786B3E" w:rsidP="00786B3E">
      <w:pPr>
        <w:numPr>
          <w:ilvl w:val="0"/>
          <w:numId w:val="311"/>
        </w:numPr>
      </w:pPr>
      <w:r>
        <w:t>otros proyectos basados en la cooperación/asociación de diversas entidades, en cuyo caso las disposiciones del RGEC permiten conceder ayudas estatales individualmente a los empresarios que participan en un proyecto ejecutado en asociación?</w:t>
      </w:r>
    </w:p>
    <w:p w:rsidR="00786B3E" w:rsidRDefault="00786B3E" w:rsidP="00786B3E"/>
    <w:p w:rsidR="00786B3E" w:rsidRDefault="00786B3E" w:rsidP="00786B3E">
      <w:pPr>
        <w:pStyle w:val="P68B1DB1-Normal1"/>
      </w:pPr>
      <w:r>
        <w:t>Respuesta.</w:t>
      </w:r>
    </w:p>
    <w:p w:rsidR="00786B3E" w:rsidRDefault="00786B3E" w:rsidP="00786B3E">
      <w:r>
        <w:lastRenderedPageBreak/>
        <w:t>Entendemos que la pregunta se refiere a proyectos de I + i o a un grupo de proyectos ejecutados conjuntamente por empresarios, organizaciones de investigación y organizaciones no gubernamentales. Según las explicaciones, todos los socios de estos proyectos se identificarán y evaluarán como parte de la evaluación de la solicitud de cofinanciación, y se presentará un acuerdo de asociación como parte de la solicitud, de modo que se sepa quién y en qué medida es responsable de la ejecución del proyecto.</w:t>
      </w:r>
    </w:p>
    <w:p w:rsidR="00786B3E" w:rsidRDefault="00786B3E" w:rsidP="00786B3E">
      <w:r>
        <w:t>Entendemos que las autoridades polacas se refieren a una situación en la que una operación es ejecutada por socios que forman una asociación y cada uno de ellos recibe ayuda estatal.</w:t>
      </w:r>
    </w:p>
    <w:p w:rsidR="00786B3E" w:rsidRDefault="00786B3E" w:rsidP="00786B3E">
      <w:r>
        <w:t xml:space="preserve">Cabe señalar que los conceptos de «asociación» o de «socio principal» no se definen en el RDC. Esto último se reconoce en el artículo 33, apartado 2, del RDC en lo que respecta a los grupos de acción local, pero entendemos que este no es el caso en este caso, </w:t>
      </w:r>
      <w:r w:rsidR="002F3719">
        <w:t xml:space="preserve">ya que, </w:t>
      </w:r>
      <w:r>
        <w:t>la operación no es ejecutada por un grupo de acción local. Las estructuras que incluyen a distintos socios pueden ser diferentes en los distintos Estados miembros en función de las normas nacionales. Corresponde a las autoridades polacas identificar al beneficiario de la operación de conformidad con la definición establecida en el artículo 2, apartado 9, del RDC.</w:t>
      </w:r>
    </w:p>
    <w:p w:rsidR="00786B3E" w:rsidRDefault="00786B3E" w:rsidP="00786B3E">
      <w:r>
        <w:t>De conformidad con el artículo 2, apartado 9, del RDC, se entenderá por beneficiario:</w:t>
      </w:r>
    </w:p>
    <w:p w:rsidR="00786B3E" w:rsidRDefault="00786B3E" w:rsidP="00786B3E">
      <w:pPr>
        <w:pStyle w:val="P68B1DB1-Normal4"/>
      </w:pPr>
      <w:r>
        <w:t>a) «un organismo público o privado, una entidad con o sin personalidad jurídica, o una persona física, responsable de iniciar o de iniciar y ejecutar operaciones; (...)</w:t>
      </w:r>
    </w:p>
    <w:p w:rsidR="00786B3E" w:rsidRDefault="00786B3E" w:rsidP="00786B3E">
      <w:pPr>
        <w:pStyle w:val="P68B1DB1-Normal4"/>
      </w:pPr>
      <w:r>
        <w:t>C) en el contexto de los regímenes de ayudas estatales, la empresa que recibe la ayuda;</w:t>
      </w:r>
    </w:p>
    <w:p w:rsidR="00786B3E" w:rsidRDefault="00786B3E" w:rsidP="00786B3E">
      <w:r>
        <w:t>En la configuración propuesta por Polonia, entendemos que un socio inicia y ejecuta la operación y otros socios predefinidos ejecutan partes de la operación y reciben ayuda estatal. Por lo tanto, parece que todos los socios de la asociación pueden cumplir la definición de beneficiario con arreglo al artículo 2, apartado 9, letra a), o c) del RDC.</w:t>
      </w:r>
    </w:p>
    <w:p w:rsidR="00786B3E" w:rsidRDefault="00786B3E" w:rsidP="00786B3E">
      <w:r>
        <w:t>Entendemos que la asociación formada por todos los socios es el beneficiario de la operación. En virtud del RDC, es necesario que todos los socios de la asociación se identifiquen en el momento de la selección de la operación y se especifiquen en un documento en el que se establezcan las condiciones para la ayuda (artículo 73, apartado 3, del RDC).</w:t>
      </w:r>
    </w:p>
    <w:p w:rsidR="00786B3E" w:rsidRDefault="00786B3E" w:rsidP="00786B3E">
      <w:r>
        <w:t>Nada impide que la asociación esté representada por uno de los socios en las relaciones con la autoridad de gestión.</w:t>
      </w:r>
    </w:p>
    <w:p w:rsidR="00786B3E" w:rsidRDefault="00786B3E" w:rsidP="00786B3E">
      <w:r>
        <w:t>Debe distinguirse entre la definición de beneficiario con arreglo al RDC (artículo 2, apartado 9,) y la definición de beneficiario con arreglo a las normas sobre ayudas estatales. Las normas sobre ayudas estatales se aplican cuando el beneficiario de una medida es una «empresa». Los dos conjuntos de normas se aplican por separado.</w:t>
      </w:r>
    </w:p>
    <w:p w:rsidR="00786B3E" w:rsidRDefault="00786B3E" w:rsidP="00786B3E">
      <w:r>
        <w:t>En conclusión, ninguna disposición del RDC impide a las autoridades polacas ejecutar proyectos basados en la cooperación/asociación de diversas entidades, siempre que se ajuste tanto a la definición de beneficiario en virtud del RDC como a las normas sobre ayudas estatales. El Estado miembro debe evaluar y garantizar el cumplimiento de las normas sobre ayudas estatales.</w:t>
      </w:r>
    </w:p>
    <w:p w:rsidR="00786B3E" w:rsidRDefault="00786B3E" w:rsidP="00786B3E"/>
    <w:p w:rsidR="00786B3E" w:rsidRDefault="00786B3E" w:rsidP="00786B3E"/>
    <w:p w:rsidR="00786B3E" w:rsidRDefault="00786B3E" w:rsidP="00786B3E">
      <w:pPr>
        <w:pStyle w:val="Ttulo1"/>
      </w:pPr>
      <w:bookmarkStart w:id="757" w:name="scroll-bookmark-873"/>
      <w:bookmarkStart w:id="758" w:name="scroll-bookmark-874"/>
      <w:bookmarkEnd w:id="757"/>
      <w:r>
        <w:t>QA00318 — Contribución en especie en forma de trabajo voluntario con arreglo al artículo 39 de la CTE</w:t>
      </w:r>
      <w:bookmarkEnd w:id="758"/>
    </w:p>
    <w:p w:rsidR="00786B3E" w:rsidRDefault="00786B3E" w:rsidP="00786B3E">
      <w:r>
        <w:rPr>
          <w:noProof/>
          <w:lang w:val="es-ES"/>
        </w:rPr>
        <w:drawing>
          <wp:inline distT="0" distB="0" distL="0" distR="0" wp14:anchorId="02AC866B" wp14:editId="2FAD6B06">
            <wp:extent cx="152435" cy="152435"/>
            <wp:effectExtent l="0" t="0" r="0" b="0"/>
            <wp:docPr id="101519" name="Imagen 10151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Artículos 39 y 41 del Reglamento Interreg,</w:t>
      </w:r>
    </w:p>
    <w:p w:rsidR="00786B3E" w:rsidRDefault="00786B3E" w:rsidP="00786B3E">
      <w:r>
        <w:t>Artículos 67 (1) y (53) (1) (a) del RDC</w:t>
      </w:r>
    </w:p>
    <w:p w:rsidR="00786B3E" w:rsidRDefault="00786B3E" w:rsidP="00786B3E">
      <w:r>
        <w:rPr>
          <w:noProof/>
          <w:lang w:val="es-ES"/>
        </w:rPr>
        <w:drawing>
          <wp:inline distT="0" distB="0" distL="0" distR="0" wp14:anchorId="2AEF88D8" wp14:editId="426191C6">
            <wp:extent cx="152435" cy="152435"/>
            <wp:effectExtent l="0" t="0" r="0" b="0"/>
            <wp:docPr id="101521" name="Imagen 10152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no aplica</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 xml:space="preserve">En el caso de los programas Interreg, </w:t>
      </w:r>
      <w:proofErr w:type="gramStart"/>
      <w:r>
        <w:t>¿</w:t>
      </w:r>
      <w:r>
        <w:rPr>
          <w:b/>
        </w:rPr>
        <w:t xml:space="preserve"> </w:t>
      </w:r>
      <w:r>
        <w:t>puede</w:t>
      </w:r>
      <w:proofErr w:type="gramEnd"/>
      <w:r>
        <w:t xml:space="preserve"> el trabajo voluntario (es decir, las contribuciones en especie) declararse como costes de personal y, por tanto, incluirse en los costes de base para la aplicación de los tipos fijos, incluidos los establecidos en los artículos 54, letra b), y 56 del RDC y en el artículo 41 del Reglamento Interreg?</w:t>
      </w:r>
    </w:p>
    <w:p w:rsidR="00786B3E" w:rsidRDefault="00786B3E" w:rsidP="00786B3E"/>
    <w:p w:rsidR="00786B3E" w:rsidRDefault="00786B3E" w:rsidP="00786B3E">
      <w:pPr>
        <w:pStyle w:val="P68B1DB1-Normal1"/>
      </w:pPr>
      <w:r>
        <w:t>Respuesta.</w:t>
      </w:r>
    </w:p>
    <w:p w:rsidR="00786B3E" w:rsidRDefault="00786B3E" w:rsidP="00786B3E">
      <w:r>
        <w:t>Las contribuciones en especie en forma de prestación de trabajo para las que no se haya efectuado ningún pago justificado por facturas o documentos de valor probatorio equivalente (trabajo no remunerado) podrán ser admisibles si se cumplen las condiciones establecidas en el artículo 67, apartado 1, del RDC.</w:t>
      </w:r>
    </w:p>
    <w:p w:rsidR="00786B3E" w:rsidRDefault="00786B3E" w:rsidP="00786B3E">
      <w:r>
        <w:t>La definición de costes directos de personal no está vinculada a si los costes de personal adoptan o no la forma de gastos en especie. Por lo tanto, las contribuciones en especie en forma de trabajo no remunerado pueden incluirse en los costes directos de personal y utilizarse como base para el cálculo de los tipos fijos, incluidos los previstos en el artículo 54, letra b), el artículo 56 (1) del RDC y el artículo 41, apartado 5, del Reglamento Interreg.</w:t>
      </w:r>
    </w:p>
    <w:p w:rsidR="00786B3E" w:rsidRDefault="00786B3E" w:rsidP="00786B3E"/>
    <w:p w:rsidR="00786B3E" w:rsidRDefault="00786B3E" w:rsidP="00786B3E"/>
    <w:p w:rsidR="00786B3E" w:rsidRDefault="00786B3E" w:rsidP="00786B3E">
      <w:pPr>
        <w:pStyle w:val="Ttulo1"/>
      </w:pPr>
      <w:bookmarkStart w:id="759" w:name="scroll-bookmark-875"/>
      <w:bookmarkStart w:id="760" w:name="scroll-bookmark-876"/>
      <w:bookmarkEnd w:id="759"/>
      <w:r>
        <w:t xml:space="preserve">QA721 </w:t>
      </w:r>
      <w:r w:rsidR="00DF0906">
        <w:t>EMFAF</w:t>
      </w:r>
      <w:r>
        <w:t xml:space="preserve"> Ayudas estatales y verificación de empresas en crisis, incluidas las pymes</w:t>
      </w:r>
      <w:bookmarkEnd w:id="760"/>
    </w:p>
    <w:p w:rsidR="00786B3E" w:rsidRDefault="00786B3E" w:rsidP="00786B3E">
      <w:r>
        <w:rPr>
          <w:noProof/>
          <w:lang w:val="es-ES"/>
        </w:rPr>
        <w:drawing>
          <wp:inline distT="0" distB="0" distL="0" distR="0" wp14:anchorId="34222176" wp14:editId="1C6A7F1D">
            <wp:extent cx="152435" cy="152435"/>
            <wp:effectExtent l="0" t="0" r="0" b="0"/>
            <wp:docPr id="101523" name="Imagen 10152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10 del Reglamento FEMPA</w:t>
      </w:r>
    </w:p>
    <w:p w:rsidR="00786B3E" w:rsidRDefault="00786B3E" w:rsidP="00786B3E">
      <w:r>
        <w:rPr>
          <w:noProof/>
          <w:lang w:val="es-ES"/>
        </w:rPr>
        <w:drawing>
          <wp:inline distT="0" distB="0" distL="0" distR="0" wp14:anchorId="3C9B4DCF" wp14:editId="2D04C29C">
            <wp:extent cx="152435" cy="152435"/>
            <wp:effectExtent l="0" t="0" r="0" b="0"/>
            <wp:docPr id="101525" name="Imagen 10152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lastRenderedPageBreak/>
        <w:br/>
      </w:r>
      <w:r w:rsidR="00377B57">
        <w:t>Pregunta</w:t>
      </w:r>
    </w:p>
    <w:p w:rsidR="00786B3E" w:rsidRDefault="00786B3E" w:rsidP="00786B3E">
      <w:pPr>
        <w:pStyle w:val="P68B1DB1-Normal11"/>
      </w:pPr>
      <w:r>
        <w:t>¿Puede confirmar que la ayuda financiera concedida en virtud del Reglamento FEMPA no es ayuda estatal y, por lo tanto, no es necesario verificar las empresas en crisis, incluidas las pymes? </w:t>
      </w:r>
    </w:p>
    <w:p w:rsidR="00786B3E" w:rsidRDefault="00786B3E" w:rsidP="00786B3E"/>
    <w:p w:rsidR="00786B3E" w:rsidRDefault="00786B3E" w:rsidP="00786B3E">
      <w:pPr>
        <w:pStyle w:val="P68B1DB1-Normal1"/>
      </w:pPr>
      <w:r>
        <w:t>Respuesta.</w:t>
      </w:r>
    </w:p>
    <w:p w:rsidR="00786B3E" w:rsidRDefault="00786B3E" w:rsidP="00786B3E">
      <w:r>
        <w:t>De conformidad con el artículo 42 del Tratado de Funcionamiento de la Unión Europea (TFUE), el sector de la pesca y la acuicultura está sujeto a las normas de competencia (que incluyen las ayudas estatales) únicamente en la medida determinada por el legislador en el marco del artículo 43, apartado 2, del TFUE, que incluye la política pesquera común. El artículo 42 del TFUE se refiere a la producción y el comercio de productos agrícolas (que abarca la producción, la transformación y la comercialización de los productos de la pesca y la acuicultura). Las bases jurídicas del Reglamento FEMPA incluyen el artículo 42 y 43 (2) del TFUE. </w:t>
      </w:r>
    </w:p>
    <w:p w:rsidR="00786B3E" w:rsidRDefault="00786B3E" w:rsidP="00786B3E">
      <w:r>
        <w:t>El artículo 10, apartado 2, del Reglamento FEMPA establece que los artículos 107, 108 y 109 del Tratado de Funcionamiento de la UE no se aplicarán a los pagos efectuados por los Estados miembros en virtud del presente Reglamento, que entran en el ámbito de aplicación del artículo 42 del Tratado de Funcionamiento de la Unión Europea. Ya existía una norma similar en el marco del FEP y del FEMP.  </w:t>
      </w:r>
    </w:p>
    <w:p w:rsidR="00786B3E" w:rsidRDefault="00786B3E" w:rsidP="00786B3E">
      <w:r>
        <w:t> </w:t>
      </w:r>
    </w:p>
    <w:p w:rsidR="00786B3E" w:rsidRDefault="00786B3E" w:rsidP="00786B3E">
      <w:r>
        <w:t>El Reglamento (UE) 2022/2473 de la Comisión declara determinadas categorías de ayudas a las empresas dedicadas a la producción, transformación y comercialización de productos de la pesca y de la acuicultura compatibles con el mercado interior en aplicación de los artículos 107 y 108 del TFUE. Como se explica en el apartado anterior, los artículos 107 y 108 del TFUE no se aplican a los pagos efectuados por los Estados miembros en virtud del Reglamento FEMPA y que entran en el ámbito de aplicación del artículo 42 del TFUE. Por lo tanto, el Reglamento (UE) 2022/2473 de la Comisión no es aplicable a los pagos del FEMPA. </w:t>
      </w:r>
    </w:p>
    <w:p w:rsidR="00786B3E" w:rsidRDefault="00786B3E" w:rsidP="00786B3E">
      <w:r>
        <w:t> </w:t>
      </w:r>
    </w:p>
    <w:p w:rsidR="00786B3E" w:rsidRDefault="00786B3E" w:rsidP="00786B3E">
      <w:r>
        <w:t>El Reglamento (UE) 2021/1058 relativo al Fondo Europeo de Desarrollo Regional y al Fondo de Cohesión, que establece que, si una empresa está en crisis, no puede recibir el apoyo del Fondo Europeo de Desarrollo Regional o del Fondo de Cohesión, tampoco es aplicable al FEMPA.  </w:t>
      </w:r>
    </w:p>
    <w:p w:rsidR="00786B3E" w:rsidRDefault="00786B3E" w:rsidP="00786B3E">
      <w:r>
        <w:t> </w:t>
      </w:r>
    </w:p>
    <w:p w:rsidR="00786B3E" w:rsidRDefault="00786B3E" w:rsidP="00786B3E">
      <w:r>
        <w:t>El artículo 15 del Reglamento sobre disposiciones comunes, el Reglamento (UE) 2021/1060, que también abarca el FEMPA, establece como condición favorable horizontal que las autoridades de gestión dispongan de las herramientas y la capacidad para verificar el cumplimiento de las normas sobre ayudas estatales para las empresas en crisis y las empresas sujetas a un requisito de recuperación. Sin embargo, como se explica en los artículos 107 y 108 del TFUE, no se aplican a los pagos efectuados por los Estados miembros en virtud del Reglamento FEMPA y que entran en el ámbito de aplicación del artículo 42 del TFUE.  </w:t>
      </w:r>
    </w:p>
    <w:p w:rsidR="00786B3E" w:rsidRDefault="00786B3E" w:rsidP="00786B3E">
      <w:r>
        <w:t> </w:t>
      </w:r>
    </w:p>
    <w:p w:rsidR="00786B3E" w:rsidRDefault="00786B3E" w:rsidP="00786B3E">
      <w:r>
        <w:lastRenderedPageBreak/>
        <w:t>Además, cabe señalar que el Reglamento FEMPA no contiene ninguna disposición específica sobre las empresas en crisis. </w:t>
      </w:r>
    </w:p>
    <w:p w:rsidR="00786B3E" w:rsidRDefault="00786B3E" w:rsidP="00786B3E">
      <w:r>
        <w:t> </w:t>
      </w:r>
    </w:p>
    <w:p w:rsidR="00786B3E" w:rsidRDefault="00786B3E" w:rsidP="00786B3E">
      <w:r>
        <w:t>Dado que los pagos efectuados en el marco del programa FEMPA CZ entran en el ámbito de aplicación del Reglamento FEMPA y, al mismo tiempo, están cubiertos por el ámbito de aplicación del artículo 42 del TFUE, los artículos 107, 108 y 109 del TFUE no se aplicarán a estos pagos. </w:t>
      </w:r>
    </w:p>
    <w:p w:rsidR="00786B3E" w:rsidRDefault="00786B3E" w:rsidP="00786B3E">
      <w:r>
        <w:t> </w:t>
      </w:r>
    </w:p>
    <w:p w:rsidR="00786B3E" w:rsidRDefault="00786B3E" w:rsidP="00786B3E">
      <w:r>
        <w:t xml:space="preserve">Por consiguiente, la ayuda financiera concedida en el marco del FEMPA no constituye ayuda estatal y, por lo tanto, no es necesario considerar la cuestión de las empresas en crisis, incluidas las pymes, es decir, no hay ninguna disposición que haga necesario verificar si las empresas, incluidos </w:t>
      </w:r>
      <w:proofErr w:type="gramStart"/>
      <w:r>
        <w:t>los pymes</w:t>
      </w:r>
      <w:proofErr w:type="gramEnd"/>
      <w:r>
        <w:t>, están en crisis, en lo que respecta a los pagos del FEMPA.  </w:t>
      </w:r>
    </w:p>
    <w:p w:rsidR="00786B3E" w:rsidRDefault="00786B3E" w:rsidP="00786B3E"/>
    <w:p w:rsidR="00786B3E" w:rsidRDefault="00786B3E" w:rsidP="00786B3E">
      <w:pPr>
        <w:pStyle w:val="P68B1DB1-Normal4"/>
        <w:jc w:val="left"/>
      </w:pPr>
      <w:r>
        <w:t>NOTA:</w:t>
      </w:r>
    </w:p>
    <w:p w:rsidR="00786B3E" w:rsidRDefault="00786B3E" w:rsidP="00786B3E">
      <w:pPr>
        <w:jc w:val="left"/>
      </w:pPr>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pPr>
        <w:pStyle w:val="P68B1DB1-Normal4"/>
        <w:jc w:val="left"/>
      </w:pPr>
      <w: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p>
    <w:p w:rsidR="00786B3E" w:rsidRDefault="00786B3E" w:rsidP="00786B3E"/>
    <w:p w:rsidR="00786B3E" w:rsidRDefault="00786B3E" w:rsidP="00786B3E"/>
    <w:p w:rsidR="00786B3E" w:rsidRDefault="00786B3E" w:rsidP="00786B3E">
      <w:pPr>
        <w:pStyle w:val="Ttulo1"/>
      </w:pPr>
      <w:bookmarkStart w:id="761" w:name="scroll-bookmark-877"/>
      <w:bookmarkStart w:id="762" w:name="scroll-bookmark-878"/>
      <w:bookmarkEnd w:id="761"/>
      <w:r>
        <w:t xml:space="preserve">QA718: </w:t>
      </w:r>
      <w:r w:rsidR="00DF0906">
        <w:t>EMFAF</w:t>
      </w:r>
      <w:r>
        <w:t xml:space="preserve"> Anexo III</w:t>
      </w:r>
      <w:bookmarkEnd w:id="762"/>
    </w:p>
    <w:p w:rsidR="00786B3E" w:rsidRDefault="00786B3E" w:rsidP="00786B3E">
      <w:r>
        <w:rPr>
          <w:noProof/>
          <w:lang w:val="es-ES"/>
        </w:rPr>
        <w:drawing>
          <wp:inline distT="0" distB="0" distL="0" distR="0" wp14:anchorId="2AAAAE4B" wp14:editId="70ED41FE">
            <wp:extent cx="152435" cy="152435"/>
            <wp:effectExtent l="0" t="0" r="0" b="0"/>
            <wp:docPr id="101527" name="Imagen 10152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Anexo III, artículo 41, del Reglamento FEMPA</w:t>
      </w:r>
    </w:p>
    <w:p w:rsidR="00786B3E" w:rsidRDefault="00786B3E" w:rsidP="00786B3E">
      <w:r>
        <w:rPr>
          <w:noProof/>
          <w:lang w:val="es-ES"/>
        </w:rPr>
        <w:drawing>
          <wp:inline distT="0" distB="0" distL="0" distR="0" wp14:anchorId="5909A9CE" wp14:editId="62C4197A">
            <wp:extent cx="152435" cy="152435"/>
            <wp:effectExtent l="0" t="0" r="0" b="0"/>
            <wp:docPr id="101529" name="Imagen 10152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España</w:t>
      </w:r>
    </w:p>
    <w:p w:rsidR="00786B3E" w:rsidRDefault="00786B3E" w:rsidP="00786B3E"/>
    <w:p w:rsidR="00786B3E" w:rsidRDefault="00786B3E" w:rsidP="00786B3E">
      <w:pPr>
        <w:pStyle w:val="P68B1DB1-Normal1"/>
      </w:pPr>
      <w:r>
        <w:br/>
        <w:t>Preguntas:</w:t>
      </w:r>
    </w:p>
    <w:p w:rsidR="00786B3E" w:rsidRDefault="00786B3E" w:rsidP="00786B3E">
      <w:r>
        <w:t>Por lo que respecta al FEMPA, anexo III, relativo a las intensidades de la ayuda, y en concreto a la línea 14 (III), que establece lo siguiente: «</w:t>
      </w:r>
      <w:r>
        <w:rPr>
          <w:i/>
        </w:rPr>
        <w:t xml:space="preserve">tener características innovadoras </w:t>
      </w:r>
      <w:r>
        <w:rPr>
          <w:b/>
          <w:i/>
        </w:rPr>
        <w:t>o</w:t>
      </w:r>
      <w:r>
        <w:rPr>
          <w:i/>
        </w:rPr>
        <w:t xml:space="preserve"> garantizar el acceso del público a sus resultados</w:t>
      </w:r>
      <w:r>
        <w:t>», y a la línea 13, apartado III, que establece: «</w:t>
      </w:r>
      <w:r>
        <w:rPr>
          <w:i/>
        </w:rPr>
        <w:t xml:space="preserve">tener características innovadoras, en su caso, a nivel local </w:t>
      </w:r>
      <w:r>
        <w:rPr>
          <w:b/>
          <w:i/>
        </w:rPr>
        <w:t>y</w:t>
      </w:r>
      <w:r>
        <w:rPr>
          <w:i/>
        </w:rPr>
        <w:t xml:space="preserve"> garantizar el acceso del público a sus resultados</w:t>
      </w:r>
      <w:r>
        <w:t>», han surgido diferentes preguntas. </w:t>
      </w:r>
    </w:p>
    <w:p w:rsidR="00786B3E" w:rsidRDefault="00786B3E" w:rsidP="00786B3E">
      <w:r>
        <w:lastRenderedPageBreak/>
        <w:t>  </w:t>
      </w:r>
    </w:p>
    <w:p w:rsidR="00786B3E" w:rsidRDefault="00786B3E" w:rsidP="00786B3E">
      <w:r>
        <w:t>Teniendo en cuenta la diferente redacción de las líneas 13 y 14 en rojo, y teniendo en cuenta que tanto la versión española como la inglesa del Reglamento lo dicen, tenemos las siguientes dudas: </w:t>
      </w:r>
    </w:p>
    <w:p w:rsidR="00786B3E" w:rsidRDefault="00786B3E" w:rsidP="00786B3E">
      <w:r>
        <w:t>  </w:t>
      </w:r>
    </w:p>
    <w:p w:rsidR="00786B3E" w:rsidRDefault="00786B3E" w:rsidP="00786B3E">
      <w:pPr>
        <w:numPr>
          <w:ilvl w:val="0"/>
          <w:numId w:val="312"/>
        </w:numPr>
      </w:pPr>
      <w:r>
        <w:rPr>
          <w:b/>
        </w:rPr>
        <w:t>Primera pregunta</w:t>
      </w:r>
      <w:r>
        <w:t>: ¿Cuál es la diferencia en la aplicación de las líneas 13 (III) y 14 (III) en relación con el uso de los términos «</w:t>
      </w:r>
      <w:r>
        <w:rPr>
          <w:b/>
        </w:rPr>
        <w:t>y</w:t>
      </w:r>
      <w:r>
        <w:t>» y «</w:t>
      </w:r>
      <w:r>
        <w:rPr>
          <w:b/>
        </w:rPr>
        <w:t>o</w:t>
      </w:r>
      <w:r>
        <w:t>»?</w:t>
      </w:r>
    </w:p>
    <w:p w:rsidR="00786B3E" w:rsidRDefault="00786B3E" w:rsidP="00786B3E">
      <w:pPr>
        <w:numPr>
          <w:ilvl w:val="0"/>
          <w:numId w:val="312"/>
        </w:numPr>
      </w:pPr>
      <w:r>
        <w:rPr>
          <w:b/>
        </w:rPr>
        <w:t>Segunda pregunta</w:t>
      </w:r>
      <w:r>
        <w:t>: En relación con la línea 14 (III), ¿es posible separar el requisito de las características innovadoras del requisito de garantizar el acceso del público a los resultados? En caso afirmativo, ¿un proyecto que, sin tener características innovadoras, pero que garantice el acceso del público a sus resultados, cumpla lo dispuesto en la sección III de la línea 14? Por ejemplo, ¿cumplirá un estudio de la Organización de Productores sobre mortalidad accidental, cuyo informe y resultados se publican en su sitio web, el requisito de la línea 14 (III)? </w:t>
      </w:r>
    </w:p>
    <w:p w:rsidR="00786B3E" w:rsidRDefault="00786B3E" w:rsidP="00786B3E">
      <w:pPr>
        <w:numPr>
          <w:ilvl w:val="0"/>
          <w:numId w:val="312"/>
        </w:numPr>
      </w:pPr>
      <w:r>
        <w:rPr>
          <w:b/>
        </w:rPr>
        <w:t>Tercera pregunta</w:t>
      </w:r>
      <w:r>
        <w:t>: En caso de respuesta afirmativa a la segunda cuestión, España considera necesario restringir el tipo de proyectos que pueden tener resultados para los que el acceso público beneficiaría a otros operadores. Por lo tanto, nos gustaría confirmar a la Comisión que es posible imponer restricciones a este respecto a nivel de los Estados miembros. Además, nos gustaría saber si la Comisión tiene alguna pauta o consideración que deba tenerse en cuenta a la hora de establecer tal restricción. </w:t>
      </w:r>
    </w:p>
    <w:p w:rsidR="00786B3E" w:rsidRDefault="00786B3E" w:rsidP="00786B3E"/>
    <w:p w:rsidR="00786B3E" w:rsidRDefault="00786B3E" w:rsidP="00786B3E">
      <w:pPr>
        <w:pStyle w:val="P68B1DB1-Normal1"/>
      </w:pPr>
      <w:r>
        <w:t>Respuestas:</w:t>
      </w:r>
    </w:p>
    <w:p w:rsidR="00786B3E" w:rsidRDefault="00786B3E" w:rsidP="00786B3E">
      <w:r>
        <w:rPr>
          <w:b/>
        </w:rPr>
        <w:t>En respuesta a la</w:t>
      </w:r>
      <w:r>
        <w:t xml:space="preserve"> </w:t>
      </w:r>
      <w:r>
        <w:rPr>
          <w:b/>
        </w:rPr>
        <w:t>primera cuestión</w:t>
      </w:r>
      <w:r>
        <w:t>:   </w:t>
      </w:r>
    </w:p>
    <w:p w:rsidR="00786B3E" w:rsidRDefault="00786B3E" w:rsidP="00786B3E">
      <w:r>
        <w:t>La fila 13 del anexo III está específicamente vinculada al artículo 30 del Reglamento FEMPA sobre el desarrollo local participativo. La fila 13 exige que se cumpla una de las tres condiciones para beneficiarse de las operaciones del porcentaje máximo de intensidad de ayuda que figura en ella: </w:t>
      </w:r>
    </w:p>
    <w:p w:rsidR="00786B3E" w:rsidRDefault="00786B3E" w:rsidP="00786B3E">
      <w:r>
        <w:t>sean de interés colectivo; </w:t>
      </w:r>
    </w:p>
    <w:p w:rsidR="00786B3E" w:rsidRDefault="00786B3E" w:rsidP="00786B3E">
      <w:r>
        <w:t>II) que tengan un beneficiario colectivo; </w:t>
      </w:r>
    </w:p>
    <w:p w:rsidR="00786B3E" w:rsidRDefault="00786B3E" w:rsidP="00786B3E">
      <w:r>
        <w:t>tienen características innovadoras y garantizan el acceso del público a sus resultados». </w:t>
      </w:r>
    </w:p>
    <w:p w:rsidR="00786B3E" w:rsidRDefault="00786B3E" w:rsidP="00786B3E">
      <w:r>
        <w:t>Por otra parte, la fila 14 del anexo III se aplica a todas las demás operaciones distintas de las contempladas en el artículo 30. En la fila 14, los tres criterios deben cumplirse acumulativamente para beneficiarse del porcentaje máximo de intensidad de ayuda que figura en ella: </w:t>
      </w:r>
    </w:p>
    <w:p w:rsidR="00786B3E" w:rsidRDefault="00786B3E" w:rsidP="00786B3E">
      <w:r>
        <w:t>sean de interés colectivo; </w:t>
      </w:r>
    </w:p>
    <w:p w:rsidR="00786B3E" w:rsidRDefault="00786B3E" w:rsidP="00786B3E">
      <w:r>
        <w:t>II) que tengan un beneficiario colectivo; </w:t>
      </w:r>
    </w:p>
    <w:p w:rsidR="00786B3E" w:rsidRDefault="00786B3E" w:rsidP="00786B3E">
      <w:r>
        <w:t>tienen características innovadoras o garantizan el acceso del público a sus resultados». </w:t>
      </w:r>
    </w:p>
    <w:p w:rsidR="00786B3E" w:rsidRDefault="00786B3E" w:rsidP="00786B3E">
      <w:r>
        <w:lastRenderedPageBreak/>
        <w:t xml:space="preserve">Otra diferencia entre ambas filas es que el criterio iii) de la fila 13 es acumulativo en sí mismo, </w:t>
      </w:r>
      <w:r w:rsidR="002F3719">
        <w:t xml:space="preserve">ya que, </w:t>
      </w:r>
      <w:r>
        <w:t xml:space="preserve">utiliza la expresión «y», mientras que la fila 14 iii) solo exige que se cumpla uno de los dos subcriterios, al ser «características innovadoras» </w:t>
      </w:r>
      <w:r>
        <w:rPr>
          <w:b/>
        </w:rPr>
        <w:t>o</w:t>
      </w:r>
      <w:r>
        <w:t xml:space="preserve"> «garantizar el acceso del público a sus resultados». Sin embargo, como se ha descrito anteriormente, para basarse en la fila 14 deben cumplirse todos sus criterios [entre otros, 14 (i), 14 (ii) y 14 (iii)].  </w:t>
      </w:r>
    </w:p>
    <w:p w:rsidR="00786B3E" w:rsidRDefault="00786B3E" w:rsidP="00786B3E">
      <w:r>
        <w:t> </w:t>
      </w:r>
    </w:p>
    <w:p w:rsidR="00786B3E" w:rsidRDefault="00786B3E" w:rsidP="00786B3E">
      <w:r>
        <w:rPr>
          <w:b/>
        </w:rPr>
        <w:t>En respuesta a la segunda cuestión</w:t>
      </w:r>
      <w:r>
        <w:t>:   </w:t>
      </w:r>
    </w:p>
    <w:p w:rsidR="00786B3E" w:rsidRDefault="00786B3E" w:rsidP="00786B3E">
      <w:r>
        <w:t>En el contexto del FEMPA, esto puede incluir:  </w:t>
      </w:r>
    </w:p>
    <w:p w:rsidR="00786B3E" w:rsidRDefault="00786B3E" w:rsidP="00786B3E">
      <w:r>
        <w:t>— identificación o aplicación de innovaciones útiles para encontrar soluciones de comercialización,  </w:t>
      </w:r>
    </w:p>
    <w:p w:rsidR="00786B3E" w:rsidRDefault="00786B3E" w:rsidP="00786B3E">
      <w:r>
        <w:t>— identificación o aplicación de nuevas ideas que sean útiles para encontrar soluciones a cuestiones relacionadas con los procesos empresariales (por ejemplo, una pesca más sostenible),  </w:t>
      </w:r>
    </w:p>
    <w:p w:rsidR="00786B3E" w:rsidRDefault="00786B3E" w:rsidP="00786B3E">
      <w:r>
        <w:t>— identificación o aplicación de nuevas ideas que den lugar a nuevos productos y servicios (por ejemplo, servicios medioambientales y sociales),  </w:t>
      </w:r>
    </w:p>
    <w:p w:rsidR="00786B3E" w:rsidRDefault="00786B3E" w:rsidP="00786B3E">
      <w:r>
        <w:t>— apoyo a cambios o mejoras en una serie de tareas o actividades vinculadas para ayudar mejor a las empresas a alcanzar sus objetivos.  </w:t>
      </w:r>
    </w:p>
    <w:p w:rsidR="00786B3E" w:rsidRDefault="00786B3E" w:rsidP="00786B3E">
      <w:r>
        <w:t> </w:t>
      </w:r>
    </w:p>
    <w:p w:rsidR="00786B3E" w:rsidRDefault="00786B3E" w:rsidP="00786B3E">
      <w:r>
        <w:rPr>
          <w:b/>
        </w:rPr>
        <w:t>Téngase en cuenta que los simples estudios, investigación y asesoramiento sobre posibles innovaciones en el futuro no constituyen actividades de innovación.</w:t>
      </w:r>
      <w:r>
        <w:t> </w:t>
      </w:r>
    </w:p>
    <w:p w:rsidR="00786B3E" w:rsidRDefault="00786B3E" w:rsidP="00786B3E">
      <w:r>
        <w:t>La mera publicación de un estudio sin actividades de innovación asociadas a él no sería subvencionable. </w:t>
      </w:r>
    </w:p>
    <w:p w:rsidR="00786B3E" w:rsidRDefault="00786B3E" w:rsidP="00786B3E">
      <w:r>
        <w:rPr>
          <w:b/>
        </w:rPr>
        <w:t>El acceso público a los resultados de un proyecto se refiere al hecho de que no debe restringirse al público en general la información sobre los resultados de la operación.</w:t>
      </w:r>
      <w:r>
        <w:t> </w:t>
      </w:r>
    </w:p>
    <w:p w:rsidR="00786B3E" w:rsidRDefault="00786B3E" w:rsidP="00786B3E">
      <w:r>
        <w:t> </w:t>
      </w:r>
    </w:p>
    <w:p w:rsidR="00786B3E" w:rsidRDefault="00786B3E" w:rsidP="00786B3E">
      <w:pPr>
        <w:pStyle w:val="P68B1DB1-Normal1"/>
      </w:pPr>
      <w:r>
        <w:t>En respuesta a la tercera cuestión:   </w:t>
      </w:r>
    </w:p>
    <w:p w:rsidR="00786B3E" w:rsidRDefault="00786B3E" w:rsidP="00786B3E">
      <w:r>
        <w:t>El Estado miembro podrá restringir el tipo de proyectos valorando que se cumplen o no los criterios acumulativos de la fila 14.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p w:rsidR="00786B3E" w:rsidRDefault="00786B3E" w:rsidP="00786B3E"/>
    <w:p w:rsidR="00786B3E" w:rsidRDefault="00786B3E" w:rsidP="00786B3E"/>
    <w:p w:rsidR="00786B3E" w:rsidRDefault="00786B3E" w:rsidP="00786B3E"/>
    <w:p w:rsidR="00786B3E" w:rsidRDefault="00786B3E" w:rsidP="00786B3E">
      <w:pPr>
        <w:pStyle w:val="Ttulo1"/>
      </w:pPr>
      <w:bookmarkStart w:id="763" w:name="scroll-bookmark-879"/>
      <w:bookmarkStart w:id="764" w:name="scroll-bookmark-880"/>
      <w:bookmarkEnd w:id="763"/>
      <w:r>
        <w:t xml:space="preserve">QA717 </w:t>
      </w:r>
      <w:r w:rsidR="00DF0906">
        <w:t>EMFAF</w:t>
      </w:r>
      <w:r>
        <w:t xml:space="preserve"> Inclusión de la venta al por menor de pescado, incluida la transformación básica del pescado con arreglo al artículo 26</w:t>
      </w:r>
      <w:bookmarkEnd w:id="764"/>
    </w:p>
    <w:p w:rsidR="00786B3E" w:rsidRDefault="00786B3E" w:rsidP="00786B3E">
      <w:r>
        <w:rPr>
          <w:noProof/>
          <w:lang w:val="es-ES"/>
        </w:rPr>
        <w:drawing>
          <wp:inline distT="0" distB="0" distL="0" distR="0" wp14:anchorId="18124EC4" wp14:editId="116468D5">
            <wp:extent cx="152435" cy="152435"/>
            <wp:effectExtent l="0" t="0" r="0" b="0"/>
            <wp:docPr id="101531" name="Imagen 10153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Artículo 26, 27 y 28 del Reglamento FEMPA.</w:t>
      </w:r>
    </w:p>
    <w:p w:rsidR="00786B3E" w:rsidRDefault="00786B3E" w:rsidP="00786B3E">
      <w:r>
        <w:rPr>
          <w:noProof/>
          <w:lang w:val="es-ES"/>
        </w:rPr>
        <w:drawing>
          <wp:inline distT="0" distB="0" distL="0" distR="0" wp14:anchorId="54166CA0" wp14:editId="7B520745">
            <wp:extent cx="152435" cy="152435"/>
            <wp:effectExtent l="0" t="0" r="0" b="0"/>
            <wp:docPr id="101533" name="Imagen 10153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w:t>
      </w:r>
    </w:p>
    <w:p w:rsidR="00786B3E" w:rsidRDefault="00786B3E" w:rsidP="00786B3E"/>
    <w:p w:rsidR="00786B3E" w:rsidRDefault="00786B3E" w:rsidP="00786B3E">
      <w:pPr>
        <w:pStyle w:val="P68B1DB1-Normal1"/>
      </w:pPr>
      <w:r>
        <w:br/>
      </w:r>
      <w:r w:rsidR="00377B57">
        <w:t>Pregunta</w:t>
      </w:r>
    </w:p>
    <w:p w:rsidR="00786B3E" w:rsidRDefault="00786B3E" w:rsidP="00786B3E">
      <w:pPr>
        <w:pStyle w:val="P68B1DB1-Normal11"/>
      </w:pPr>
      <w:r>
        <w:t>Inclusión de la venta al por menor de pescado, incluida la transformación de pescado de base, con arreglo al artículo 26 del Reglamento FEMPA y, por tanto, no seguimiento del tamaño de la empresa, con el fin de excluir a las grandes empresas de la ayuda en el período de programación 2021-2027. </w:t>
      </w:r>
    </w:p>
    <w:p w:rsidR="00786B3E" w:rsidRDefault="00786B3E" w:rsidP="00786B3E"/>
    <w:p w:rsidR="00786B3E" w:rsidRDefault="00786B3E" w:rsidP="00786B3E">
      <w:pPr>
        <w:pStyle w:val="P68B1DB1-Normal1"/>
      </w:pPr>
      <w:r>
        <w:t>Respuesta.</w:t>
      </w:r>
    </w:p>
    <w:p w:rsidR="00786B3E" w:rsidRDefault="00786B3E" w:rsidP="00786B3E">
      <w:r>
        <w:t>El artículo 26, apartado 1, letra a), del Reglamento FEMPA se refiere a «la promoción de actividades acuícolas sostenibles, en particular reforzando la competitividad de la producción acuícola, garantizando al mismo tiempo que las actividades sean medioambientalmente sostenibles a largo plazo».  </w:t>
      </w:r>
    </w:p>
    <w:p w:rsidR="00786B3E" w:rsidRDefault="00786B3E" w:rsidP="00786B3E">
      <w:r>
        <w:t>De conformidad con el artículo 26, apartado 1, letra b), del Reglamento FEMPA, se concede ayuda para «promover la comercialización, la calidad y el valor añadido de los productos de la pesca y la acuicultura, así como la transformación de estos productos». </w:t>
      </w:r>
    </w:p>
    <w:p w:rsidR="00786B3E" w:rsidRDefault="00786B3E" w:rsidP="00786B3E">
      <w:r>
        <w:t>El Reglamento FEMPA no contiene una definición de comercio al por menor, pero el Reglamento (UE) n.º 1379/2013 por el que se establece la organización común de mercados en el sector de los productos de la pesca y de la acuicultura contiene la siguiente defini</w:t>
      </w:r>
      <w:r w:rsidR="00671C2D">
        <w:t>ción en su artículo 5, letra g)</w:t>
      </w:r>
      <w:r>
        <w:t>:  </w:t>
      </w:r>
    </w:p>
    <w:p w:rsidR="00786B3E" w:rsidRDefault="00786B3E" w:rsidP="00786B3E">
      <w:r>
        <w:t>««Comercio al por menor»: la manipulación o transformación de alimentos y su almacenamiento en el punto de venta o entrega al consumidor final, incluidas las terminales de distribución, las actividades de restauración colectiva, los comedores de fábrica, los servicios de restauración institucional, los restaurantes y otros servicios alimentarios similares, las tiendas, los centros de distribución de supermercados y los puntos de venta al por mayor;» </w:t>
      </w:r>
    </w:p>
    <w:p w:rsidR="00786B3E" w:rsidRDefault="00786B3E" w:rsidP="00786B3E">
      <w:r>
        <w:t xml:space="preserve">El artículo 28 del FEMPA establece que, si se concede ayuda a empresas distintas de las pymes «para la promoción de la comercialización, la calidad y el valor añadido de los productos de la pesca y la acuicultura, así como de la transformación de estos productos», esto solo puede hacerse a través de instrumentos financieros, tal como se </w:t>
      </w:r>
      <w:r>
        <w:lastRenderedPageBreak/>
        <w:t>establece en el artículo 58 del Reglamento (UE) 2021/1060, o a través de InvestEU, de conformidad con el artículo 10 del Reglamento (UE) 2021/523. </w:t>
      </w:r>
    </w:p>
    <w:p w:rsidR="00786B3E" w:rsidRDefault="00786B3E" w:rsidP="00786B3E">
      <w:r>
        <w:t>Teniendo en cuenta este marco jurídico, la «transformación» de los productos de la pesca y la acuicultura por grandes empresas está sujeta a las limitaciones del artículo 28 del Reglamento FEMPA. Por lo tanto, cuando la venta al por menor adopte la forma de transformación, estas actividades también estarán cubiertas por esta disposición.  </w:t>
      </w:r>
    </w:p>
    <w:p w:rsidR="00786B3E" w:rsidRDefault="00786B3E" w:rsidP="00786B3E">
      <w:r>
        <w:t>No obstante, cuando la venta al por menor de productos de la pesca y la acuicultura incluya alguna transformación de carácter menor que sería inherente a la actividad de venta al por menor en cuestión, tales actividades no deben estar cubiertas por el artículo 28 del Reglamento FEMPA.  </w:t>
      </w:r>
    </w:p>
    <w:p w:rsidR="00786B3E" w:rsidRDefault="00786B3E" w:rsidP="00786B3E">
      <w:r>
        <w:t>En los casos de venta al por menor que no entrarían en el ámbito de aplicación de la exención del artículo 28 del Reglamento FEMPA, las medidas de apoyo tendrían que cumplir naturalmente todas las demás condiciones de subvencionabilidad del FEMPA.  </w:t>
      </w:r>
    </w:p>
    <w:p w:rsidR="00786B3E" w:rsidRDefault="00786B3E" w:rsidP="00786B3E">
      <w:r>
        <w:t>Por lo tanto, puede concluirse que, cuando las actividades de venta al por menor de los beneficiarios no se consideran actividades de transformación, los beneficiarios no están limitados por el tamaño de la empresa y no es necesario introducir un control sobre el tamaño de la empresa.  </w:t>
      </w:r>
    </w:p>
    <w:p w:rsidR="00786B3E" w:rsidRDefault="00786B3E" w:rsidP="00786B3E">
      <w:r>
        <w:t>Esto también conduce a una reducción considerable de la carga administrativa y a la simplificación de ambas partes, la autoridad de gestión y el solicitante/beneficiario.  </w:t>
      </w:r>
    </w:p>
    <w:p w:rsidR="00786B3E" w:rsidRDefault="00786B3E" w:rsidP="00786B3E">
      <w:r>
        <w:t>  </w:t>
      </w:r>
    </w:p>
    <w:p w:rsidR="00786B3E" w:rsidRDefault="00786B3E" w:rsidP="00786B3E">
      <w:pPr>
        <w:pStyle w:val="P68B1DB1-Normal4"/>
      </w:pPr>
      <w:r>
        <w:t> 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765" w:name="scroll-bookmark-881"/>
      <w:bookmarkStart w:id="766" w:name="scroll-bookmark-882"/>
      <w:bookmarkEnd w:id="765"/>
      <w:r>
        <w:t xml:space="preserve">QA723: </w:t>
      </w:r>
      <w:r w:rsidR="00DF0906">
        <w:t>EMFAF</w:t>
      </w:r>
      <w:r>
        <w:t xml:space="preserve"> Intensidad pública para las operaciones relacionadas con la pesca costera artesanal</w:t>
      </w:r>
      <w:bookmarkEnd w:id="766"/>
    </w:p>
    <w:p w:rsidR="00786B3E" w:rsidRDefault="00786B3E" w:rsidP="00786B3E">
      <w:r>
        <w:rPr>
          <w:noProof/>
          <w:lang w:val="es-ES"/>
        </w:rPr>
        <w:drawing>
          <wp:inline distT="0" distB="0" distL="0" distR="0" wp14:anchorId="14EDD768" wp14:editId="036D75A5">
            <wp:extent cx="152435" cy="152435"/>
            <wp:effectExtent l="0" t="0" r="0" b="0"/>
            <wp:docPr id="101535" name="Imagen 1015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Anexo III y artículo 41 del Reglamento FEMPA</w:t>
      </w:r>
    </w:p>
    <w:p w:rsidR="00786B3E" w:rsidRDefault="00786B3E" w:rsidP="00786B3E">
      <w:r>
        <w:rPr>
          <w:noProof/>
          <w:lang w:val="es-ES"/>
        </w:rPr>
        <w:drawing>
          <wp:inline distT="0" distB="0" distL="0" distR="0" wp14:anchorId="1946EBA6" wp14:editId="50CAF554">
            <wp:extent cx="152435" cy="152435"/>
            <wp:effectExtent l="0" t="0" r="0" b="0"/>
            <wp:docPr id="101537" name="Imagen 10153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Chipre</w:t>
      </w:r>
    </w:p>
    <w:p w:rsidR="00786B3E" w:rsidRDefault="00786B3E" w:rsidP="00786B3E"/>
    <w:p w:rsidR="00786B3E" w:rsidRDefault="00786B3E" w:rsidP="00786B3E">
      <w:pPr>
        <w:pStyle w:val="P68B1DB1-Normal1"/>
      </w:pPr>
      <w:r>
        <w:lastRenderedPageBreak/>
        <w:br/>
      </w:r>
      <w:r w:rsidR="00377B57">
        <w:t>Pregunta</w:t>
      </w:r>
    </w:p>
    <w:p w:rsidR="00786B3E" w:rsidRDefault="00786B3E" w:rsidP="00786B3E">
      <w:r>
        <w:t xml:space="preserve">De conformidad con el anexo III del Reglamento FEMPA, la </w:t>
      </w:r>
      <w:r>
        <w:rPr>
          <w:b/>
        </w:rPr>
        <w:t>intensidad pública</w:t>
      </w:r>
      <w:r>
        <w:t xml:space="preserve"> de las operaciones relacionadas con la pesca costera artesanal puede alcanzar un porcentaje máximo de intensidad del 100 %.   Lo que desearíamos aclarar es en</w:t>
      </w:r>
      <w:r>
        <w:rPr>
          <w:b/>
        </w:rPr>
        <w:t xml:space="preserve"> qué medida se considera que una acción/inversión está relacionada con la pesca costera artesanal, </w:t>
      </w:r>
      <w:r w:rsidR="002F3719">
        <w:rPr>
          <w:b/>
        </w:rPr>
        <w:t xml:space="preserve">ya que, </w:t>
      </w:r>
      <w:r>
        <w:rPr>
          <w:b/>
        </w:rPr>
        <w:t>los operadores de pesca costera artesanal</w:t>
      </w:r>
      <w:r>
        <w:t xml:space="preserve"> también están motivados y se les ofrece incentivos para obtener ingresos adicionales procedentes de actividades ajenas al sector pesquero/extractivo, algunas de las cuales pueden cofinanciarse a través de la prioridad prioritaria 3: Permitir una economía azul sostenible en las zonas costeras, insulares e interiores, y fomentar el desarrollo de las comunidades pesqueras y acuícolas.   </w:t>
      </w:r>
    </w:p>
    <w:p w:rsidR="00786B3E" w:rsidRDefault="00786B3E" w:rsidP="00786B3E">
      <w:r>
        <w:t xml:space="preserve">De hecho, en el apartado 2.7 de la pregunta Q A del sitio web Regio wiki para el FEMPA (normas de gestión compartida), Letonia plantea una pregunta al respecto, que se destaca en amarillo debajo, en la que </w:t>
      </w:r>
      <w:r>
        <w:rPr>
          <w:b/>
        </w:rPr>
        <w:t>se especifica únicamente que el beneficiario debe ser un operador en el sector de la «pesca costera artesanal» y que sus inversiones relacionadas con la comercialización pueden optar a una ayuda del 100 %</w:t>
      </w:r>
      <w:r>
        <w:t>.  Si bien alguien puede interpretar que esta inversión en el ejemplo específico de Letonia está directamente relacionada con las operaciones de pesca si se vende directamente desde el buque, no aclara si, por ejemplo, en los casos en que el pescador decidió abrir un establecimiento de pesca para vender pescado, si se considerara que tal inversión queda fuera del ámbito de esta categoría de «operaciones relacionadas con la pesca costera artesanal» y, por tanto, puede optar o no a una ayuda pública del 100 %.   </w:t>
      </w:r>
    </w:p>
    <w:p w:rsidR="00786B3E" w:rsidRDefault="00786B3E" w:rsidP="00786B3E">
      <w:r>
        <w:t>  </w:t>
      </w:r>
    </w:p>
    <w:p w:rsidR="00786B3E" w:rsidRDefault="00786B3E" w:rsidP="00786B3E">
      <w:r>
        <w:t xml:space="preserve">Por lo tanto, solicitamos que se aclare si las inversiones de los operadores en pesca costera artesanal solo pueden beneficiarse del apoyo máximo del 100 % de la ayuda pública de intensidad si las inversiones están </w:t>
      </w:r>
      <w:r>
        <w:rPr>
          <w:b/>
        </w:rPr>
        <w:t>directamente relacionadas con la pesca costera artesanal</w:t>
      </w:r>
      <w:r>
        <w:t>, tales como: </w:t>
      </w:r>
    </w:p>
    <w:p w:rsidR="00786B3E" w:rsidRDefault="00786B3E" w:rsidP="00786B3E">
      <w:pPr>
        <w:numPr>
          <w:ilvl w:val="0"/>
          <w:numId w:val="313"/>
        </w:numPr>
      </w:pPr>
      <w:r>
        <w:t>comercializar pescado directamente a los consumidores del buque,  </w:t>
      </w:r>
    </w:p>
    <w:p w:rsidR="00786B3E" w:rsidRDefault="00786B3E" w:rsidP="00786B3E">
      <w:pPr>
        <w:numPr>
          <w:ilvl w:val="0"/>
          <w:numId w:val="314"/>
        </w:numPr>
      </w:pPr>
      <w:r>
        <w:t>inversiones a bordo de buques pesqueros,  </w:t>
      </w:r>
    </w:p>
    <w:p w:rsidR="00786B3E" w:rsidRDefault="00786B3E" w:rsidP="00786B3E">
      <w:pPr>
        <w:numPr>
          <w:ilvl w:val="0"/>
          <w:numId w:val="315"/>
        </w:numPr>
      </w:pPr>
      <w:r>
        <w:t>inversiones en equipos relacionados con la captura de peces o el control de la actividad pesquera. </w:t>
      </w:r>
    </w:p>
    <w:p w:rsidR="00786B3E" w:rsidRDefault="00786B3E" w:rsidP="00786B3E">
      <w:r>
        <w:t xml:space="preserve">Nos gustaría conocer las inversiones en diversificación de actividades </w:t>
      </w:r>
      <w:r>
        <w:rPr>
          <w:b/>
        </w:rPr>
        <w:t>fuera de la pesca (sector extractivo)</w:t>
      </w:r>
      <w:r>
        <w:t>, tales como: </w:t>
      </w:r>
    </w:p>
    <w:p w:rsidR="00786B3E" w:rsidRDefault="00786B3E" w:rsidP="00786B3E">
      <w:pPr>
        <w:numPr>
          <w:ilvl w:val="0"/>
          <w:numId w:val="316"/>
        </w:numPr>
      </w:pPr>
      <w:r>
        <w:t>establecimientos de transformación o comercialización,  </w:t>
      </w:r>
    </w:p>
    <w:p w:rsidR="00786B3E" w:rsidRDefault="00786B3E" w:rsidP="00786B3E">
      <w:pPr>
        <w:numPr>
          <w:ilvl w:val="0"/>
          <w:numId w:val="317"/>
        </w:numPr>
      </w:pPr>
      <w:r>
        <w:t>turismo, incluido el turismo pesquero </w:t>
      </w:r>
    </w:p>
    <w:p w:rsidR="00786B3E" w:rsidRDefault="00786B3E" w:rsidP="00786B3E">
      <w:r>
        <w:rPr>
          <w:b/>
        </w:rPr>
        <w:t>¿puede beneficiarse de la intensidad pública del 100 %?</w:t>
      </w:r>
      <w:r>
        <w:t>   </w:t>
      </w:r>
    </w:p>
    <w:p w:rsidR="00786B3E" w:rsidRDefault="00786B3E" w:rsidP="00786B3E">
      <w:r>
        <w:t>Tenga en cuenta que el turismo pesquero puede implicar inversiones en tierra, así como en vehículos de transporte, hostelería y alojamiento y otros servicios.</w:t>
      </w:r>
      <w:r>
        <w:rPr>
          <w:i/>
        </w:rPr>
        <w:t> </w:t>
      </w:r>
      <w:r>
        <w:t> </w:t>
      </w:r>
    </w:p>
    <w:p w:rsidR="00786B3E" w:rsidRDefault="00786B3E" w:rsidP="00786B3E"/>
    <w:p w:rsidR="00786B3E" w:rsidRDefault="00786B3E" w:rsidP="00786B3E">
      <w:pPr>
        <w:pStyle w:val="P68B1DB1-Normal1"/>
      </w:pPr>
      <w:r>
        <w:t>Respuesta.</w:t>
      </w:r>
    </w:p>
    <w:p w:rsidR="00786B3E" w:rsidRDefault="00786B3E" w:rsidP="00786B3E">
      <w:r>
        <w:lastRenderedPageBreak/>
        <w:t>De conformidad con el anexo III del Reglamento FEMPA (2021/1139), las operaciones relacionadas con la pesca costera artesanal pueden beneficiarse de un porcentaje máximo de intensidad de ayuda del 100 % en régimen de gestión compartida. </w:t>
      </w:r>
    </w:p>
    <w:p w:rsidR="00786B3E" w:rsidRDefault="00786B3E" w:rsidP="00786B3E">
      <w:r>
        <w:t xml:space="preserve">El artículo 2, apartado 2, (14) del Reglamento FEMPA establece la definición de la pesca costera artesanal en la que se </w:t>
      </w:r>
      <w:r w:rsidR="00671C2D">
        <w:t>establece</w:t>
      </w:r>
      <w:r w:rsidR="00671C2D">
        <w:rPr>
          <w:i/>
        </w:rPr>
        <w:t xml:space="preserve"> que</w:t>
      </w:r>
      <w:r>
        <w:rPr>
          <w:i/>
        </w:rPr>
        <w:t xml:space="preserve"> «pesca costera artesanal» se refiere a las actividades pesqueras llevadas a cabo</w:t>
      </w:r>
      <w:r>
        <w:t xml:space="preserve"> por: </w:t>
      </w:r>
    </w:p>
    <w:p w:rsidR="00786B3E" w:rsidRDefault="00786B3E" w:rsidP="00786B3E">
      <w:r>
        <w:rPr>
          <w:i/>
        </w:rPr>
        <w:t>a) los buques de pesca marítima e interior de eslora total inferior a 12 metros que no utilicen los artes de arrastre definidos en el artículo 2, punto (1), del Reglamento (CE) n.º 1967/2006 del Consejo (28); o</w:t>
      </w:r>
      <w:r>
        <w:t> </w:t>
      </w:r>
    </w:p>
    <w:p w:rsidR="00786B3E" w:rsidRDefault="00786B3E" w:rsidP="00786B3E">
      <w:r>
        <w:rPr>
          <w:i/>
        </w:rPr>
        <w:t>b) pescadores a pie, incluidos los mariscadores</w:t>
      </w:r>
      <w:r>
        <w:t>;».  </w:t>
      </w:r>
    </w:p>
    <w:p w:rsidR="00786B3E" w:rsidRDefault="00786B3E" w:rsidP="00786B3E">
      <w:r>
        <w:t> </w:t>
      </w:r>
    </w:p>
    <w:p w:rsidR="00786B3E" w:rsidRDefault="00786B3E" w:rsidP="00786B3E">
      <w:r>
        <w:t>Esto significa que las operaciones relacionadas con la pesca costera a pequeña escala deben estar directamente relacionadas con las actividades de pesca costera artesanal. </w:t>
      </w:r>
    </w:p>
    <w:p w:rsidR="00786B3E" w:rsidRDefault="00786B3E" w:rsidP="00786B3E">
      <w:r>
        <w:t>El Reglamento sobre la política pesquera común (1380/2013) define en su artículo 4, apartado 1</w:t>
      </w:r>
      <w:r w:rsidR="0088115E">
        <w:t>, (</w:t>
      </w:r>
      <w:r>
        <w:t xml:space="preserve">28) la actividad </w:t>
      </w:r>
      <w:r>
        <w:rPr>
          <w:i/>
        </w:rPr>
        <w:t>pesquera como «buscar pescado, largar, calar, remolcar, halar un arte de pesca, subir capturas a bordo, transbordar, mantener a bordo, transformar a bordo, trasladar, enjaular, engorde y desembarque de pescado y productos de la pesca</w:t>
      </w:r>
      <w:r>
        <w:t>». </w:t>
      </w:r>
    </w:p>
    <w:p w:rsidR="00786B3E" w:rsidRDefault="00786B3E" w:rsidP="00786B3E">
      <w:r>
        <w:t>Los ejemplos presentados que implican actividades e inversiones en tierra, como inversiones en diversificación de actividades fuera del sector pesquero/extractivo; establecimientos de transformación o comercialización; y el turismo no está directamente relacionado con las actividades definidas en el artículo 4, apartado 1, (28) del Reglamento sobre la PPC. Por lo tanto, estas actividades e inversiones no entran en las definiciones antes citadas y, por consiguiente, están excluidas de las disposiciones relativas a la ayuda de intensidad pública del 100 %. Se considera que quedan fuera del ámbito de aplicación de la categoría de «operaciones relacionadas con la pesca costera artesanal».  </w:t>
      </w:r>
    </w:p>
    <w:p w:rsidR="00786B3E" w:rsidRDefault="00786B3E" w:rsidP="00786B3E">
      <w:r>
        <w:t>Por último, cabe señalar que corresponde a la autoridad de gestión o al Estado miembro evaluar el tipo de beneficiario y el tipo de operación y, posteriormente, determinar la intensidad de la ayuda.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r>
        <w:t> </w:t>
      </w:r>
    </w:p>
    <w:p w:rsidR="00786B3E" w:rsidRDefault="00786B3E" w:rsidP="00786B3E"/>
    <w:p w:rsidR="00786B3E" w:rsidRDefault="00786B3E" w:rsidP="00786B3E"/>
    <w:p w:rsidR="00786B3E" w:rsidRDefault="00786B3E" w:rsidP="00786B3E"/>
    <w:p w:rsidR="00786B3E" w:rsidRDefault="00786B3E" w:rsidP="00786B3E">
      <w:pPr>
        <w:pStyle w:val="Ttulo1"/>
      </w:pPr>
      <w:bookmarkStart w:id="767" w:name="scroll-bookmark-883"/>
      <w:bookmarkStart w:id="768" w:name="scroll-bookmark-884"/>
      <w:bookmarkEnd w:id="767"/>
      <w:r>
        <w:t>QA00319 — Costes generales, enfoque de costes simplificados — artículo 25, apartado 3, letra e), del RGEC</w:t>
      </w:r>
      <w:bookmarkEnd w:id="768"/>
    </w:p>
    <w:p w:rsidR="00786B3E" w:rsidRDefault="00786B3E" w:rsidP="00786B3E">
      <w:r>
        <w:rPr>
          <w:noProof/>
          <w:lang w:val="es-ES"/>
        </w:rPr>
        <w:drawing>
          <wp:inline distT="0" distB="0" distL="0" distR="0" wp14:anchorId="15326FEF" wp14:editId="4AFCE430">
            <wp:extent cx="152435" cy="152435"/>
            <wp:effectExtent l="0" t="0" r="0" b="0"/>
            <wp:docPr id="101539" name="Imagen 10153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Artículos pertinentes</w:t>
      </w:r>
      <w:r>
        <w:t>: </w:t>
      </w:r>
    </w:p>
    <w:p w:rsidR="00786B3E" w:rsidRDefault="00786B3E" w:rsidP="00786B3E">
      <w:r>
        <w:t>Artículo 55, apartado 2, del Reglamento sobre disposiciones comunes.</w:t>
      </w:r>
    </w:p>
    <w:p w:rsidR="00786B3E" w:rsidRDefault="00786B3E" w:rsidP="00786B3E">
      <w:r>
        <w:t>Artículo 7 del RGEC — Intensidad de la ayuda y costes subvencionables</w:t>
      </w:r>
    </w:p>
    <w:p w:rsidR="00786B3E" w:rsidRDefault="00786B3E" w:rsidP="00786B3E">
      <w:r>
        <w:t>Artículo 25, apartado 3, letra e), del RGEC — Ayudas a proyectos de investigación y desarrollo</w:t>
      </w:r>
    </w:p>
    <w:p w:rsidR="00786B3E" w:rsidRDefault="00786B3E" w:rsidP="00786B3E">
      <w:r>
        <w:rPr>
          <w:noProof/>
          <w:lang w:val="es-ES"/>
        </w:rPr>
        <w:drawing>
          <wp:inline distT="0" distB="0" distL="0" distR="0" wp14:anchorId="62CAE066" wp14:editId="1C0F9687">
            <wp:extent cx="152435" cy="152435"/>
            <wp:effectExtent l="0" t="0" r="0" b="0"/>
            <wp:docPr id="101541" name="Imagen 10154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PL</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Sobre la base del artículo 55, apartado 2, del Reglamento (UE) 2021/1060 del Parlamento Europeo y del Consejo, de 24 de junio de 2021, por el que se establecen las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 en relación con el artículo 7, apartado 1, del RGEC, es posible determinar los costes directos de personal de I + D a que se refiere el artículo 25, apartado 3, letra a), del RGEC mediante el cálculo de una tarifa horaria. Por otra parte, de conformidad con el artículo 25, apartado 3, letra e), del RGEC, los gastos generales adicionales y otros gastos de funcionamiento, incluidos los costes de materiales, suministros y productos similares, directamente derivados del proyecto, sin perjuicio de lo dispuesto en el artículo 7, apartado 1, tercera frase, podrán calcularse sobre la base de un enfoque de costes simplificados en forma de un tipo fijo de hasta el 20 %, aplicado a los costes totales subvencionables del proyecto de investigación y desarrollo. En este caso, los costes del proyecto de investigación y desarrollo utilizados para el cálculo de los costes indirectos se establecerán sobre la base de las prácticas contables normales y comprenderán únicamente los costes subvencionables del proyecto de investigación y desarrollo a que se refiere el artículo 25, apartado 3, letras a) a d). A la vista de la redacción de esta disposición, parece que la aplicación simultánea de una tarifa horaria para los costes de personal de este proyecto y de un tipo fijo de hasta el 20 % para los gastos generales adicionales y otros gastos de funcionamiento puede no ser posible. Teniendo en cuenta lo anterior, nos gustaría que la Comisión aclare si pueden ejecutarse diferentes OCS en un único proyecto de I + D o, como se sugiere en el artículo 25, apartado 3, letra e), del RGEC, aplicar al mismo tiempo una tarifa horaria para los costes </w:t>
      </w:r>
      <w:r>
        <w:lastRenderedPageBreak/>
        <w:t>directos de personal y una cantidad a tanto alzado de hasta el 20 % de los costes totales subvencionables del proyecto de I + D a que se refiere el artículo 25, apartado 3, letras a) a d).</w:t>
      </w:r>
    </w:p>
    <w:p w:rsidR="00786B3E" w:rsidRDefault="00786B3E" w:rsidP="00786B3E"/>
    <w:p w:rsidR="00786B3E" w:rsidRDefault="00786B3E" w:rsidP="00786B3E">
      <w:pPr>
        <w:pStyle w:val="P68B1DB1-Normal1"/>
      </w:pPr>
      <w:r>
        <w:t>Respuesta.</w:t>
      </w:r>
    </w:p>
    <w:p w:rsidR="00786B3E" w:rsidRDefault="00786B3E" w:rsidP="00786B3E">
      <w:r>
        <w:t xml:space="preserve">La distinción entre el artículo 7, apartado 1, del RGEC, relativo a los costes simplificados, y el artículo 25, apartado 3, letra e), sobre el cálculo de los costes indirectos, </w:t>
      </w:r>
      <w:r>
        <w:rPr>
          <w:i/>
        </w:rPr>
        <w:t>se aclaró en la respuesta a la pregunta 6 en el cuadro Q del GBER/TCTF del grupo de trabajo SAM, mayo</w:t>
      </w:r>
      <w:r>
        <w:t xml:space="preserve"> de</w:t>
      </w:r>
      <w:r>
        <w:rPr>
          <w:i/>
        </w:rPr>
        <w:t>2023 (disponible en eState</w:t>
      </w:r>
      <w:r>
        <w:t>aid wiki). Cuando se cumplan todas las condiciones del artículo 7, apartado 1, el enfoque de costes simplificados podrá aplicarse al calcular los costes subvencionables con arreglo al RGEC. Sin embargo, el artículo 25, apartado 3, letra e), del RGEC también permite la opción de calcular los gastos generales subvencionables y otros costes indirectos en situaciones en las que no se cumplan las condiciones del artículo 7, apartado 1.  Si, en el caso que usted describe, se cumplen todas las condiciones pertinentes de las normas de financiación de la UE, así como las del RGEC (en particular el artículo 7, apartado 1, y el artículo 25), puede utilizar efectivamente una tarifa horaria (coste unitario) en consonancia con las normas de financiación pertinentes de la UE para determinar los costes directos, por ejemplo, del personal con arreglo al artículo 25, apartado 3, letra a), y utilizar el tipo fijo del 20 % con arreglo al artículo 25, apartado 3, letra e), aplicado a los costes directos calculados como se ha explicado anteriormente, para el cálculo de los costes indirectos.</w:t>
      </w:r>
    </w:p>
    <w:p w:rsidR="00786B3E" w:rsidRDefault="00786B3E" w:rsidP="00786B3E"/>
    <w:p w:rsidR="00786B3E" w:rsidRDefault="00786B3E" w:rsidP="00786B3E"/>
    <w:p w:rsidR="00786B3E" w:rsidRDefault="00786B3E" w:rsidP="00786B3E">
      <w:pPr>
        <w:pStyle w:val="Ttulo1"/>
      </w:pPr>
      <w:bookmarkStart w:id="769" w:name="scroll-bookmark-885"/>
      <w:bookmarkStart w:id="770" w:name="scroll-bookmark-886"/>
      <w:bookmarkEnd w:id="769"/>
      <w:r>
        <w:t>QA00321 — Admisibilidad de la compra de autobuses de GNC (dentro del SO 2.8.)</w:t>
      </w:r>
      <w:bookmarkEnd w:id="770"/>
    </w:p>
    <w:p w:rsidR="00786B3E" w:rsidRDefault="00786B3E" w:rsidP="00786B3E">
      <w:r>
        <w:rPr>
          <w:noProof/>
          <w:lang w:val="es-ES"/>
        </w:rPr>
        <w:drawing>
          <wp:inline distT="0" distB="0" distL="0" distR="0" wp14:anchorId="1D0E7AFB" wp14:editId="4F90C307">
            <wp:extent cx="152435" cy="152435"/>
            <wp:effectExtent l="0" t="0" r="0" b="0"/>
            <wp:docPr id="101543" name="Imagen 10154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7 (1) (h) (iii) del Reglamento FEDER/FC</w:t>
      </w:r>
    </w:p>
    <w:p w:rsidR="00786B3E" w:rsidRDefault="00786B3E" w:rsidP="00786B3E">
      <w:r>
        <w:t xml:space="preserve">Artículo 4 (4) de la </w:t>
      </w:r>
      <w:r>
        <w:rPr>
          <w:color w:val="333333"/>
        </w:rPr>
        <w:t>Directiva 2009/33/CE relativa</w:t>
      </w:r>
      <w:r>
        <w:t xml:space="preserve"> </w:t>
      </w:r>
      <w:r>
        <w:rPr>
          <w:color w:val="333333"/>
        </w:rPr>
        <w:t>a la promoción de vehículos de transporte por carretera limpios y energéticamente eficientes</w:t>
      </w:r>
    </w:p>
    <w:p w:rsidR="00786B3E" w:rsidRDefault="00786B3E" w:rsidP="00786B3E">
      <w:r>
        <w:rPr>
          <w:color w:val="333333"/>
        </w:rPr>
        <w:t xml:space="preserve">Considerando (64) y </w:t>
      </w:r>
      <w:r>
        <w:t xml:space="preserve">artículo 2 del Reglamento (UE) 2023/1804 relativo a </w:t>
      </w:r>
      <w:r>
        <w:rPr>
          <w:color w:val="333333"/>
        </w:rPr>
        <w:t>la implantación de una infraestructura para los combustibles alternativos</w:t>
      </w:r>
    </w:p>
    <w:p w:rsidR="00786B3E" w:rsidRDefault="00786B3E" w:rsidP="00786B3E">
      <w:r>
        <w:rPr>
          <w:noProof/>
          <w:lang w:val="es-ES"/>
        </w:rPr>
        <w:drawing>
          <wp:inline distT="0" distB="0" distL="0" distR="0" wp14:anchorId="7F96C732" wp14:editId="5664B955">
            <wp:extent cx="152435" cy="152435"/>
            <wp:effectExtent l="0" t="0" r="0" b="0"/>
            <wp:docPr id="101545" name="Imagen 10154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SK</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numPr>
          <w:ilvl w:val="0"/>
          <w:numId w:val="318"/>
        </w:numPr>
      </w:pPr>
      <w:r>
        <w:t>¿Puede considerarse subvencionable la adquisición de autobuses de GNC (dentro del SO 2.8.) en 2021-2027? La cuestión se plantea en relación con la legislación modificada que define los «vehículos limpios».</w:t>
      </w:r>
    </w:p>
    <w:p w:rsidR="00786B3E" w:rsidRDefault="00786B3E" w:rsidP="00786B3E">
      <w:pPr>
        <w:numPr>
          <w:ilvl w:val="0"/>
          <w:numId w:val="318"/>
        </w:numPr>
      </w:pPr>
      <w:r>
        <w:lastRenderedPageBreak/>
        <w:t>Si la respuesta a la pregunta anterior es afirmativa, ¿pueden incluirse los autobuses de GNC en el campo de intervención 082 «Material rodante de transporte urbano limpio»?</w:t>
      </w:r>
    </w:p>
    <w:p w:rsidR="00786B3E" w:rsidRDefault="00786B3E" w:rsidP="00786B3E">
      <w:pPr>
        <w:pStyle w:val="P68B1DB1-Normal1"/>
      </w:pPr>
      <w:r>
        <w:t>Respuesta.</w:t>
      </w:r>
    </w:p>
    <w:p w:rsidR="00786B3E" w:rsidRDefault="00786B3E" w:rsidP="00786B3E">
      <w:r>
        <w:t xml:space="preserve">En principio, el artículo 7, letra h), del Reglamento (CE) n.º 2021/1058 no permite al FEDER ni al Fondo de Cohesión apoyar inversiones en vehículos que impliquen [...] </w:t>
      </w:r>
      <w:r>
        <w:rPr>
          <w:b/>
        </w:rPr>
        <w:t>la</w:t>
      </w:r>
      <w:r>
        <w:t xml:space="preserve"> combustión de combustibles fósiles». Sin embargo, la excepción prevista en el inciso iii) del mismo apartado permite la financiación de «vehículos limpios», tal como se definen en la Directiva 2009/33/CE. El artículo 4, apartado 4, letra b), de dicha Directiva define un vehículo limpio como un vehículo de </w:t>
      </w:r>
      <w:r w:rsidR="00671C2D">
        <w:t>la</w:t>
      </w:r>
      <w:r w:rsidR="00671C2D">
        <w:rPr>
          <w:vertAlign w:val="subscript"/>
        </w:rPr>
        <w:t xml:space="preserve"> categoría</w:t>
      </w:r>
      <w:r>
        <w:t xml:space="preserve"> M 3 [definido en el artículo 4, apartado 1, letra a), inciso iii), del Reglamento (UE) 2018/858], que utiliza combustibles alternativos como (entre otros) gas natural comprimido (GNC; véase el artículo 2, apartado 4, letras a) y b), del Reglamento 2023/1804].</w:t>
      </w:r>
    </w:p>
    <w:p w:rsidR="00786B3E" w:rsidRDefault="00786B3E" w:rsidP="00786B3E">
      <w:r>
        <w:t>De lo anterior se desprende que la adquisición de autobuses alimentados por GNC puede financiarse con cargo al FEDER y al Fondo de Cohesión en 2021-2027.</w:t>
      </w:r>
    </w:p>
    <w:p w:rsidR="00786B3E" w:rsidRDefault="00786B3E" w:rsidP="00786B3E">
      <w:r>
        <w:t xml:space="preserve">Aunque los autobuses propulsados por GNC cumplen los requisitos para ser considerados vehículos limpios, la nota a pie de página para el ámbito de intervención 082 del anexo 1 del Reglamento (CE) n.º 2021/1060 establece que «el material rodante para transporte urbano limpio se refiere únicamente al material rodante de </w:t>
      </w:r>
      <w:r>
        <w:rPr>
          <w:b/>
        </w:rPr>
        <w:t>emisión cero</w:t>
      </w:r>
      <w:r>
        <w:t>». El GNC no puede considerarse un combustible de emisión cero, por lo que los autobuses impulsados por GNC no pueden incluirse en el campo de intervención 082. Sin embargo, dado que los autobuses propulsados por GNL pueden considerarse vehículos limpios, tal como se definen en el artículo 4, apartado 1, letra a), inciso iii), del Reglamento (UE) 2018/858, podría considerarse el uso del campo de intervención 077 «Calidad del aire y medidas de reducción del ruido».</w:t>
      </w:r>
    </w:p>
    <w:p w:rsidR="00786B3E" w:rsidRDefault="00786B3E" w:rsidP="00786B3E"/>
    <w:p w:rsidR="00786B3E" w:rsidRDefault="00786B3E" w:rsidP="00786B3E"/>
    <w:p w:rsidR="00786B3E" w:rsidRDefault="00786B3E" w:rsidP="00786B3E">
      <w:pPr>
        <w:pStyle w:val="Ttulo1"/>
      </w:pPr>
      <w:bookmarkStart w:id="771" w:name="scroll-bookmark-887"/>
      <w:bookmarkStart w:id="772" w:name="scroll-bookmark-888"/>
      <w:bookmarkEnd w:id="771"/>
      <w:r>
        <w:t>QA00320 — Fase gradual de proyectos para los que se limitó el gasto subvencionable en 2014-2020</w:t>
      </w:r>
      <w:bookmarkEnd w:id="772"/>
    </w:p>
    <w:p w:rsidR="00786B3E" w:rsidRDefault="00786B3E" w:rsidP="00786B3E">
      <w:r>
        <w:rPr>
          <w:noProof/>
          <w:lang w:val="es-ES"/>
        </w:rPr>
        <w:drawing>
          <wp:inline distT="0" distB="0" distL="0" distR="0" wp14:anchorId="7126C891" wp14:editId="77E968F2">
            <wp:extent cx="152435" cy="152435"/>
            <wp:effectExtent l="0" t="0" r="0" b="0"/>
            <wp:docPr id="101547" name="Imagen 1015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118 bis del RDC</w:t>
      </w:r>
    </w:p>
    <w:p w:rsidR="00786B3E" w:rsidRDefault="00786B3E" w:rsidP="00786B3E">
      <w:r>
        <w:rPr>
          <w:noProof/>
          <w:lang w:val="es-ES"/>
        </w:rPr>
        <w:drawing>
          <wp:inline distT="0" distB="0" distL="0" distR="0" wp14:anchorId="506BF8EF" wp14:editId="5939CDC0">
            <wp:extent cx="152435" cy="152435"/>
            <wp:effectExtent l="0" t="0" r="0" b="0"/>
            <wp:docPr id="101549" name="Imagen 10154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La cuestión se refiere a la financiación de la segunda fase de las operaciones seleccionadas para recibir ayuda antes del 29 de junio de 2022 que cumplan todas las condiciones establecidas en el artículo 118 bis.</w:t>
      </w:r>
    </w:p>
    <w:p w:rsidR="00786B3E" w:rsidRDefault="00786B3E" w:rsidP="00786B3E">
      <w:r>
        <w:t xml:space="preserve">Para algunos de los proyectos escalonados, el documento original en el que se establecen las condiciones para la ayuda con arreglo a las normas 2014-2020 incluía un </w:t>
      </w:r>
      <w:r>
        <w:lastRenderedPageBreak/>
        <w:t>límite máximo de los gastos subvencionables que pueden declararse. Por ejemplo, el valor de las categorías de costes subvencionables era de 12 millones de euros, pero la ayuda se limitó a 5 millones de euros; o bien el importe del contrato de financiación se calculó sobre la base de estudios de previabilidad que posteriormente, sobre la base del diseño técnico detallado o de los resultados de la licitación, dieron lugar a un aumento significativo de los costes, que es superior a un simple aumento general de los precios en el mercado.</w:t>
      </w:r>
    </w:p>
    <w:p w:rsidR="00786B3E" w:rsidRDefault="00786B3E" w:rsidP="00786B3E">
      <w:r>
        <w:t>Las autoridades de gestión desearían escalonar estos proyectos, manteniendo el alcance y las categorías de costes subvencionables en el mismo sentido, pero suprimiendo el límite máximo de gastos y concediendo una subvención superior a la prevista inicialmente en 2014-2020. ¿Sería posible basarse en el artículo 118 bis?</w:t>
      </w:r>
    </w:p>
    <w:p w:rsidR="00786B3E" w:rsidRDefault="00786B3E" w:rsidP="00786B3E"/>
    <w:p w:rsidR="00786B3E" w:rsidRDefault="00786B3E" w:rsidP="00786B3E">
      <w:pPr>
        <w:pStyle w:val="P68B1DB1-Normal1"/>
      </w:pPr>
      <w:r>
        <w:t>Respuesta.</w:t>
      </w:r>
    </w:p>
    <w:p w:rsidR="00786B3E" w:rsidRDefault="00786B3E" w:rsidP="00786B3E">
      <w:r>
        <w:t>Entendemos que las operaciones en cuestión fueron seleccionadas para recibir ayuda y comenzaron antes del 29 de junio de 2022, y las autoridades de gestión desearían escalonar estos proyectos, manteniendo el alcance y las categorías de costes subvencionables iguales. La respuesta es afirmativa, si se cumplen todas las condiciones del artículo 118 bis del RDC, la autoridad de gestión puede decidir conceder ayuda a dichas operaciones y puede suprimirse el límite máximo.</w:t>
      </w:r>
    </w:p>
    <w:p w:rsidR="00786B3E" w:rsidRDefault="00786B3E" w:rsidP="00786B3E"/>
    <w:p w:rsidR="00786B3E" w:rsidRDefault="00786B3E" w:rsidP="00786B3E"/>
    <w:p w:rsidR="00786B3E" w:rsidRDefault="00786B3E" w:rsidP="00786B3E">
      <w:pPr>
        <w:pStyle w:val="Ttulo1"/>
      </w:pPr>
      <w:bookmarkStart w:id="773" w:name="scroll-bookmark-889"/>
      <w:bookmarkStart w:id="774" w:name="scroll-bookmark-890"/>
      <w:bookmarkEnd w:id="773"/>
      <w:r>
        <w:t>QA00322 — Plazo decisivo para que las operaciones finalizadas físicamente o totalmente ejecutadas no sean subvencionables</w:t>
      </w:r>
      <w:bookmarkEnd w:id="774"/>
    </w:p>
    <w:p w:rsidR="00786B3E" w:rsidRDefault="00786B3E" w:rsidP="00786B3E">
      <w:r>
        <w:rPr>
          <w:noProof/>
          <w:lang w:val="es-ES"/>
        </w:rPr>
        <w:drawing>
          <wp:inline distT="0" distB="0" distL="0" distR="0" wp14:anchorId="1997324B" wp14:editId="58711E2B">
            <wp:extent cx="152435" cy="152435"/>
            <wp:effectExtent l="0" t="0" r="0" b="0"/>
            <wp:docPr id="101551" name="Imagen 10155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63 (6) del RDC</w:t>
      </w:r>
    </w:p>
    <w:p w:rsidR="00786B3E" w:rsidRDefault="00786B3E" w:rsidP="00786B3E">
      <w:r>
        <w:rPr>
          <w:noProof/>
          <w:lang w:val="es-ES"/>
        </w:rPr>
        <w:drawing>
          <wp:inline distT="0" distB="0" distL="0" distR="0" wp14:anchorId="069F36EF" wp14:editId="250B241A">
            <wp:extent cx="152435" cy="152435"/>
            <wp:effectExtent l="0" t="0" r="0" b="0"/>
            <wp:docPr id="101553" name="Imagen 10155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LV</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pPr>
        <w:pStyle w:val="P68B1DB1-Normal4"/>
      </w:pPr>
      <w:r>
        <w:t xml:space="preserve">El artículo 63, apartado 6, del RDC establece lo siguiente: «Las operaciones </w:t>
      </w:r>
      <w:r>
        <w:rPr>
          <w:u w:val="single"/>
        </w:rPr>
        <w:t xml:space="preserve">no se seleccionarán para recibir </w:t>
      </w:r>
      <w:r>
        <w:t xml:space="preserve">ayuda de los Fondos cuando se hayan completado físicamente o se hayan ejecutado íntegramente </w:t>
      </w:r>
      <w:r>
        <w:rPr>
          <w:u w:val="single"/>
        </w:rPr>
        <w:t>antes de la solicitud de financiación</w:t>
      </w:r>
      <w:r>
        <w:t xml:space="preserve"> en el marco del programa </w:t>
      </w:r>
      <w:proofErr w:type="spellStart"/>
      <w:r>
        <w:t>i</w:t>
      </w:r>
      <w:r>
        <w:rPr>
          <w:u w:val="single"/>
        </w:rPr>
        <w:t>s</w:t>
      </w:r>
      <w:proofErr w:type="spellEnd"/>
      <w:r>
        <w:t>, independientemente de que se hayan efectuado todos los pagos correspondientes.».</w:t>
      </w:r>
    </w:p>
    <w:p w:rsidR="00786B3E" w:rsidRDefault="00786B3E" w:rsidP="00786B3E">
      <w:r>
        <w:t xml:space="preserve">Sin embargo, la ambigüedad se debe a lo siguiente: Informe publicado por el Tribunal de Cuentas Europeo, Análisis 03/2024: </w:t>
      </w:r>
      <w:r>
        <w:rPr>
          <w:i/>
        </w:rPr>
        <w:t>«Una visión general del marco de garantía y de los factores clave que contribuyeron a los errores en el gasto de cohesión 2014-2020»</w:t>
      </w:r>
      <w:r>
        <w:t xml:space="preserve"> </w:t>
      </w:r>
      <w:r>
        <w:rPr>
          <w:i/>
        </w:rPr>
        <w:t>(httpson</w:t>
      </w:r>
      <w:hyperlink r:id="rId550" w:history="1">
        <w:r>
          <w:rPr>
            <w:rStyle w:val="Hipervnculo"/>
            <w:i/>
          </w:rPr>
          <w:t>//www.eca.europa.eu/ECAPublications/RV-2024-03/RV-2024-03_EN.pdf página</w:t>
        </w:r>
      </w:hyperlink>
      <w:r>
        <w:rPr>
          <w:i/>
        </w:rPr>
        <w:t xml:space="preserve"> 51 (recuadro 6)</w:t>
      </w:r>
      <w:r>
        <w:t xml:space="preserve">) afirma que «... proyectos financiados originalmente con </w:t>
      </w:r>
      <w:r>
        <w:lastRenderedPageBreak/>
        <w:t xml:space="preserve">recursos nacionales, que se habían completado físicamente antes de </w:t>
      </w:r>
      <w:r>
        <w:rPr>
          <w:b/>
        </w:rPr>
        <w:t>su aprobación para recibir financiación de la UE y, por lo tanto, no eran subvencionables</w:t>
      </w:r>
      <w:r>
        <w:t>. Las autoridades de los Estados miembros habían interpretado incorrectamente la «finalización física» como una referencia al cierre financiero o administrativo de un proyecto. De hecho, se refiere a la finalización de las obras o actividades necesarias para la realización del proyecto, que generalmente tiene lugar antes del cierre financiero y administrativo.».</w:t>
      </w:r>
    </w:p>
    <w:p w:rsidR="00786B3E" w:rsidRDefault="00786B3E" w:rsidP="00786B3E">
      <w:r>
        <w:rPr>
          <w:b/>
        </w:rPr>
        <w:t>Nuestra interpretación</w:t>
      </w:r>
      <w:r>
        <w:t xml:space="preserve"> del artículo 63, apartado 6, del RDC ha sido que un proyecto no puede</w:t>
      </w:r>
      <w:r w:rsidR="00C06653">
        <w:t xml:space="preserve"> estar </w:t>
      </w:r>
      <w:r>
        <w:t>completa</w:t>
      </w:r>
      <w:r w:rsidR="00C06653">
        <w:t>do</w:t>
      </w:r>
      <w:r>
        <w:t xml:space="preserve"> (independientemente de que se hayan efectuado todos los pagos correspondientes) antes y en la fecha de presentación de la solicitud de financiación. Sin embargo, teniendo en cuenta la diferente duración de los períodos de ejecución de los proyectos y el período de tiempo hasta que se evalúe el mismo</w:t>
      </w:r>
      <w:r>
        <w:rPr>
          <w:b/>
        </w:rPr>
        <w:t xml:space="preserve"> proyecto y se tome la decisión final, en caso de que este proyecto se haya completado en el momento en que la autoridad otorgante adopte la decisión final, el proyecto completo aún puede seleccionarse y, de hecho, los costes del proyecto serían costes subvencionables a este respecto.</w:t>
      </w:r>
    </w:p>
    <w:p w:rsidR="00786B3E" w:rsidRDefault="00786B3E" w:rsidP="00786B3E"/>
    <w:p w:rsidR="00786B3E" w:rsidRDefault="00786B3E" w:rsidP="00786B3E">
      <w:pPr>
        <w:pStyle w:val="P68B1DB1-Normal1"/>
      </w:pPr>
      <w:r>
        <w:t>¿Qué ocurre si el proyecto se completa entre la presentación de la solicitud de financiación y la decisión final de la autoridad otorgante? A juicio de las autoridades letonas, el proyecto sería entonces subvencionable. ¿Es correcta esta afirmación?</w:t>
      </w:r>
    </w:p>
    <w:p w:rsidR="00786B3E" w:rsidRDefault="00786B3E" w:rsidP="00786B3E"/>
    <w:p w:rsidR="00786B3E" w:rsidRDefault="00786B3E" w:rsidP="00786B3E"/>
    <w:p w:rsidR="00786B3E" w:rsidRDefault="00786B3E" w:rsidP="00786B3E">
      <w:pPr>
        <w:pStyle w:val="P68B1DB1-Normal1"/>
      </w:pPr>
      <w:r>
        <w:t>Respuesta.</w:t>
      </w:r>
    </w:p>
    <w:p w:rsidR="00786B3E" w:rsidRDefault="00786B3E" w:rsidP="00786B3E">
      <w:r>
        <w:t>De conformidad con el artículo 63, apartado 6, del RDC, las operaciones que se hayan completado físicamente o se ejecuten íntegramente antes de que se presente la solicitud de financiación en el marco del programa, independientemente de que se hayan efectuado todos los pagos correspondientes, no pueden ser seleccionadas para recibir ayuda de los Fondos. El momento antes del cual las operaciones no deben completarse físicamente o ejecutarse plenamente se desprende claramente de la disposición, es decir, es la fecha de presentación de la solicitud de financiación en el marco del programa.</w:t>
      </w:r>
    </w:p>
    <w:p w:rsidR="00786B3E" w:rsidRDefault="00786B3E" w:rsidP="00786B3E">
      <w:r>
        <w:t>Existe una diferencia entre el momento en que se presenta una solicitud de financiación en el marco del programa y el momento en que una autoridad otorgante adopta la decisión final de concesión. Si una operación se completa físicamente o se ejecuta íntegramente después de la fecha de presentación de la solicitud de financiación en el marco del programa, puede seguir siendo seleccionada para recibir ayuda de los Fondos. El hecho de que la operación se complete materialmente o se ejecute plenamente antes de que la autoridad otorgante adopte la decisión final de concesión no es pertinente.</w:t>
      </w:r>
    </w:p>
    <w:p w:rsidR="00786B3E" w:rsidRDefault="00786B3E" w:rsidP="00786B3E">
      <w:r>
        <w:t xml:space="preserve">En el contexto de la selección de dichas operaciones, se recuerda que, de conformidad con el artículo 73, apartado 2, letra f), la autoridad de gestión tiene la obligación de: </w:t>
      </w:r>
      <w:r>
        <w:rPr>
          <w:i/>
        </w:rPr>
        <w:t>«verificar que, cuando las operaciones hayan comenzado antes de la presentación de una solicitud de financiación a la autoridad de gestión, se haya cumplido la legislación aplicable».</w:t>
      </w:r>
    </w:p>
    <w:p w:rsidR="00786B3E" w:rsidRDefault="00786B3E" w:rsidP="00786B3E"/>
    <w:p w:rsidR="00786B3E" w:rsidRDefault="00786B3E" w:rsidP="00786B3E"/>
    <w:p w:rsidR="00786B3E" w:rsidRDefault="00786B3E" w:rsidP="00786B3E">
      <w:pPr>
        <w:pStyle w:val="Ttulo1"/>
      </w:pPr>
      <w:bookmarkStart w:id="775" w:name="scroll-bookmark-891"/>
      <w:bookmarkStart w:id="776" w:name="scroll-bookmark-892"/>
      <w:bookmarkEnd w:id="775"/>
      <w:r>
        <w:t>QA00323 — Inversiones subvencionables en el marco de STEP e implicaciones en materia de ayudas estatales</w:t>
      </w:r>
      <w:bookmarkEnd w:id="776"/>
    </w:p>
    <w:p w:rsidR="00786B3E" w:rsidRDefault="00786B3E" w:rsidP="00786B3E">
      <w:r>
        <w:rPr>
          <w:noProof/>
          <w:lang w:val="es-ES"/>
        </w:rPr>
        <w:drawing>
          <wp:inline distT="0" distB="0" distL="0" distR="0" wp14:anchorId="3774B28B" wp14:editId="12F241B6">
            <wp:extent cx="152435" cy="152435"/>
            <wp:effectExtent l="0" t="0" r="0" b="0"/>
            <wp:docPr id="101555" name="Imagen 1015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5 del Reglamento FEDER/FC</w:t>
      </w:r>
    </w:p>
    <w:p w:rsidR="00786B3E" w:rsidRDefault="00786B3E" w:rsidP="00786B3E">
      <w:r>
        <w:rPr>
          <w:noProof/>
          <w:lang w:val="es-ES"/>
        </w:rPr>
        <w:drawing>
          <wp:inline distT="0" distB="0" distL="0" distR="0" wp14:anchorId="72CF93F8" wp14:editId="206C7B6B">
            <wp:extent cx="152435" cy="152435"/>
            <wp:effectExtent l="0" t="0" r="0" b="0"/>
            <wp:docPr id="101557" name="Imagen 1015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Y</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El Reglamento STEP tiene por objeto apoyar el desarrollo o la fabricación de tecnologías críticas en toda la Unión, o salvaguardar y reforzar sus respectivas cadenas de valor. En el contexto del Reglamento STEP, el desarrollo y la fabricación se refieren a la transición de tecnologías de la fase de demostración de viabilidad a su producción a escala comercial, incluido el perfeccionamiento de prototipos o la garantía de que las tecnologías cumplen normas estrictas de rendimiento y escalabilidad.</w:t>
      </w:r>
    </w:p>
    <w:p w:rsidR="00786B3E" w:rsidRDefault="00786B3E" w:rsidP="00786B3E">
      <w:r>
        <w:t>Durante el reciente seminario web de 25 de abril sobre la aplicación del Reglamento STEP en la política de cohesión, la Comisión aclaró (diapositiva n.º 13 de 93 de la presentación utilizada durante el seminario web) que «</w:t>
      </w:r>
      <w:r>
        <w:rPr>
          <w:i/>
        </w:rPr>
        <w:t>No hay restricciones basadas en los niveles de TRL para STEP. Sin embargo, se aplican normas específicas para cada fondo».</w:t>
      </w:r>
    </w:p>
    <w:p w:rsidR="00786B3E" w:rsidRDefault="00786B3E" w:rsidP="00786B3E">
      <w:pPr>
        <w:pStyle w:val="P68B1DB1-Normal1"/>
      </w:pPr>
      <w:r>
        <w:t>Confírmese que, en el contexto de los proyectos subvencionables en el marco del objetivo STEP, los costes de investigación industrial, además de los costes de desarrollo experimental, también pueden optar a financiación, con sujeción a los límites de las normas aplicables sobre ayudas estatales (en particular, el artículo 25 del Reglamento general de exención por categorías). </w:t>
      </w:r>
    </w:p>
    <w:p w:rsidR="00786B3E" w:rsidRDefault="00786B3E" w:rsidP="00786B3E">
      <w:pPr>
        <w:pStyle w:val="P68B1DB1-Normal1"/>
      </w:pPr>
      <w:r>
        <w:t> </w:t>
      </w:r>
    </w:p>
    <w:p w:rsidR="00786B3E" w:rsidRDefault="00786B3E" w:rsidP="00786B3E"/>
    <w:p w:rsidR="00786B3E" w:rsidRDefault="00786B3E" w:rsidP="00786B3E">
      <w:pPr>
        <w:pStyle w:val="P68B1DB1-Normal1"/>
      </w:pPr>
      <w:r>
        <w:t>Respuesta.</w:t>
      </w:r>
    </w:p>
    <w:p w:rsidR="00786B3E" w:rsidRDefault="00786B3E" w:rsidP="00786B3E">
      <w:r>
        <w:t xml:space="preserve">En el marco de los nuevos objetivos específicos relacionados con STEP, los programas del FEDER pueden apoyar la fabricación y el desarrollo de tecnologías críticas, tal como se definen en el Reglamento STEP. De conformidad con el artículo 5, apartado 1, letra b), del Reglamento (UE) 2021/1058 (FEDER/FC), las inversiones del FEDER deben apoyar la investigación aplicada. En este contexto, el enfoque de STEP es aún más específico, </w:t>
      </w:r>
      <w:r w:rsidR="002F3719">
        <w:t xml:space="preserve">ya que, </w:t>
      </w:r>
      <w:r>
        <w:t>aborda las fases de investigación aplicada más cercanas a la comercialización, que corresponden a la categoría de desarrollo experimental del artículo 25 (5) (c) del RGEC. En caso necesario, la inversión podrá incluir elementos de investigación industrial (art. 25 (5) (b) RGEC) que estén inextricablemente vinculados a ella como paso directo hacia el desarrollo.  </w:t>
      </w:r>
    </w:p>
    <w:p w:rsidR="00786B3E" w:rsidRDefault="00786B3E" w:rsidP="00786B3E"/>
    <w:p w:rsidR="00786B3E" w:rsidRDefault="00786B3E" w:rsidP="00786B3E"/>
    <w:p w:rsidR="00786B3E" w:rsidRDefault="00786B3E" w:rsidP="00786B3E">
      <w:pPr>
        <w:pStyle w:val="Ttulo1"/>
      </w:pPr>
      <w:bookmarkStart w:id="777" w:name="scroll-bookmark-893"/>
      <w:bookmarkStart w:id="778" w:name="scroll-bookmark-894"/>
      <w:bookmarkEnd w:id="777"/>
      <w:r>
        <w:t>QA00324 — primas STEP — modificación de los mapas de ayudas regionales</w:t>
      </w:r>
      <w:bookmarkEnd w:id="778"/>
    </w:p>
    <w:p w:rsidR="00786B3E" w:rsidRDefault="00786B3E" w:rsidP="00786B3E">
      <w:r>
        <w:rPr>
          <w:noProof/>
          <w:lang w:val="es-ES"/>
        </w:rPr>
        <w:drawing>
          <wp:inline distT="0" distB="0" distL="0" distR="0" wp14:anchorId="7CC7881E" wp14:editId="0DBDD559">
            <wp:extent cx="152435" cy="152435"/>
            <wp:effectExtent l="0" t="0" r="0" b="0"/>
            <wp:docPr id="101559" name="Imagen 10155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46AE60EB" wp14:editId="2AC8E9F2">
            <wp:extent cx="152435" cy="152435"/>
            <wp:effectExtent l="0" t="0" r="0" b="0"/>
            <wp:docPr id="101561" name="Imagen 10156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 HR</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pPr>
        <w:pStyle w:val="P68B1DB1-Normal1"/>
      </w:pPr>
      <w:r>
        <w:t> Al modificar el mapa de ayudas regionales para tener en cuenta el aumento de las intensidades de ayuda relacionadas con la STEP, ¿se mantendrán las demás condiciones específicas para las ayudas estatales de finalidad regional?</w:t>
      </w:r>
    </w:p>
    <w:p w:rsidR="00786B3E" w:rsidRDefault="00786B3E" w:rsidP="00786B3E"/>
    <w:p w:rsidR="00786B3E" w:rsidRDefault="00786B3E" w:rsidP="00786B3E">
      <w:pPr>
        <w:pStyle w:val="P68B1DB1-Normal1"/>
      </w:pPr>
      <w:r>
        <w:t>Respuesta.</w:t>
      </w:r>
    </w:p>
    <w:p w:rsidR="00786B3E" w:rsidRDefault="00786B3E" w:rsidP="00786B3E">
      <w:r>
        <w:t>Sí, se mantienen todas las condiciones de la ayuda regional.</w:t>
      </w:r>
    </w:p>
    <w:p w:rsidR="00786B3E" w:rsidRDefault="00786B3E" w:rsidP="00786B3E">
      <w:pPr>
        <w:pStyle w:val="P68B1DB1-Normal1"/>
      </w:pPr>
      <w:r>
        <w:t> </w:t>
      </w:r>
    </w:p>
    <w:p w:rsidR="00786B3E" w:rsidRDefault="00786B3E" w:rsidP="00786B3E">
      <w:pPr>
        <w:pStyle w:val="P68B1DB1-Normal1"/>
      </w:pPr>
      <w:r>
        <w:t>Pregunta 1.1:</w:t>
      </w:r>
    </w:p>
    <w:p w:rsidR="00786B3E" w:rsidRDefault="00786B3E" w:rsidP="00786B3E">
      <w:pPr>
        <w:pStyle w:val="P68B1DB1-Normal1"/>
      </w:pPr>
      <w:r>
        <w:t>¿Tenemos que identificar únicamente las regiones en las que la intensidad máxima de la ayuda regional debería aumentar si están cubiertas por STEP?</w:t>
      </w:r>
    </w:p>
    <w:p w:rsidR="00786B3E" w:rsidRDefault="00786B3E" w:rsidP="00786B3E">
      <w:pPr>
        <w:pStyle w:val="P68B1DB1-Normal1"/>
      </w:pPr>
      <w:r>
        <w:t>Respuesta.</w:t>
      </w:r>
    </w:p>
    <w:p w:rsidR="00786B3E" w:rsidRDefault="00786B3E" w:rsidP="00786B3E">
      <w:r>
        <w:t>A efectos de la modificación de los mapas de ayudas regionales, no es necesario identificar las regiones que se benefician de las inversiones cubiertas por el Reglamento (UE) 2024/795 (STEP).</w:t>
      </w:r>
    </w:p>
    <w:p w:rsidR="00786B3E" w:rsidRDefault="00786B3E" w:rsidP="00786B3E">
      <w:r>
        <w:t>Los Estados miembros simplemente deben notificar una modificación para indicar que, en el caso de las inversiones cubiertas por el Reglamento (UE) 2024/795, las intensidades máximas de ayuda en las zonas [actualmente en vigor] «a» se incrementan en hasta 10 puntos porcentuales y las intensidades máximas de ayuda en las zonas [actualmente en vigor] «c» se incrementan hasta 5 puntos porcentuales para el período comprendido entre el 1 de marzo de 2024 y el 31 de diciembre de 2027 como muy pronto.</w:t>
      </w:r>
    </w:p>
    <w:p w:rsidR="00786B3E" w:rsidRDefault="00786B3E" w:rsidP="00786B3E"/>
    <w:p w:rsidR="00786B3E" w:rsidRDefault="00786B3E" w:rsidP="00786B3E">
      <w:pPr>
        <w:pStyle w:val="P68B1DB1-Normal1"/>
      </w:pPr>
      <w:r>
        <w:t> Pregunta 1.2:</w:t>
      </w:r>
    </w:p>
    <w:p w:rsidR="00786B3E" w:rsidRDefault="00786B3E" w:rsidP="00786B3E">
      <w:pPr>
        <w:pStyle w:val="P68B1DB1-Normal1"/>
      </w:pPr>
      <w:r>
        <w:t>¿Debería revisarse esta modificación de las intensidades sobre la base del último mapa aprobado de España, que añade la región de Murcia a la lista de zonas que pueden optar a ayudas regionales a la inversión en virtud de la excepción del artículo 107, apartado 3, letra a), del Tratado de Funcionamiento de la Unión Europea («TFUE») (zonas «a»)?</w:t>
      </w:r>
    </w:p>
    <w:p w:rsidR="00786B3E" w:rsidRDefault="00786B3E" w:rsidP="00786B3E">
      <w:pPr>
        <w:pStyle w:val="P68B1DB1-Normal1"/>
      </w:pPr>
      <w:r>
        <w:lastRenderedPageBreak/>
        <w:t>Respuesta.</w:t>
      </w:r>
    </w:p>
    <w:p w:rsidR="00786B3E" w:rsidRDefault="00786B3E" w:rsidP="00786B3E">
      <w:r>
        <w:t>Sí, se tiene en cuenta la última versión del mapa de ayudas regionales modificado.</w:t>
      </w:r>
    </w:p>
    <w:p w:rsidR="00786B3E" w:rsidRDefault="00786B3E" w:rsidP="00786B3E">
      <w:pPr>
        <w:pStyle w:val="P68B1DB1-Normal1"/>
      </w:pPr>
      <w:r>
        <w:t> </w:t>
      </w:r>
    </w:p>
    <w:p w:rsidR="00786B3E" w:rsidRDefault="00786B3E" w:rsidP="00786B3E">
      <w:pPr>
        <w:pStyle w:val="P68B1DB1-Normal1"/>
      </w:pPr>
      <w:r>
        <w:t>Pregunta 2:</w:t>
      </w:r>
    </w:p>
    <w:p w:rsidR="00786B3E" w:rsidRDefault="00786B3E" w:rsidP="00786B3E">
      <w:pPr>
        <w:pStyle w:val="P68B1DB1-Normal1"/>
      </w:pPr>
      <w:r>
        <w:t>Cuando los Estados miembros modifican sus mapas de ayudas regionales, de conformidad con la Comunicación de la Comisión por la que se complementan las Directrices sobre las ayudas estatales de finalidad regional en relación con STEP, ¿debe dirigirse el mapa de ayudas regionales a las fuentes exactas de financiación en el marco de STEP e indicarlas en el texto?</w:t>
      </w:r>
    </w:p>
    <w:p w:rsidR="00786B3E" w:rsidRDefault="00786B3E" w:rsidP="00786B3E">
      <w:pPr>
        <w:pStyle w:val="P68B1DB1-Normal1"/>
      </w:pPr>
      <w:r>
        <w:t>Respuesta.</w:t>
      </w:r>
    </w:p>
    <w:p w:rsidR="00786B3E" w:rsidRDefault="00786B3E" w:rsidP="00786B3E">
      <w:r>
        <w:t>No es necesario indicar las fuentes de financiación en la modificación del mapa de ayudas regionales. El objetivo de la modificación del mapa de ayudas regionales en el contexto de STEP es especificar qué intensidades máximas de ayuda se aplican a las inversiones cubiertas por STEP en zonas «a» (hasta 10 puntos porcentuales) y «c» (hasta 5 puntos porcentuales), aplicables desde el 1 de marzo de 2024 como muy pronto hasta el 31 de diciembre de 2027.</w:t>
      </w:r>
    </w:p>
    <w:p w:rsidR="00786B3E" w:rsidRDefault="00786B3E" w:rsidP="00786B3E"/>
    <w:p w:rsidR="00786B3E" w:rsidRDefault="00786B3E" w:rsidP="00786B3E"/>
    <w:p w:rsidR="00786B3E" w:rsidRDefault="00786B3E" w:rsidP="00786B3E">
      <w:pPr>
        <w:pStyle w:val="Ttulo1"/>
      </w:pPr>
      <w:bookmarkStart w:id="779" w:name="scroll-bookmark-895"/>
      <w:bookmarkStart w:id="780" w:name="scroll-bookmark-896"/>
      <w:bookmarkEnd w:id="779"/>
      <w:r>
        <w:t>QA00325 — Preguntas adicionales de STEP sobre cuestiones relativas a las ayudas estatales</w:t>
      </w:r>
      <w:bookmarkEnd w:id="780"/>
    </w:p>
    <w:p w:rsidR="00786B3E" w:rsidRDefault="00786B3E" w:rsidP="00786B3E">
      <w:r>
        <w:rPr>
          <w:noProof/>
          <w:lang w:val="es-ES"/>
        </w:rPr>
        <w:drawing>
          <wp:inline distT="0" distB="0" distL="0" distR="0" wp14:anchorId="78C3A2D5" wp14:editId="044AAEE2">
            <wp:extent cx="152435" cy="152435"/>
            <wp:effectExtent l="0" t="0" r="0" b="0"/>
            <wp:docPr id="101563" name="Imagen 1015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4023BDFD" wp14:editId="363C5AFE">
            <wp:extent cx="152435" cy="152435"/>
            <wp:effectExtent l="0" t="0" r="0" b="0"/>
            <wp:docPr id="101565" name="Imagen 1015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Estados miembros</w:t>
      </w:r>
      <w:r>
        <w:t>: RO, CZ, ES, HU</w:t>
      </w:r>
      <w:r>
        <w:rPr>
          <w:color w:val="050505"/>
        </w:rPr>
        <w:t>, FR</w:t>
      </w:r>
    </w:p>
    <w:p w:rsidR="00786B3E" w:rsidRDefault="00786B3E" w:rsidP="00786B3E"/>
    <w:p w:rsidR="00786B3E" w:rsidRDefault="00786B3E" w:rsidP="00786B3E">
      <w:pPr>
        <w:pStyle w:val="P68B1DB1-Normal13"/>
      </w:pPr>
      <w:r>
        <w:t>Contribución del beneficiario </w:t>
      </w:r>
    </w:p>
    <w:p w:rsidR="00786B3E" w:rsidRDefault="00786B3E" w:rsidP="00786B3E">
      <w:pPr>
        <w:pStyle w:val="P68B1DB1-Normal1"/>
      </w:pPr>
      <w:r>
        <w:t>Pregunta 1:</w:t>
      </w:r>
    </w:p>
    <w:p w:rsidR="00786B3E" w:rsidRDefault="00786B3E" w:rsidP="00786B3E">
      <w:pPr>
        <w:pStyle w:val="P68B1DB1-Normal1"/>
      </w:pPr>
      <w:r>
        <w:t>¿Sigue siendo válida la disposición del artículo 14, apartado (14), relativa a la contribución del beneficiario de al menos el 25 % de los costes subvencionables? ¿Es posible alcanzar una intensidad de ayuda estatal regional superior al 75 % para las pequeñas empresas?           </w:t>
      </w:r>
    </w:p>
    <w:p w:rsidR="00786B3E" w:rsidRDefault="00786B3E" w:rsidP="00786B3E">
      <w:pPr>
        <w:pStyle w:val="P68B1DB1-Normal1"/>
      </w:pPr>
      <w:r>
        <w:t>Respuesta.</w:t>
      </w:r>
    </w:p>
    <w:p w:rsidR="00786B3E" w:rsidRDefault="00786B3E" w:rsidP="00786B3E">
      <w:r>
        <w:t>Sigue siendo válida. Actualmente, en virtud del artículo 14 del RGEC, no es posible alcanzar una intensidad superior al 75 %, excepto en el caso de las regiones ultraperiféricas.</w:t>
      </w:r>
    </w:p>
    <w:p w:rsidR="00786B3E" w:rsidRDefault="00786B3E" w:rsidP="00786B3E"/>
    <w:p w:rsidR="00786B3E" w:rsidRDefault="00786B3E" w:rsidP="00786B3E">
      <w:pPr>
        <w:pStyle w:val="P68B1DB1-Normal1"/>
      </w:pPr>
      <w:r>
        <w:t>Pregunta 2: </w:t>
      </w:r>
    </w:p>
    <w:p w:rsidR="00786B3E" w:rsidRDefault="00786B3E" w:rsidP="00786B3E">
      <w:pPr>
        <w:pStyle w:val="P68B1DB1-Normal1"/>
      </w:pPr>
      <w:r>
        <w:lastRenderedPageBreak/>
        <w:t>¿Pueden aclarar las normas de acumulación que deben aplicarse cuando una empresa recibe, para los mismos costes subvencionables (total o parcialmente):</w:t>
      </w:r>
    </w:p>
    <w:p w:rsidR="00786B3E" w:rsidRDefault="00786B3E" w:rsidP="00786B3E">
      <w:pPr>
        <w:pStyle w:val="P68B1DB1-Normal1"/>
      </w:pPr>
      <w:r>
        <w:t> I) una ayuda estatal (concedida sobre la base del RGEC, las directrices o un marco temporal) y</w:t>
      </w:r>
    </w:p>
    <w:p w:rsidR="00786B3E" w:rsidRDefault="00786B3E" w:rsidP="00786B3E">
      <w:pPr>
        <w:pStyle w:val="P68B1DB1-Normal1"/>
      </w:pPr>
      <w:r>
        <w:t>II) una financiación de los fondos del RDC cubiertos por el Reglamento STEP?</w:t>
      </w:r>
    </w:p>
    <w:p w:rsidR="00786B3E" w:rsidRDefault="00786B3E" w:rsidP="00786B3E">
      <w:pPr>
        <w:pStyle w:val="P68B1DB1-Normal1"/>
      </w:pPr>
      <w:r>
        <w:t> </w:t>
      </w:r>
    </w:p>
    <w:p w:rsidR="00786B3E" w:rsidRDefault="00786B3E" w:rsidP="00786B3E">
      <w:r>
        <w:t>La gestión de los fondos del RDC [fondos cubiertos por el Reglamento sobre disposiciones comunes 2021-2027, es decir, el Fondo Europeo de Desarrollo Regional (FEDER), el Fondo de Cohesión (FC), el Fondo Social Europeo Plus (FSE +) y el Fondo de Transición Justa (FTJ)] es responsabilidad tanto de la Comisión como de los Estados miembros («gestión compartida»). Las autoridades nacionales disponen de un cierto margen de discrecionalidad en cuanto a su uso, incluida la selección de los beneficiarios (de la financiación de STEP). Por consiguiente, los recursos de los fondos del RDC (y, por tanto, la financiación de STEP en el marco de dichos fondos) se consideran «recursos estatales» y, por lo tanto, pueden constituir ayuda estatal.</w:t>
      </w:r>
    </w:p>
    <w:p w:rsidR="00786B3E" w:rsidRDefault="00786B3E" w:rsidP="00786B3E">
      <w:r>
        <w:t>Cuando la financiación STEP de un fondo del RDC se combine con otras ayudas estatales, debe tenerse en cuenta el importe total de la ayuda estatal (= financiación STEP + otras ayudas concedidas) para el mismo proyecto, para los mismos costes subvencionables, a la hora de determinar si se respetan los umbrales de notificación y las intensidades máximas de ayuda o los importes máximos de ayuda.</w:t>
      </w:r>
    </w:p>
    <w:p w:rsidR="00786B3E" w:rsidRDefault="00786B3E" w:rsidP="00786B3E">
      <w:r>
        <w:t>El importe total acumulado de la ayuda estatal, que cubra los mismos costes subvencionables, total o parcialmente, no debe dar lugar a que se supere la intensidad de ayuda o el importe de ayuda más elevados aplicables a dicha ayuda en virtud del RGEC.</w:t>
      </w:r>
    </w:p>
    <w:p w:rsidR="00786B3E" w:rsidRDefault="00786B3E" w:rsidP="00786B3E"/>
    <w:p w:rsidR="00786B3E" w:rsidRDefault="00786B3E" w:rsidP="00786B3E">
      <w:pPr>
        <w:pStyle w:val="P68B1DB1-Normal13"/>
      </w:pPr>
      <w:r>
        <w:t>Otras exenciones en virtud de las normas sobre ayudas estatales para proyectos STEP</w:t>
      </w:r>
    </w:p>
    <w:p w:rsidR="00786B3E" w:rsidRDefault="00786B3E" w:rsidP="00786B3E">
      <w:pPr>
        <w:pStyle w:val="P68B1DB1-Normal1"/>
      </w:pPr>
      <w:r>
        <w:t>Pregunta 3:</w:t>
      </w:r>
    </w:p>
    <w:p w:rsidR="00786B3E" w:rsidRDefault="00786B3E" w:rsidP="00786B3E">
      <w:pPr>
        <w:pStyle w:val="P68B1DB1-Normal1"/>
      </w:pPr>
      <w:r>
        <w:t>¿Qué exenciones para la concesión de ayudas estatales pueden utilizarse para proyectos adecuados para la plataforma STEP? ¿Es posible establecer una notificación de ayuda de conformidad con el artículo 107 del TFUE en las condiciones de la Plataforma STEP?</w:t>
      </w:r>
    </w:p>
    <w:p w:rsidR="00786B3E" w:rsidRDefault="00786B3E" w:rsidP="00786B3E">
      <w:pPr>
        <w:pStyle w:val="P68B1DB1-Normal1"/>
      </w:pPr>
      <w:r>
        <w:t>Respuesta.</w:t>
      </w:r>
    </w:p>
    <w:p w:rsidR="00786B3E" w:rsidRDefault="00786B3E" w:rsidP="00786B3E">
      <w:r>
        <w:t>Dependiendo del objetivo del proyecto concreto, pueden aplicarse diversas exenciones en virtud del Reglamento general de exención por categorías (RGEC), siempre que se cumplan las condiciones de aplicación de dichas disposiciones.</w:t>
      </w:r>
    </w:p>
    <w:p w:rsidR="00786B3E" w:rsidRDefault="00786B3E" w:rsidP="00786B3E">
      <w:r>
        <w:t xml:space="preserve">Entre ellos, los siguientes parecen ser los más relevantes: Ayudas regionales a la inversión (art. 14 RGEC); Ayudas a la inversión en favor de las PYME (art. 17 del RGEC); ayudas para proyectos de I + D (art. 25); La ayuda concedida a un proyecto/estudio de viabilidad de I + D cofinanciado, incluidos los proyectos de I + D ejecutados en el marco de una asociación institucionalizada europea basada en el artículo 185 o el artículo 187 del Tratado o una acción de cofinanciación del programa, tal como se define en las normas del programa Horizonte Europa (artículo 25 quater del RGEC); Ayuda concedida </w:t>
      </w:r>
      <w:r>
        <w:lastRenderedPageBreak/>
        <w:t xml:space="preserve">para cofinanciar un proyecto de I + D financiado por el Fondo Europeo de Defensa o el Programa Europeo de Desarrollo Industrial en materia de Defensa (artículo 25 sexies del RGEC); Ayudas a la inversión para infraestructuras de investigación (art. 26 RGEC); Ayudas a la inversión para infraestructuras de ensayo y experimentación (artículo 26 bis del RGEC); Ayudas a la inversión para la captura y el transporte de CO2 (art. 36 RGEC); Ayudas a la inversión para la promoción de la energía procedente de fuentes renovables, del hidrógeno renovable y de la cogeneración de alta eficiencia (art. 41 del RGEC); Ayudas a la inversión para la eficiencia de los recursos y para apoyar la transición hacia una economía circular (artículo 47 del RGEC); Ayudas a la inversión para infraestructuras energéticas (art. 48 RGEC); y si el proyecto recibe apoyo de fondos InvestEU: Ayudas incluidas en productos financieros apoyados por el Fondo InvestEU, </w:t>
      </w:r>
      <w:r w:rsidR="00214B1C">
        <w:t xml:space="preserve">por ejemplo, </w:t>
      </w:r>
      <w:r>
        <w:t>para la generación de energía y las infraestructuras energéticas, la protección del medio ambiente, incluida la protección del clima, la I + D, la innovación y la digitalización (artículos 56 sexies o 56 septies del RGEC).</w:t>
      </w:r>
    </w:p>
    <w:p w:rsidR="00786B3E" w:rsidRDefault="00786B3E" w:rsidP="00786B3E">
      <w:r>
        <w:t>Si una medida de ayuda estatal no cumple los criterios del RGEC, debe notificarse (antes de su aplicación) a la Comisión, que evaluará si la ayuda estatal puede aprobarse con arreglo a las Directrices sobre ayudas estatales aplicables al objetivo de la ayuda (como las Directrices sobre ayudas regionales para 2022-2027, el Marco sobre ayudas estatales de investigación y desarrollo e innovación; o los criterios para el análisis de la compatibilidad con el mercado interior de las ayudas estatales para fomentar la ejecución de proyectos importantes de interés común europeo («PIICE»), o directamente en virtud del artículo 107 (3), letras a), b) o c), del Tratado.</w:t>
      </w:r>
    </w:p>
    <w:p w:rsidR="00786B3E" w:rsidRDefault="00786B3E" w:rsidP="00786B3E">
      <w:pPr>
        <w:pStyle w:val="P68B1DB1-Normal1"/>
      </w:pPr>
      <w:r>
        <w:t> </w:t>
      </w:r>
    </w:p>
    <w:p w:rsidR="00786B3E" w:rsidRDefault="00786B3E" w:rsidP="00786B3E">
      <w:pPr>
        <w:pStyle w:val="P68B1DB1-Normal1"/>
      </w:pPr>
      <w:r>
        <w:t>Pregunta 4:</w:t>
      </w:r>
    </w:p>
    <w:p w:rsidR="00786B3E" w:rsidRDefault="00786B3E" w:rsidP="00786B3E">
      <w:pPr>
        <w:pStyle w:val="P68B1DB1-Normal1"/>
      </w:pPr>
      <w:r>
        <w:t>Sello de soberanía: ¿está previsto modificar el RGEC para incluir una categoría específica de ayuda para proyectos con «sello de soberanía»?</w:t>
      </w:r>
    </w:p>
    <w:p w:rsidR="00786B3E" w:rsidRDefault="00786B3E" w:rsidP="00786B3E">
      <w:pPr>
        <w:pStyle w:val="P68B1DB1-Normal1"/>
      </w:pPr>
      <w:r>
        <w:t>Respuesta.</w:t>
      </w:r>
    </w:p>
    <w:p w:rsidR="00786B3E" w:rsidRDefault="00786B3E" w:rsidP="00786B3E">
      <w:r>
        <w:t xml:space="preserve">La Comisión no tiene previsto modificar el RGEC para incluir una categoría específica de ayuda para proyectos con sello de soberanía.  Véase también la respuesta en la pregunta </w:t>
      </w:r>
      <w:hyperlink w:anchor="scroll-bookmark-851" w:history="1">
        <w:r>
          <w:rPr>
            <w:rStyle w:val="Hipervnculo"/>
            <w:i/>
          </w:rPr>
          <w:t>00310</w:t>
        </w:r>
      </w:hyperlink>
      <w:r>
        <w:t>.</w:t>
      </w:r>
    </w:p>
    <w:p w:rsidR="00786B3E" w:rsidRDefault="00786B3E" w:rsidP="00786B3E"/>
    <w:p w:rsidR="00786B3E" w:rsidRDefault="00786B3E" w:rsidP="00786B3E">
      <w:pPr>
        <w:pStyle w:val="P68B1DB1-Normal1"/>
      </w:pPr>
      <w:r>
        <w:t>Pregunta 5:</w:t>
      </w:r>
    </w:p>
    <w:p w:rsidR="00786B3E" w:rsidRDefault="00786B3E" w:rsidP="00786B3E">
      <w:pPr>
        <w:pStyle w:val="P68B1DB1-Normal1"/>
      </w:pPr>
      <w:r>
        <w:t>En el caso de los proyectos que contribuyen a los objetivos de STEP, ¿tiene previsto la Comisión introducir otras medidas de incentivo en relación con el Reglamento general de exención por categorías (Reglamento de la Comisión 651/2014/UE), además de aumentar la intensidad máxima de ayuda que puede concederse en el caso de las ayudas regionales a la inversión, reguladas en las DAR?</w:t>
      </w:r>
    </w:p>
    <w:p w:rsidR="00786B3E" w:rsidRDefault="00786B3E" w:rsidP="00786B3E">
      <w:pPr>
        <w:pStyle w:val="P68B1DB1-Normal1"/>
      </w:pPr>
      <w:r>
        <w:t>Respuesta.</w:t>
      </w:r>
    </w:p>
    <w:p w:rsidR="00786B3E" w:rsidRDefault="00786B3E" w:rsidP="00786B3E">
      <w:r>
        <w:t>En esta fase no se prevén otras medidas. Téngase en cuenta que la prima STEP también se aplica a las ayudas en virtud del RGEC con arreglo al artículo 14, apartado 12, que se refiere a las intensidades de ayuda aplicables en el mapa de ayudas regionales.</w:t>
      </w:r>
    </w:p>
    <w:p w:rsidR="00786B3E" w:rsidRDefault="00786B3E" w:rsidP="00786B3E"/>
    <w:p w:rsidR="00786B3E" w:rsidRDefault="00786B3E" w:rsidP="00786B3E"/>
    <w:p w:rsidR="00786B3E" w:rsidRDefault="00786B3E" w:rsidP="00786B3E">
      <w:pPr>
        <w:pStyle w:val="Ttulo1"/>
      </w:pPr>
      <w:bookmarkStart w:id="781" w:name="scroll-bookmark-897"/>
      <w:bookmarkStart w:id="782" w:name="scroll-bookmark-898"/>
      <w:bookmarkEnd w:id="781"/>
      <w:r>
        <w:t>QA00326 — Normas de aplicación de las primas STEP</w:t>
      </w:r>
      <w:bookmarkEnd w:id="782"/>
    </w:p>
    <w:p w:rsidR="00786B3E" w:rsidRDefault="00786B3E" w:rsidP="00786B3E">
      <w:r>
        <w:rPr>
          <w:noProof/>
          <w:lang w:val="es-ES"/>
        </w:rPr>
        <w:drawing>
          <wp:inline distT="0" distB="0" distL="0" distR="0" wp14:anchorId="447B9212" wp14:editId="539FA789">
            <wp:extent cx="152435" cy="152435"/>
            <wp:effectExtent l="0" t="0" r="0" b="0"/>
            <wp:docPr id="101567" name="Imagen 1015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w:t>
      </w:r>
    </w:p>
    <w:p w:rsidR="00786B3E" w:rsidRDefault="00786B3E" w:rsidP="00786B3E">
      <w:r>
        <w:rPr>
          <w:noProof/>
          <w:lang w:val="es-ES"/>
        </w:rPr>
        <w:drawing>
          <wp:inline distT="0" distB="0" distL="0" distR="0" wp14:anchorId="2EEB1B4C" wp14:editId="0C82F500">
            <wp:extent cx="152435" cy="152435"/>
            <wp:effectExtent l="0" t="0" r="0" b="0"/>
            <wp:docPr id="101569" name="Imagen 1015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Estados miembros</w:t>
      </w:r>
      <w:r>
        <w:t>: RO, HR, NL, IT, LV, ES, FR</w:t>
      </w:r>
    </w:p>
    <w:p w:rsidR="00786B3E" w:rsidRDefault="00786B3E" w:rsidP="00786B3E"/>
    <w:p w:rsidR="00786B3E" w:rsidRDefault="00786B3E" w:rsidP="00786B3E">
      <w:pPr>
        <w:pStyle w:val="P68B1DB1-Normal13"/>
      </w:pPr>
      <w:r>
        <w:t>Ámbito de aplicación: Inversión relacionada con STEP o prioridad específica STEP</w:t>
      </w:r>
    </w:p>
    <w:p w:rsidR="00786B3E" w:rsidRDefault="00786B3E" w:rsidP="00786B3E">
      <w:pPr>
        <w:pStyle w:val="P68B1DB1-Normal1"/>
      </w:pPr>
      <w:r>
        <w:t>Pregunta 1:</w:t>
      </w:r>
    </w:p>
    <w:p w:rsidR="00786B3E" w:rsidRDefault="00786B3E" w:rsidP="00786B3E">
      <w:pPr>
        <w:pStyle w:val="P68B1DB1-Normal1"/>
      </w:pPr>
      <w:r>
        <w:t>¿Se aplica la bonificación prevista en la modificación de las Directrices sobre ayudas regionales a todo el proyecto de inversión o solo a las actividades del proyecto que contribuyen a los objetivos de STEP?</w:t>
      </w:r>
    </w:p>
    <w:p w:rsidR="00786B3E" w:rsidRDefault="00786B3E" w:rsidP="00786B3E">
      <w:pPr>
        <w:pStyle w:val="P68B1DB1-Normal1"/>
      </w:pPr>
      <w:r>
        <w:t>Respuesta.</w:t>
      </w:r>
    </w:p>
    <w:p w:rsidR="00786B3E" w:rsidRDefault="00786B3E" w:rsidP="00786B3E">
      <w:r>
        <w:t>Las intensidades de ayuda establecidas en el mapa de ayudas regionales se incrementan con la bonificación STEP. Por lo tanto, la intensidad de ayuda en la zona en cuestión (incluida la bonificación STEP) solo se aplica cuando todo el proyecto de inversión entra en el ámbito de aplicación del Reglamento STEP.</w:t>
      </w:r>
    </w:p>
    <w:p w:rsidR="00786B3E" w:rsidRDefault="00786B3E" w:rsidP="00786B3E"/>
    <w:p w:rsidR="00786B3E" w:rsidRDefault="00786B3E" w:rsidP="00786B3E">
      <w:pPr>
        <w:pStyle w:val="P68B1DB1-Normal1"/>
      </w:pPr>
      <w:r>
        <w:t>Pregunta 2:</w:t>
      </w:r>
    </w:p>
    <w:p w:rsidR="00786B3E" w:rsidRDefault="00786B3E" w:rsidP="00786B3E">
      <w:r>
        <w:t>Es importante aclarar el alcance del aumento previsto en el considerando 5 de la Comunicación de la Comisión por la que se complementan las Directrices sobre las ayudas estatales de finalidad regional relacionadas con STEP. Se afirma que las primas pueden aplicarse «a las inversiones cubiertas por el Reglamento (UE) 2024/795».</w:t>
      </w:r>
    </w:p>
    <w:p w:rsidR="00786B3E" w:rsidRDefault="00786B3E" w:rsidP="00786B3E">
      <w:pPr>
        <w:pStyle w:val="P68B1DB1-Normal1"/>
      </w:pPr>
      <w:r>
        <w:t>¿Podría confirmar que basta con que un proyecto contribuya a los objetivos del Reglamento STEP (por ejemplo, proyectos para crear una empresa que produzca tecnologías de cero emisiones netas) para beneficiarse de las primas, y que no es necesario que el proyecto se etiquete con un «sello STEP» en virtud del Reglamento STEP?</w:t>
      </w:r>
    </w:p>
    <w:p w:rsidR="00786B3E" w:rsidRDefault="00786B3E" w:rsidP="00786B3E">
      <w:pPr>
        <w:pStyle w:val="P68B1DB1-Normal1"/>
      </w:pPr>
      <w:r>
        <w:t> Respuesta.</w:t>
      </w:r>
    </w:p>
    <w:p w:rsidR="00786B3E" w:rsidRDefault="00786B3E" w:rsidP="00786B3E">
      <w:r>
        <w:t>Para poder beneficiarse del aumento de las intensidades máximas de ayuda aplicables a las inversiones cubiertas por el Reglamento (UE) 2024/795 («Reglamento STEP»), introducido por la reciente modificación de las Directrices sobre las ayudas estatales de finalidad regional (DAR), el proyecto debe estar cubierto por el Reglamento STEP. La existencia de un sello STEP para un proyecto concreto no es una condición para la aplicación de la bonificación STEP.</w:t>
      </w:r>
    </w:p>
    <w:p w:rsidR="00786B3E" w:rsidRDefault="00786B3E" w:rsidP="00786B3E">
      <w:pPr>
        <w:pStyle w:val="P68B1DB1-Normal1"/>
      </w:pPr>
      <w:r>
        <w:t>Pregunta 3:</w:t>
      </w:r>
    </w:p>
    <w:p w:rsidR="00786B3E" w:rsidRDefault="00786B3E" w:rsidP="00786B3E">
      <w:pPr>
        <w:pStyle w:val="P68B1DB1-Normal1"/>
      </w:pPr>
      <w:r>
        <w:t xml:space="preserve">A raíz de la Comunicación de la Comisión por la que se complementan las Directrices sobre las ayudas estatales de finalidad regional en relación con STEP, solicitamos aclaraciones sobre lo siguiente: para calificar un proyecto para el uso del mapa de ayudas regionales, ¿es importante que el proyecto esté programado (también en </w:t>
      </w:r>
      <w:r>
        <w:lastRenderedPageBreak/>
        <w:t>programas de PC y en el MRR) en la prioridad STEP, o se aplique a proyectos que tengan una «etiqueta» de STEP asignada a proyectos existentes (por ejemplo, el código de intervención de STEP), o se aplica a cualquier proyecto que, en su «espíritu», se ajuste a los objetivos de STEP?</w:t>
      </w:r>
    </w:p>
    <w:p w:rsidR="00786B3E" w:rsidRDefault="00786B3E" w:rsidP="00786B3E">
      <w:pPr>
        <w:pStyle w:val="P68B1DB1-Normal1"/>
      </w:pPr>
      <w:r>
        <w:t>Respuesta.</w:t>
      </w:r>
    </w:p>
    <w:p w:rsidR="00786B3E" w:rsidRDefault="00786B3E" w:rsidP="00786B3E">
      <w:r>
        <w:t>Por lo que respecta a los proyectos seleccionados para recibir ayuda en el marco del FEDER, el Fondo de Cohesión, el FSE + o el FTJ, un proyecto puede acogerse a las intensidades de ayuda incrementadas relacionadas con STEP para zonas asistidas (con arreglo a las Directrices sobre ayudas estatales) cuando se ajuste a los objetivos de STEP en virtud del artículo 2 del Reglamento (UE) 2024/795, independientemente de si está incluido en el programa en las prioridades dedicadas a las inversiones que contribuyan a los objetivos de STEP (a menos que lo exija el Reglamento específico de los fondos) o de si tiene un «sello de soberanía» en virtud del artículo 4 del Reglamento (UE) 2024/795.</w:t>
      </w:r>
    </w:p>
    <w:p w:rsidR="00786B3E" w:rsidRDefault="00786B3E" w:rsidP="00786B3E">
      <w:pPr>
        <w:pStyle w:val="P68B1DB1-Normal1"/>
      </w:pPr>
      <w:r>
        <w:t> </w:t>
      </w:r>
    </w:p>
    <w:p w:rsidR="00786B3E" w:rsidRDefault="00786B3E" w:rsidP="00786B3E">
      <w:pPr>
        <w:pStyle w:val="P68B1DB1-Normal1"/>
      </w:pPr>
      <w:r>
        <w:t>Pregunta 4:</w:t>
      </w:r>
    </w:p>
    <w:p w:rsidR="00786B3E" w:rsidRDefault="00786B3E" w:rsidP="00786B3E">
      <w:pPr>
        <w:pStyle w:val="P68B1DB1-Normal1"/>
      </w:pPr>
      <w:r>
        <w:t>¿Puede aclarar la Comisión si el régimen de ayudas estatales flexible (el denominado bono STEP) también se aplica a las actividades ordinarias del FTJ, es decir, las actividades que no están explícitamente programadas en el marco del objetivo de STEP en el RDC?</w:t>
      </w:r>
    </w:p>
    <w:p w:rsidR="00786B3E" w:rsidRDefault="00786B3E" w:rsidP="00786B3E">
      <w:pPr>
        <w:pStyle w:val="P68B1DB1-Normal1"/>
      </w:pPr>
      <w:r>
        <w:t>Respuesta.</w:t>
      </w:r>
    </w:p>
    <w:p w:rsidR="00786B3E" w:rsidRDefault="00786B3E" w:rsidP="00786B3E">
      <w:r>
        <w:t>El aumento de las intensidades de ayuda relacionadas con STEP en zonas asistidas se aplica a las inversiones que contribuyen a los objetivos de STEP a que se refiere el artículo 2 del Reglamento (UE) 2024/795, independientemente de si dichas inversiones están incluidas en el programa en las prioridades dedicadas a las inversiones que contribuyen a los objetivos de STEP. Deben cumplirse todas las demás condiciones del artículo 14 del RGEC o de las DAR.</w:t>
      </w:r>
    </w:p>
    <w:p w:rsidR="00786B3E" w:rsidRDefault="00786B3E" w:rsidP="00786B3E"/>
    <w:p w:rsidR="00786B3E" w:rsidRDefault="00786B3E" w:rsidP="00786B3E">
      <w:pPr>
        <w:pStyle w:val="P68B1DB1-Normal1"/>
      </w:pPr>
      <w:r>
        <w:t>Pregunta 5:</w:t>
      </w:r>
    </w:p>
    <w:p w:rsidR="00786B3E" w:rsidRDefault="00786B3E" w:rsidP="00786B3E">
      <w:pPr>
        <w:pStyle w:val="P68B1DB1-Normal1"/>
      </w:pPr>
      <w:r>
        <w:t>El considerando 6 de la Comunicación de la Comisión por la que se complementan las Directrices sobre las ayudas estatales de finalidad regional relacionadas con la Plataforma de Tecnologías Estratégicas para Europa (STEP) establece que «los aumentos podrán aplicarse al período comprendido entre el 1 de marzo de 2024, fecha de entrada en vigor del Reglamento (UE) 2024/795, y el 31 de diciembre de 2027, fecha hasta la que se aplican los mapas actuales de ayudas regionales».</w:t>
      </w:r>
    </w:p>
    <w:p w:rsidR="00786B3E" w:rsidRDefault="00786B3E" w:rsidP="00786B3E">
      <w:pPr>
        <w:pStyle w:val="P68B1DB1-Normal1"/>
      </w:pPr>
      <w:r>
        <w:t> ¿Podrían especificar las modalidades prácticas de aplicación de esta disposición? En concreto:</w:t>
      </w:r>
    </w:p>
    <w:p w:rsidR="00786B3E" w:rsidRDefault="00786B3E" w:rsidP="00786B3E">
      <w:pPr>
        <w:pStyle w:val="P68B1DB1-Normal1"/>
      </w:pPr>
      <w:r>
        <w:t>1) ¿podrían confirmar que es posible aplicar el aumento de la intensidad de la ayuda a cualquier ayuda a las inversiones de STEP concedida a partir del 1 de marzo de 2024, siempre que se cumpla el principio de incentivo de la ayuda, es decir, que los trabajos relacionados con el proyecto no hayan comenzado?</w:t>
      </w:r>
    </w:p>
    <w:p w:rsidR="00786B3E" w:rsidRDefault="00786B3E" w:rsidP="00786B3E">
      <w:pPr>
        <w:pStyle w:val="P68B1DB1-Normal1"/>
      </w:pPr>
      <w:r>
        <w:t>Respuesta a ad 1):</w:t>
      </w:r>
    </w:p>
    <w:p w:rsidR="00786B3E" w:rsidRDefault="00786B3E" w:rsidP="00786B3E">
      <w:r>
        <w:lastRenderedPageBreak/>
        <w:t>Sí, confirmamos que el aumento se aplica retroactivamente a cualquier ayuda concedida a partir del 1 de marzo de 2024, siempre que se respete el principio de incentivo de la ayuda.</w:t>
      </w:r>
    </w:p>
    <w:p w:rsidR="00786B3E" w:rsidRDefault="00786B3E" w:rsidP="00786B3E"/>
    <w:p w:rsidR="00786B3E" w:rsidRDefault="00786B3E" w:rsidP="00786B3E">
      <w:pPr>
        <w:pStyle w:val="P68B1DB1-Normal1"/>
      </w:pPr>
      <w:r>
        <w:t>2) aclarar si es posible aplicar este incremento a partir de ahora o si es necesario esperar a que el Estado miembro notifique la modificación de los mapas de ayudas regionales?</w:t>
      </w:r>
    </w:p>
    <w:p w:rsidR="00786B3E" w:rsidRDefault="00786B3E" w:rsidP="00786B3E">
      <w:pPr>
        <w:pStyle w:val="P68B1DB1-Normal1"/>
      </w:pPr>
      <w:r>
        <w:t>Respuesta a ad 2)</w:t>
      </w:r>
    </w:p>
    <w:p w:rsidR="00786B3E" w:rsidRDefault="00786B3E" w:rsidP="00786B3E">
      <w:r>
        <w:t>Para aplicar la bonificación, el Estado miembro debe notificar primero la modificación de su mapa de ayudas regionales. </w:t>
      </w:r>
    </w:p>
    <w:p w:rsidR="00786B3E" w:rsidRDefault="00786B3E" w:rsidP="00786B3E"/>
    <w:p w:rsidR="00786B3E" w:rsidRDefault="00786B3E" w:rsidP="00786B3E">
      <w:pPr>
        <w:pStyle w:val="P68B1DB1-Normal1"/>
      </w:pPr>
      <w:r>
        <w:t>Pregunta 6:</w:t>
      </w:r>
    </w:p>
    <w:p w:rsidR="00786B3E" w:rsidRDefault="00786B3E" w:rsidP="00786B3E">
      <w:pPr>
        <w:pStyle w:val="P68B1DB1-Normal1"/>
      </w:pPr>
      <w:r>
        <w:t xml:space="preserve">La prima STEP podrá aplicarse retroactivamente a partir del 1 de marzo de 2024 sobre el ajuste del mapa de ayudas regionales. ¿Cómo funciona esto en la práctica (y cómo se relaciona con el requisito de un efecto incentivador de la ayuda), </w:t>
      </w:r>
      <w:r w:rsidR="002F3719">
        <w:t xml:space="preserve">ya que, </w:t>
      </w:r>
      <w:r>
        <w:t>estos proyectos ya se han iniciado incluso sin la bonificación STEP?</w:t>
      </w:r>
    </w:p>
    <w:p w:rsidR="00786B3E" w:rsidRDefault="00786B3E" w:rsidP="00786B3E">
      <w:pPr>
        <w:pStyle w:val="P68B1DB1-Normal1"/>
      </w:pPr>
      <w:r>
        <w:t>Respuesta.</w:t>
      </w:r>
    </w:p>
    <w:p w:rsidR="00786B3E" w:rsidRDefault="00786B3E" w:rsidP="00786B3E">
      <w:r>
        <w:t xml:space="preserve">El efecto incentivador sigue siendo una condición fundamental para la concesión de ayudas estatales. Esto significa que, cuando las solicitudes de ayuda para medidas de ayuda ya se presentaron antes del 1 de marzo de 2024, el «importe de ayuda considerado necesario» identificado en la solicitud de ayuda original no puede modificarse retroactivamente tras el inicio de los trabajos del proyecto para justificar una intensidad de ayuda incrementada por la «bonificación STEP», </w:t>
      </w:r>
      <w:r w:rsidR="002F3719">
        <w:t xml:space="preserve">ya que, </w:t>
      </w:r>
      <w:r>
        <w:t>la ayuda carecería de efecto incentivador.</w:t>
      </w:r>
    </w:p>
    <w:p w:rsidR="00786B3E" w:rsidRDefault="00786B3E" w:rsidP="00786B3E">
      <w:r>
        <w:t xml:space="preserve">Si aún no se han iniciado las obras en un proyecto determinado, el solicitante de la ayuda podrá retirar su solicitud y presentar una nueva. Téngase en cuenta que, en el caso de las ayudas </w:t>
      </w:r>
      <w:r>
        <w:rPr>
          <w:i/>
        </w:rPr>
        <w:t>ad hoc</w:t>
      </w:r>
      <w:r>
        <w:t xml:space="preserve"> a grandes empresas en virtud del RGEC o las</w:t>
      </w:r>
      <w:r>
        <w:rPr>
          <w:i/>
        </w:rPr>
        <w:t xml:space="preserve"> </w:t>
      </w:r>
      <w:r>
        <w:t>ayudas en virtud de las DAR, la solicitud debe seguir demostrando que la ayuda cumple los requisitos de un efecto incentivador sustantivo, es decir, el aumento del importe de la ayuda es necesario para incentivar a la empresa a invertir. Este no será el caso si el déficit de financiación ya está cubierto por el importe de ayuda solicitado anteriormente, o si dicho importe inferior de ayuda alcanza la tasa de rentabilidad requerida de la empresa para el proyecto en cuestión.</w:t>
      </w:r>
    </w:p>
    <w:p w:rsidR="00786B3E" w:rsidRDefault="00786B3E" w:rsidP="00786B3E">
      <w:pPr>
        <w:pStyle w:val="P68B1DB1-Normal1"/>
      </w:pPr>
      <w:r>
        <w:t> </w:t>
      </w:r>
    </w:p>
    <w:p w:rsidR="00786B3E" w:rsidRDefault="00786B3E" w:rsidP="00786B3E">
      <w:pPr>
        <w:pStyle w:val="P68B1DB1-Normal13"/>
      </w:pPr>
      <w:r>
        <w:t>Normas de cálculo y acumulación</w:t>
      </w:r>
    </w:p>
    <w:p w:rsidR="00786B3E" w:rsidRDefault="00786B3E" w:rsidP="00786B3E">
      <w:pPr>
        <w:pStyle w:val="P68B1DB1-Normal1"/>
      </w:pPr>
      <w:r>
        <w:t>Pregunta 7:</w:t>
      </w:r>
    </w:p>
    <w:p w:rsidR="00786B3E" w:rsidRDefault="00786B3E" w:rsidP="00786B3E">
      <w:r>
        <w:t xml:space="preserve">Teniendo en cuenta las DAR, que en el punto 184 establecen </w:t>
      </w:r>
      <w:r w:rsidR="00D71A13">
        <w:t>que,</w:t>
      </w:r>
      <w:r>
        <w:t xml:space="preserve"> si una zona «c» es adyacente a una zona «a», las intensidades de ayuda para grandes empresas en las regiones NUTS 3 o partes de regiones NUTS 3 dentro de esa zona «c» podrán incrementarse según sea necesario para que la diferencia de intensidad de la ayuda entre ambas zonas no supere los 15 puntos porcentuales.</w:t>
      </w:r>
    </w:p>
    <w:p w:rsidR="00786B3E" w:rsidRDefault="00786B3E" w:rsidP="00786B3E">
      <w:r>
        <w:lastRenderedPageBreak/>
        <w:t>Visto el mapa de ayudas regionales para Italia (consolidado), que prevé una intensidad máxima de ayuda para las grandes empresas igual, por ejemplo, al 40 % en la región de Campania («a» zona «») y al 25 % en las zonas «c» adyacentes de la región del Lacio;</w:t>
      </w:r>
    </w:p>
    <w:p w:rsidR="00786B3E" w:rsidRDefault="00786B3E" w:rsidP="00786B3E">
      <w:r>
        <w:t>Teniendo en cuenta la Comunicación de la Comisión de 31.5.2024 por la que se complementan las Directrices sobre las ayudas estatales de finalidad regional en relación con la Plataforma de Tecnologías Estratégicas para Europa (STEP), en la que se establece que los Estados miembros pueden modificar sus mapas nacionales de ayudas regionales para permitir el aumento de las intensidades de ayuda para las inversiones cubiertas por el Reglamento STEP y, en particular, la posibilidad de aumentar la intensidad de la ayuda para las inversiones STEP:</w:t>
      </w:r>
    </w:p>
    <w:p w:rsidR="00786B3E" w:rsidRDefault="00786B3E" w:rsidP="00786B3E">
      <w:pPr>
        <w:numPr>
          <w:ilvl w:val="0"/>
          <w:numId w:val="319"/>
        </w:numPr>
      </w:pPr>
      <w:r>
        <w:t>por un máximo de + 10 puntos porcentuales en las zonas «a»;</w:t>
      </w:r>
    </w:p>
    <w:p w:rsidR="00786B3E" w:rsidRDefault="00786B3E" w:rsidP="00786B3E">
      <w:pPr>
        <w:numPr>
          <w:ilvl w:val="0"/>
          <w:numId w:val="319"/>
        </w:numPr>
      </w:pPr>
      <w:r>
        <w:t>por un máximo de + 5 puntos porcentuales en las zonas «c»;</w:t>
      </w:r>
    </w:p>
    <w:p w:rsidR="00786B3E" w:rsidRDefault="00786B3E" w:rsidP="00786B3E">
      <w:pPr>
        <w:pStyle w:val="P68B1DB1-Normal1"/>
      </w:pPr>
      <w:r>
        <w:t> Teniendo en cuenta que la aplicación de las disposiciones del último punto podría dar lugar a una diferencia en la intensidad de la ayuda entre las zonas «a» adyacentes y las zonas «c» superiores a las especificadas en el primer punto, ¿pueden aumentarse aún más las intensidades de ayuda en las zonas «c» adyacentes a las zonas «a» para garantizar el cumplimiento del punto 184 de las DAR?</w:t>
      </w:r>
    </w:p>
    <w:p w:rsidR="00786B3E" w:rsidRDefault="00786B3E" w:rsidP="00786B3E">
      <w:r>
        <w:t>Ejemplo: Al aumentar la intensidad de la ayuda en Campania en 10 puntos porcentuales, alcanzaría el 50 %, mientras que en las zonas «c» adyacentes de las provincias de Latina y Frosinone, al aumentar la intensidad en 5 puntos porcentuales, solo alcanzaría el 30 %, lo que daría lugar a una diferencia de 20 puntos porcentuales. Para cumplir lo dispuesto en el punto 184 de las DAR, manteniendo al mismo tiempo una diferencia máxima de 15 puntos porcentuales entre las dos zonas consideradas, ¿es posible aumentar aún más la intensidad de la ayuda de las zonas «c» adyacentes de la región del Lacio?</w:t>
      </w:r>
    </w:p>
    <w:p w:rsidR="00786B3E" w:rsidRDefault="00786B3E" w:rsidP="00786B3E"/>
    <w:p w:rsidR="00786B3E" w:rsidRDefault="00786B3E" w:rsidP="00786B3E">
      <w:pPr>
        <w:pStyle w:val="P68B1DB1-Normal1"/>
      </w:pPr>
      <w:r>
        <w:t>Respuesta.</w:t>
      </w:r>
    </w:p>
    <w:p w:rsidR="00786B3E" w:rsidRDefault="00786B3E" w:rsidP="00786B3E">
      <w:r>
        <w:t>La bonificación STEP es un aumento de las intensidades de ayuda únicamente para los proyectos de inversión cubiertos por el Reglamento STEP. Los Estados miembros que notifiquen una modificación de sus mapas de ayudas regionales en relación con la prima STEP no podrán aumentar aún más las intensidades de ayuda en aplicación del apartado 184 de las DAR.</w:t>
      </w:r>
    </w:p>
    <w:p w:rsidR="00786B3E" w:rsidRDefault="00786B3E" w:rsidP="00786B3E">
      <w:pPr>
        <w:pStyle w:val="P68B1DB1-Normal1"/>
      </w:pPr>
      <w:r>
        <w:t> </w:t>
      </w:r>
    </w:p>
    <w:p w:rsidR="00786B3E" w:rsidRDefault="00786B3E" w:rsidP="00786B3E">
      <w:pPr>
        <w:pStyle w:val="P68B1DB1-Normal1"/>
      </w:pPr>
      <w:r>
        <w:t>Pregunta 8:</w:t>
      </w:r>
    </w:p>
    <w:p w:rsidR="00786B3E" w:rsidRDefault="00786B3E" w:rsidP="00786B3E">
      <w:r>
        <w:t>Las Directrices sobre las ayudas estatales de finalidad regional se modifican como sigue: «</w:t>
      </w:r>
      <w:r>
        <w:rPr>
          <w:i/>
        </w:rPr>
        <w:t>186.a para las inversiones cubiertas por el Reglamento (UE) 2024/795, la intensidad máxima de ayuda en la zona de que se trate podrá incrementarse hasta en 10 puntos porcentuales en las zonas «a» y en hasta 5 puntos porcentuales en las zonas «c» a partir del 1 de marzo de 2024.».</w:t>
      </w:r>
    </w:p>
    <w:p w:rsidR="00786B3E" w:rsidRDefault="00786B3E" w:rsidP="00786B3E">
      <w:r>
        <w:t xml:space="preserve"> De la redacción del punto 186 bis no se desprende claramente si es posible combinar la bonificación STEP con todas las primas ya establecidas en las Directrices sobre ayudas de finalidad regional y aprobadas en los mapas nacionales de ayudas de finalidad regional (en el caso de Letonia, podría ser, por ejemplo, intensidad de base 30 % + prima </w:t>
      </w:r>
      <w:r>
        <w:lastRenderedPageBreak/>
        <w:t>para las regiones ultraperiféricas 10 % + prima para las pymes de un máximo del 20 % + prima para el FTJ 10 % + prima para STEP 10 % = intensidad máxima de ayuda del 80 %).</w:t>
      </w:r>
    </w:p>
    <w:p w:rsidR="00786B3E" w:rsidRDefault="00786B3E" w:rsidP="00786B3E">
      <w:r>
        <w:t xml:space="preserve">Por ejemplo, anteriormente la DG COMP ha explicado a Letonia que las intensidades de ayuda pueden incrementarse entre sí (es decir, las secciones 7.4.1. + 7.4.4. +. + 7.4.5. + 7.4.3 de las DAR). Sin embargo, en la redacción del punto 186.a de las Directrices sobre ayudas regionales, no se especifica si las intensidades de ayuda pueden aumentarse entre sí (es decir, 7.4.1. + 7.4.4. + 7.4.5. + 7.4.3 + 7.4.3.a). </w:t>
      </w:r>
      <w:r>
        <w:rPr>
          <w:b/>
        </w:rPr>
        <w:t>Solicitamos aclaraciones a la Comisión Europea a este respecto.</w:t>
      </w:r>
    </w:p>
    <w:p w:rsidR="00786B3E" w:rsidRDefault="00786B3E" w:rsidP="00786B3E"/>
    <w:p w:rsidR="00786B3E" w:rsidRDefault="00786B3E" w:rsidP="00786B3E">
      <w:pPr>
        <w:pStyle w:val="P68B1DB1-Normal1"/>
      </w:pPr>
      <w:r>
        <w:t>Respuesta.</w:t>
      </w:r>
    </w:p>
    <w:p w:rsidR="00786B3E" w:rsidRDefault="00786B3E" w:rsidP="00786B3E">
      <w:r>
        <w:t>La prima STEP se aplica además de todas las demás primas aplicables en las DAR. Sin embargo, sigue siendo aplicable el requisito de contribución propia del 25 % (apartado 48 de las DAR y artículo 14, apartado 14, del RGEC). Téngase en cuenta que Letonia no tiene ninguna región ultraperiférica, por lo que el aumento de 10 puntos porcentuales sobre esa base no es aplicable a Letonia.</w:t>
      </w:r>
    </w:p>
    <w:p w:rsidR="00786B3E" w:rsidRDefault="00786B3E" w:rsidP="00786B3E">
      <w:pPr>
        <w:pStyle w:val="P68B1DB1-Normal1"/>
      </w:pPr>
      <w:r>
        <w:t> </w:t>
      </w:r>
    </w:p>
    <w:p w:rsidR="00786B3E" w:rsidRDefault="00786B3E" w:rsidP="00786B3E">
      <w:pPr>
        <w:pStyle w:val="P68B1DB1-Normal1"/>
      </w:pPr>
      <w:r>
        <w:t>Pregunta 9:</w:t>
      </w:r>
    </w:p>
    <w:p w:rsidR="00786B3E" w:rsidRDefault="00786B3E" w:rsidP="00786B3E">
      <w:r>
        <w:t>De conformidad con las Directrices sobre las ayudas estatales de finalidad regional, adoptadas por la Comisión mediante la Comunicación 2021/C 153/01, se aprobó el mapa de ayudas regionales para Italia [en vigor desde el 1 de enero de 2022 hasta el 31 de diciembre de 2027, de conformidad con la Decisión C (2021) 8655 final]. Con la segunda modificación del mapa [aprobada mediante la Decisión C (2023) 3913], las intensidades de ayuda se incrementaron para los territorios seleccionados para beneficiarse del apoyo del Fondo de Transición Justa, sobre la base de lo dispuesto en el apartado 7.4.4, punto 187, de las Directrices.</w:t>
      </w:r>
    </w:p>
    <w:p w:rsidR="00786B3E" w:rsidRDefault="00786B3E" w:rsidP="00786B3E">
      <w:r>
        <w:t>En concreto, para Sulcis Iglesiente, la intensidad máxima de ayuda autorizada actualmente es del 40 %, y para la provincia de Tarento, del 50 %. Además, en el caso de los proyectos de inversión cuyos costes subvencionables no superen los 50 millones EUR, los porcentajes máximos indicados anteriormente se incrementarán en 10 puntos porcentuales para las medianas empresas y en 20 puntos porcentuales para las pequeñas empresas, tal como se definen en la Recomendación de la Comisión, de 6 de mayo de 2003, sobre la definición de microempresas, pequeñas y medianas empresas (Diario Oficial L 124 de 20.5.2003, p. 36). En el caso de los grandes proyectos de inversión, las intensidades máximas de ayuda para las grandes empresas también se aplican a las pequeñas y medianas empresas.</w:t>
      </w:r>
    </w:p>
    <w:p w:rsidR="00786B3E" w:rsidRDefault="00786B3E" w:rsidP="00786B3E">
      <w:r>
        <w:t>La reciente Comunicación de la Comisión C/2024/3516, publicada en el Diario Oficial de la Unión Europea el 3 de junio de 2024, ha completado las Directrices sobre las ayudas estatales de finalidad regional añadiendo, después del punto 186, una sección adicional, 7.4.3 bis, que prevé un aumento de las intensidades de ayuda aplicables a las inversiones en virtud del Reglamento (UE) 2024/795.</w:t>
      </w:r>
    </w:p>
    <w:p w:rsidR="00786B3E" w:rsidRDefault="00786B3E" w:rsidP="00786B3E">
      <w:r>
        <w:t xml:space="preserve">En concreto, el nuevo punto 186 bis establece que «En el caso de las inversiones cubiertas por el Reglamento (UE) 2024/795, la intensidad máxima de ayuda en la zona </w:t>
      </w:r>
      <w:r>
        <w:lastRenderedPageBreak/>
        <w:t>en cuestión podrá incrementarse hasta 10 puntos porcentuales en las zonas «a» y hasta 5 puntos porcentuales en las zonas «c» a partir del 1 de marzo de 2024». </w:t>
      </w:r>
    </w:p>
    <w:p w:rsidR="00786B3E" w:rsidRDefault="00786B3E" w:rsidP="00786B3E">
      <w:r>
        <w:rPr>
          <w:b/>
        </w:rPr>
        <w:t>En vista de lo anterior, si bien sigue siendo necesario presentar a la Comisión una propuesta de modificación del mapa de ayudas estatales de finalidad regional para beneficiarse de este último aumento para las inversiones en virtud del Reglamento (UE) 2024/795, nos gustaría pedir aclaraciones sobre si este aumento, en el caso de los proyectos de inversión relativos a los territorios apoyados por el FTJ, debe considerarse además de las intensidades de ayuda más elevadas ya aprobadas para esos territorios, o si los dos aumentos (previstos en los apartados 186 bis y 187 de las Directrices sobre las ayudas estatales de finalidad regional) son alternativos y, por tanto, no acumulativos.</w:t>
      </w:r>
      <w:r>
        <w:rPr>
          <w:i/>
        </w:rPr>
        <w:t xml:space="preserve"> </w:t>
      </w:r>
    </w:p>
    <w:p w:rsidR="00786B3E" w:rsidRDefault="00786B3E" w:rsidP="00786B3E">
      <w:pPr>
        <w:pStyle w:val="P68B1DB1-Normal1"/>
      </w:pPr>
      <w:r>
        <w:t>Respuesta.</w:t>
      </w:r>
    </w:p>
    <w:p w:rsidR="00786B3E" w:rsidRDefault="00786B3E" w:rsidP="00786B3E">
      <w:r>
        <w:t>La prima STEP se aplica además de todas las demás primas aplicables en las DAR. Por lo tanto, la bonificación no es alternativa, sino acumulativa. Sin embargo, sigue siendo aplicable el requisito de contribución propia del 25 % (apartado 48 de las DAR y artículo 14, apartado 14, del RGEC).</w:t>
      </w:r>
    </w:p>
    <w:p w:rsidR="00786B3E" w:rsidRDefault="00786B3E" w:rsidP="00786B3E"/>
    <w:p w:rsidR="00786B3E" w:rsidRDefault="00786B3E" w:rsidP="00786B3E">
      <w:pPr>
        <w:pStyle w:val="P68B1DB1-Normal1"/>
      </w:pPr>
      <w:r>
        <w:t>Pregunta 10:</w:t>
      </w:r>
    </w:p>
    <w:p w:rsidR="00786B3E" w:rsidRDefault="00786B3E" w:rsidP="00786B3E">
      <w:pPr>
        <w:pStyle w:val="P68B1DB1-Normal1"/>
      </w:pPr>
      <w:r>
        <w:t>En el caso de la presentación de un proyecto de tipo STEP en virtud de medidas del RGEC distintas de las relativas a las ayudas regionales y que ya prevén recargos para las zonas 107.3.a) y 107.3.c) del TFUE, ¿existe una acumulación entre los incrementos previstos en el artículo sectorial individual del RGEC para las mismas zonas y los previstos en el nuevo mapa, una vez notificado y aprobado por la Comisión, para la ejecución de proyectos de inversión cubiertos por el Reglamento (UE) 2024/795?</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La prima STEP se aplica a las intensidades máximas de ayuda aplicables a las ayudas regionales a la inversión (artículo 14 del RGEC). El resto de las normas del RGEC, incluidas las relativas a la acumulación, siguen siendo aplicables.</w:t>
      </w:r>
    </w:p>
    <w:p w:rsidR="00786B3E" w:rsidRDefault="00786B3E" w:rsidP="00786B3E">
      <w:pPr>
        <w:pStyle w:val="P68B1DB1-Normal1"/>
      </w:pPr>
      <w:r>
        <w:t> </w:t>
      </w:r>
    </w:p>
    <w:p w:rsidR="00786B3E" w:rsidRDefault="00786B3E" w:rsidP="00786B3E">
      <w:pPr>
        <w:pStyle w:val="P68B1DB1-Normal1"/>
      </w:pPr>
      <w:r>
        <w:t>Pregunta 11:</w:t>
      </w:r>
    </w:p>
    <w:p w:rsidR="00786B3E" w:rsidRDefault="00786B3E" w:rsidP="00786B3E">
      <w:pPr>
        <w:pStyle w:val="P68B1DB1-Normal1"/>
      </w:pPr>
      <w:r>
        <w:t>¿Cómo se relaciona el aumento de STEP con las intensidades máximas de ayuda incluidas en el artículo 179 para las grandes empresas? ¿Se sumará este aumento, como es el caso de las pymes, o no? De ser así, implicaría que en algunos Estados miembros es posible una ayuda a la inversión del 80 % para las pymes pequeñas.</w:t>
      </w:r>
    </w:p>
    <w:p w:rsidR="00786B3E" w:rsidRDefault="00786B3E" w:rsidP="00786B3E"/>
    <w:p w:rsidR="00786B3E" w:rsidRDefault="00786B3E" w:rsidP="00786B3E">
      <w:pPr>
        <w:pStyle w:val="P68B1DB1-Normal1"/>
      </w:pPr>
      <w:r>
        <w:t>Respuesta.</w:t>
      </w:r>
    </w:p>
    <w:p w:rsidR="00786B3E" w:rsidRDefault="00786B3E" w:rsidP="00786B3E">
      <w:r>
        <w:t xml:space="preserve">La prima STEP se aplica además de todas las demás primas aplicables en las DAR. Sin embargo, sigue siendo aplicable el requisito de contribución propia del 25 % (apartado 48 de las DAR y artículo 14, apartado 14, del RGEC). Por lo tanto, no es posible </w:t>
      </w:r>
      <w:r>
        <w:lastRenderedPageBreak/>
        <w:t>alcanzar una intensidad superior al 75 % (la única excepción sería en las regiones ultraperiféricas).</w:t>
      </w:r>
    </w:p>
    <w:p w:rsidR="00786B3E" w:rsidRDefault="00786B3E" w:rsidP="00786B3E">
      <w:pPr>
        <w:pStyle w:val="P68B1DB1-Normal3"/>
      </w:pPr>
      <w:r>
        <w:t> </w:t>
      </w:r>
    </w:p>
    <w:p w:rsidR="00786B3E" w:rsidRDefault="00786B3E" w:rsidP="00786B3E">
      <w:pPr>
        <w:pStyle w:val="P68B1DB1-Normal13"/>
      </w:pPr>
      <w:r>
        <w:t>Ámbito de aplicación</w:t>
      </w:r>
    </w:p>
    <w:p w:rsidR="00786B3E" w:rsidRDefault="00786B3E" w:rsidP="00786B3E">
      <w:pPr>
        <w:pStyle w:val="P68B1DB1-Normal1"/>
      </w:pPr>
      <w:r>
        <w:t> Pregunta 12:</w:t>
      </w:r>
    </w:p>
    <w:p w:rsidR="00786B3E" w:rsidRDefault="00786B3E" w:rsidP="00786B3E">
      <w:pPr>
        <w:pStyle w:val="P68B1DB1-Normal1"/>
      </w:pPr>
      <w:r>
        <w:t>Es posible aplicar los recargos STEP previstos en las Directrices para fines regionales, tras los cambios introducidos y la aprobación del nuevo mapa de ayudas regionales por parte de la Comisión Europea, a categorías de ayudas regionales en el Reglamento general de exención (RGEC). Esta aplicabilidad parece posible a través de las disposiciones del RGEC relativas al mapa de ayudas regionales aprobado por la Comisión Europea tras una notificación estatal. Confírmese si esta interpretación es correcta.</w:t>
      </w:r>
    </w:p>
    <w:p w:rsidR="00786B3E" w:rsidRDefault="00786B3E" w:rsidP="00786B3E"/>
    <w:p w:rsidR="00786B3E" w:rsidRDefault="00786B3E" w:rsidP="00786B3E">
      <w:pPr>
        <w:pStyle w:val="P68B1DB1-Normal1"/>
      </w:pPr>
      <w:r>
        <w:t>Respuesta.</w:t>
      </w:r>
    </w:p>
    <w:p w:rsidR="00786B3E" w:rsidRDefault="00786B3E" w:rsidP="00786B3E">
      <w:r>
        <w:t>Las intensidades máximas de ayuda aplicables en las zonas asistidas se establecen en los mapas de ayudas regionales establecidos sobre la base de las DAR. Estas intensidades máximas de ayuda se aplican entonces tanto a las ayudas concedidas con arreglo al RGEC como a las DAR. Por lo tanto, si el Estado miembro tiene la intención de aplicar la posibilidad de aumento para los proyectos STEP, debe notificar una modificación de su mapa de ayudas regionales para reflejar este aumento en su mapa de ayudas regionales. Tras la aprobación de la modificación, el aumento de la intensidad de ayuda para los proyectos STEP puede aplicarse tanto a las ayudas con arreglo al RGEC como a las DAR.</w:t>
      </w:r>
    </w:p>
    <w:p w:rsidR="00786B3E" w:rsidRDefault="00786B3E" w:rsidP="00786B3E">
      <w:pPr>
        <w:pStyle w:val="P68B1DB1-Normal1"/>
      </w:pPr>
      <w:r>
        <w:t> </w:t>
      </w:r>
    </w:p>
    <w:p w:rsidR="00786B3E" w:rsidRDefault="00786B3E" w:rsidP="00786B3E">
      <w:pPr>
        <w:pStyle w:val="P68B1DB1-Normal1"/>
      </w:pPr>
      <w:r>
        <w:t>Pregunta 13:</w:t>
      </w:r>
    </w:p>
    <w:p w:rsidR="00786B3E" w:rsidRDefault="00786B3E" w:rsidP="00786B3E">
      <w:pPr>
        <w:pStyle w:val="P68B1DB1-Normal1"/>
      </w:pPr>
      <w:r>
        <w:t>Los recargos STEP para las zonas 107.3, letra a), y 107.3, letra c), del TFUE también pueden aplicarse a categorías de ayudas distintas de las medidas de ayuda regional previstas en el RGEC, limitadas a los artículos subvencionables a efectos de STEP, como las relativas a la protección del medio ambiente, la investigación industrial y las empresas emergentes en las que se llevan a cabo proyectos STEP en los ámbitos 107.3, letra a), y 107.3, letra c), del TFUE. Por ejemplo, se hace referencia al artículo 47 del RGEC sobre las ayudas a las inversiones en favor de la eficiencia en el uso de los recursos y el apoyo a la transición a una economía circular para la economía circular y al artículo 22 sobre las ayudas a las empresas emergentes.</w:t>
      </w:r>
    </w:p>
    <w:p w:rsidR="00786B3E" w:rsidRDefault="00786B3E" w:rsidP="00786B3E"/>
    <w:p w:rsidR="00786B3E" w:rsidRDefault="00786B3E" w:rsidP="00786B3E">
      <w:pPr>
        <w:pStyle w:val="P68B1DB1-Normal1"/>
      </w:pPr>
      <w:r>
        <w:t>Respuesta.</w:t>
      </w:r>
    </w:p>
    <w:p w:rsidR="00786B3E" w:rsidRDefault="00786B3E" w:rsidP="00786B3E">
      <w:r>
        <w:t>La prima STEP solo se aplica a las intensidades máximas de ayuda aplicables a las ayudas regionales a la inversión (artículo 14 del RGEC).</w:t>
      </w:r>
    </w:p>
    <w:p w:rsidR="00786B3E" w:rsidRDefault="00786B3E" w:rsidP="00786B3E">
      <w:pPr>
        <w:pStyle w:val="P68B1DB1-Normal1"/>
      </w:pPr>
      <w:r>
        <w:t> </w:t>
      </w:r>
    </w:p>
    <w:p w:rsidR="00786B3E" w:rsidRDefault="00786B3E" w:rsidP="00786B3E">
      <w:pPr>
        <w:pStyle w:val="P68B1DB1-Normal1"/>
      </w:pPr>
      <w:r>
        <w:t>Pregunta 14:</w:t>
      </w:r>
    </w:p>
    <w:p w:rsidR="00786B3E" w:rsidRDefault="00786B3E" w:rsidP="00786B3E">
      <w:pPr>
        <w:pStyle w:val="P68B1DB1-Normal1"/>
      </w:pPr>
      <w:r>
        <w:t xml:space="preserve">Grandes empresas: ¿puede confirmar la Comisión la posibilidad de conceder ayudas a grandes empresas en el contexto de STEP en el marco de otras categorías del RGEC </w:t>
      </w:r>
      <w:r>
        <w:lastRenderedPageBreak/>
        <w:t>distintas de las ayudas regionales, en particular en virtud del artículo 25 del Reglamento (ayudas para proyectos de I + D)?</w:t>
      </w:r>
    </w:p>
    <w:p w:rsidR="00786B3E" w:rsidRDefault="00786B3E" w:rsidP="00786B3E"/>
    <w:p w:rsidR="00786B3E" w:rsidRDefault="00786B3E" w:rsidP="00786B3E">
      <w:pPr>
        <w:pStyle w:val="P68B1DB1-Normal1"/>
      </w:pPr>
      <w:r>
        <w:t>Respuesta.</w:t>
      </w:r>
    </w:p>
    <w:p w:rsidR="00786B3E" w:rsidRDefault="00786B3E" w:rsidP="00786B3E">
      <w:r>
        <w:t>La adición de una prima STEP a efectos de ayuda regional no afecta a otras disposiciones del RGEC. Por lo tanto, cuando proceda, sigue siendo posible conceder ayudas relativas a tecnologías incluidas en el ámbito de aplicación del Reglamento STEP a grandes empresas en virtud de otras disposiciones del RGEC distintas de las ayudas regionales (como el artículo 25 del RGEC).</w:t>
      </w:r>
    </w:p>
    <w:p w:rsidR="00786B3E" w:rsidRDefault="00786B3E" w:rsidP="00786B3E"/>
    <w:p w:rsidR="00786B3E" w:rsidRDefault="00786B3E" w:rsidP="00786B3E">
      <w:pPr>
        <w:pStyle w:val="P68B1DB1-Normal1"/>
      </w:pPr>
      <w:r>
        <w:t>Pregunta 15:</w:t>
      </w:r>
    </w:p>
    <w:p w:rsidR="00786B3E" w:rsidRDefault="00786B3E" w:rsidP="00786B3E">
      <w:pPr>
        <w:pStyle w:val="P68B1DB1-Normal1"/>
      </w:pPr>
      <w:r>
        <w:t>Aclaren a qué tipos de ayuda se aplica la mayor intensidad prevista para las inversiones vinculadas al Reglamento STEP, especificando, en particular, si se refiere exclusivamente a las categorías de ayudas regionales a que se refieren los artículos 13, 14, 15 y 16 del Reglamento (UE) n.º 2014/651 (RGEC), o también a otros tipos de ayudas estatales.</w:t>
      </w:r>
    </w:p>
    <w:p w:rsidR="00786B3E" w:rsidRDefault="00786B3E" w:rsidP="00786B3E">
      <w:r>
        <w:t>Se hace referencia, entre otras cosas, a los casos en los que el RGEC también prevé mayores intensidades de ayuda o importes de ayuda vinculados a zonas asistidas que cumplen las condiciones del artículo 107, apartado 3, letra c), del TFUE (por ejemplo, el artículo 22 del RGEC). A este respecto, indique, cuando proceda, si los aumentos previstos por el RGEC y los establecidos para las inversiones relacionadas con el Reglamento STEP son acumulativos.</w:t>
      </w:r>
    </w:p>
    <w:p w:rsidR="00786B3E" w:rsidRDefault="00786B3E" w:rsidP="00786B3E"/>
    <w:p w:rsidR="00786B3E" w:rsidRDefault="00786B3E" w:rsidP="00786B3E">
      <w:pPr>
        <w:pStyle w:val="P68B1DB1-Normal1"/>
      </w:pPr>
      <w:r>
        <w:t>Respuesta.</w:t>
      </w:r>
    </w:p>
    <w:p w:rsidR="00786B3E" w:rsidRDefault="00786B3E" w:rsidP="00786B3E">
      <w:r>
        <w:t>El aumento previsto en el apartado 186 bis de las DAR solo se aplica a las intensidades de ayuda establecidas en el mapa de ayudas regionales y, por tanto, a las ayudas regionales a la inversión (es decir, el artículo 14 del RGEC y las DAR).</w:t>
      </w:r>
    </w:p>
    <w:p w:rsidR="00786B3E" w:rsidRDefault="00786B3E" w:rsidP="00786B3E"/>
    <w:p w:rsidR="00786B3E" w:rsidRDefault="00786B3E" w:rsidP="00786B3E"/>
    <w:p w:rsidR="00786B3E" w:rsidRDefault="00786B3E" w:rsidP="00786B3E">
      <w:pPr>
        <w:pStyle w:val="Ttulo1"/>
      </w:pPr>
      <w:bookmarkStart w:id="783" w:name="scroll-bookmark-899"/>
      <w:bookmarkStart w:id="784" w:name="scroll-bookmark-900"/>
      <w:bookmarkEnd w:id="783"/>
      <w:r>
        <w:t>QA00327 — Tecnologías STEP</w:t>
      </w:r>
      <w:bookmarkEnd w:id="784"/>
    </w:p>
    <w:p w:rsidR="00786B3E" w:rsidRDefault="00786B3E" w:rsidP="00786B3E">
      <w:r>
        <w:rPr>
          <w:noProof/>
          <w:lang w:val="es-ES"/>
        </w:rPr>
        <w:drawing>
          <wp:inline distT="0" distB="0" distL="0" distR="0" wp14:anchorId="16FDB1EE" wp14:editId="1D9FC264">
            <wp:extent cx="152435" cy="152435"/>
            <wp:effectExtent l="0" t="0" r="0" b="0"/>
            <wp:docPr id="101571" name="Imagen 10157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14F14262" wp14:editId="068C6B18">
            <wp:extent cx="152435" cy="152435"/>
            <wp:effectExtent l="0" t="0" r="0" b="0"/>
            <wp:docPr id="101573" name="Imagen 10157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 IT</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pPr>
        <w:pStyle w:val="P68B1DB1-Normal1"/>
      </w:pPr>
      <w:r>
        <w:t>El apoyo a maquinaria y componentes específicos se menciona en las directrices STEP (punto 1.1.2):  «</w:t>
      </w:r>
      <w:r>
        <w:rPr>
          <w:i/>
        </w:rPr>
        <w:t xml:space="preserve">Los componentes específicos y la maquinaria específica están </w:t>
      </w:r>
      <w:r>
        <w:rPr>
          <w:i/>
        </w:rPr>
        <w:lastRenderedPageBreak/>
        <w:t>destinados como piezas y equipos utilizados principalmente para el desarrollo y la fabricación de tecnologías críticas.</w:t>
      </w:r>
      <w:r>
        <w:t>» </w:t>
      </w:r>
    </w:p>
    <w:p w:rsidR="00786B3E" w:rsidRDefault="00786B3E" w:rsidP="00786B3E">
      <w:pPr>
        <w:pStyle w:val="P68B1DB1-Normal1"/>
      </w:pPr>
      <w:r>
        <w:t>¿Qué se entiende por «uso primario» para el desarrollo y la fabricación de tecnologías críticas?</w:t>
      </w:r>
    </w:p>
    <w:p w:rsidR="00786B3E" w:rsidRDefault="00786B3E" w:rsidP="00786B3E">
      <w:pPr>
        <w:pStyle w:val="P68B1DB1-Normal1"/>
      </w:pPr>
      <w:r>
        <w:t>  </w:t>
      </w:r>
    </w:p>
    <w:p w:rsidR="00786B3E" w:rsidRDefault="00786B3E" w:rsidP="00786B3E">
      <w:pPr>
        <w:pStyle w:val="P68B1DB1-Normal1"/>
      </w:pPr>
      <w:r>
        <w:t>Respuesta.</w:t>
      </w:r>
    </w:p>
    <w:p w:rsidR="00786B3E" w:rsidRDefault="00786B3E" w:rsidP="00786B3E">
      <w:r>
        <w:t>«Utilizado principalmente» se refiere a máquinas y componentes específicos que son esenciales para el desarrollo y la fabricación de tecnologías críticas en el marco de un sector STEP. Para ser consideradas críticas en el marco de STEP, las tecnologías deben estar obligadas a cumplir cualquiera de las condiciones de STEP sobre la capacidad de innovación o la reducción o prevención de dependencias estratégicas. En este caso, es irrelevante si la maquinaria y los componentes específicos también se utilizan para el desarrollo y la fabricación de tecnologías distintas de las tecnologías críticas STEP.</w:t>
      </w:r>
    </w:p>
    <w:p w:rsidR="00786B3E" w:rsidRDefault="00786B3E" w:rsidP="00786B3E">
      <w:pPr>
        <w:pStyle w:val="P68B1DB1-Normal1"/>
      </w:pPr>
      <w:r>
        <w:t> </w:t>
      </w:r>
    </w:p>
    <w:p w:rsidR="00786B3E" w:rsidRDefault="00786B3E" w:rsidP="00786B3E">
      <w:pPr>
        <w:pStyle w:val="P68B1DB1-Normal1"/>
      </w:pPr>
      <w:r>
        <w:t>Pregunta 2:</w:t>
      </w:r>
    </w:p>
    <w:p w:rsidR="00786B3E" w:rsidRDefault="00786B3E" w:rsidP="00786B3E">
      <w:pPr>
        <w:pStyle w:val="P68B1DB1-Normal1"/>
      </w:pPr>
      <w:r>
        <w:t>El punto 1.1.1 de la Comunicación C/2024/3209 establece que «</w:t>
      </w:r>
      <w:r>
        <w:rPr>
          <w:i/>
        </w:rPr>
        <w:t>La fabricación incluye la creación de líneas de producción, instalaciones pioneras, la ampliación o reorientación de las instalaciones existentes, la ampliación de los procesos para satisfacer la demanda o la aplicación de mecanismos de control de calidad para garantizar la producción coherente de productos de alta calidad</w:t>
      </w:r>
      <w:r>
        <w:t>».</w:t>
      </w:r>
    </w:p>
    <w:p w:rsidR="00786B3E" w:rsidRDefault="00786B3E" w:rsidP="00786B3E">
      <w:pPr>
        <w:pStyle w:val="P68B1DB1-Normal1"/>
      </w:pPr>
      <w:r>
        <w:br/>
        <w:t>Dado que el Reglamento 2024/795 no parece hacer referencia alguna a esta característica y la Comunicación C/2024/3209 la asocia únicamente a la «</w:t>
      </w:r>
      <w:r>
        <w:rPr>
          <w:i/>
        </w:rPr>
        <w:t>creación</w:t>
      </w:r>
      <w:r>
        <w:t>» de líneas o instalaciones de producción, sin especificar los demás tipos de intervenciones que, por tanto, podrían evaluarse de manera ordinaria, sería útil aclarar si es realmente necesario llevar a cabo tal evaluación.</w:t>
      </w:r>
    </w:p>
    <w:p w:rsidR="00786B3E" w:rsidRDefault="00786B3E" w:rsidP="00786B3E">
      <w:r>
        <w:br/>
      </w:r>
      <w:r>
        <w:rPr>
          <w:b/>
        </w:rPr>
        <w:t xml:space="preserve">Si se confirma que solo pueden financiarse </w:t>
      </w:r>
      <w:r w:rsidR="00D71A13">
        <w:rPr>
          <w:b/>
        </w:rPr>
        <w:t>instalaciones</w:t>
      </w:r>
      <w:r w:rsidR="00D71A13">
        <w:rPr>
          <w:b/>
          <w:i/>
        </w:rPr>
        <w:t xml:space="preserve"> pioneras</w:t>
      </w:r>
      <w:r>
        <w:rPr>
          <w:b/>
        </w:rPr>
        <w:t>, ¿quién es responsable del reconocimiento de la cualificación y qué procedimiento debe seguirse? En otros casos (por ejemplo, en el contexto de la Ley del chip), la atribución de la cualificación se deja a las evaluaciones de la Comisión Europea en el marco de un procedimiento de notificación individual (circunstancia que, en este caso, daría lugar a una carga de procedimientos difícil de mantener).</w:t>
      </w:r>
    </w:p>
    <w:p w:rsidR="00786B3E" w:rsidRDefault="00786B3E" w:rsidP="00786B3E">
      <w:pPr>
        <w:pStyle w:val="P68B1DB1-Normal1"/>
      </w:pPr>
      <w:r>
        <w:t> Respuesta.</w:t>
      </w:r>
    </w:p>
    <w:p w:rsidR="00786B3E" w:rsidRDefault="00786B3E" w:rsidP="00786B3E">
      <w:r>
        <w:t>Como se desprende del tenor del punto 1.1.1 de la Comunicación C/2024/3209 citada en la pregunta, la fabricación no se limita a la creación de «instalaciones pioneras».</w:t>
      </w:r>
    </w:p>
    <w:p w:rsidR="00786B3E" w:rsidRDefault="00786B3E" w:rsidP="00786B3E"/>
    <w:p w:rsidR="00786B3E" w:rsidRDefault="00786B3E" w:rsidP="00786B3E">
      <w:pPr>
        <w:pStyle w:val="P68B1DB1-Normal1"/>
      </w:pPr>
      <w:r>
        <w:t>Pregunta 3:</w:t>
      </w:r>
    </w:p>
    <w:p w:rsidR="00786B3E" w:rsidRDefault="00786B3E" w:rsidP="00786B3E">
      <w:pPr>
        <w:pStyle w:val="P68B1DB1-Normal1"/>
      </w:pPr>
      <w:r>
        <w:t>El Reglamento 2024/795, en su artículo 2, apartado 2, establece que «</w:t>
      </w:r>
      <w:r>
        <w:rPr>
          <w:i/>
        </w:rPr>
        <w:t xml:space="preserve">las tecnologías a que se refiere el apartado 1, letra a), se considerarán esenciales cuando cumplan alguna de las condiciones siguientes: a) aportan al mercado interior un elemento </w:t>
      </w:r>
      <w:r>
        <w:rPr>
          <w:i/>
        </w:rPr>
        <w:lastRenderedPageBreak/>
        <w:t>innovador, emergente y de vanguardia con un potencial económico significativo; b) contribuyen a reducir o prevenir las dependencias estratégicas de la Unión</w:t>
      </w:r>
      <w:r>
        <w:t>».</w:t>
      </w:r>
    </w:p>
    <w:p w:rsidR="00786B3E" w:rsidRDefault="00786B3E" w:rsidP="00786B3E">
      <w:pPr>
        <w:pStyle w:val="P68B1DB1-Normal1"/>
      </w:pPr>
      <w:r>
        <w:br/>
        <w:t>Confírmese que no es necesario verificar el cumplimiento de las condiciones establecidas en el artículo 2, apartado 2, del Reglamento (CE) n.º 2024/795 si la intención es apoyar inversiones relacionadas con las tecnologías críticas identificadas en la Comunicación C/2024/3209. (</w:t>
      </w:r>
      <w:r>
        <w:rPr>
          <w:i/>
        </w:rPr>
        <w:t>Italia</w:t>
      </w:r>
      <w:r>
        <w:t>)</w:t>
      </w:r>
    </w:p>
    <w:p w:rsidR="00786B3E" w:rsidRDefault="00786B3E" w:rsidP="00786B3E"/>
    <w:p w:rsidR="00786B3E" w:rsidRDefault="00786B3E" w:rsidP="00786B3E">
      <w:pPr>
        <w:pStyle w:val="P68B1DB1-Normal1"/>
      </w:pPr>
      <w:r>
        <w:t>Respuesta.</w:t>
      </w:r>
    </w:p>
    <w:p w:rsidR="00786B3E" w:rsidRDefault="00786B3E" w:rsidP="00786B3E">
      <w:r>
        <w:t>Téngase en cuenta que las tecnologías enumeradas en la sección 2 de la Comunicación C/2024/3209 no son, por definición, tecnologías críticas STEP. Si bien estas tecnologías pueden considerarse en el ámbito de los sectores STEP, para que puedan considerarse críticas con arreglo al Reglamento STEP, estas tecnologías deben cumplir al menos una de las condiciones establecidas en el artículo 2, apartado 2, del Reglamento (UE) 2024/795, es decir, introducir en el mercado interior un elemento innovador, emergente y de vanguardia con un potencial económico significativo, o contribuir a reducir o prevenir las dependencias estratégicas de la Unión. Véase la sección 3 de la Comunicación sobre el ámbito de aplicación de STEP para obtener más información sobre cómo evaluar el cumplimiento de estas condiciones.</w:t>
      </w:r>
    </w:p>
    <w:p w:rsidR="00786B3E" w:rsidRDefault="00786B3E" w:rsidP="00786B3E"/>
    <w:p w:rsidR="00786B3E" w:rsidRDefault="00786B3E" w:rsidP="00786B3E"/>
    <w:p w:rsidR="00786B3E" w:rsidRDefault="00786B3E" w:rsidP="00786B3E">
      <w:pPr>
        <w:pStyle w:val="Ttulo1"/>
      </w:pPr>
      <w:bookmarkStart w:id="785" w:name="scroll-bookmark-901"/>
      <w:bookmarkStart w:id="786" w:name="scroll-bookmark-902"/>
      <w:bookmarkEnd w:id="785"/>
      <w:r>
        <w:t>QA00328 — STEP — Ayudas estatales — varios</w:t>
      </w:r>
      <w:bookmarkEnd w:id="786"/>
    </w:p>
    <w:p w:rsidR="00786B3E" w:rsidRDefault="00786B3E" w:rsidP="00786B3E">
      <w:r>
        <w:rPr>
          <w:noProof/>
          <w:lang w:val="es-ES"/>
        </w:rPr>
        <w:drawing>
          <wp:inline distT="0" distB="0" distL="0" distR="0" wp14:anchorId="53F521C1" wp14:editId="7E1CBF21">
            <wp:extent cx="152435" cy="152435"/>
            <wp:effectExtent l="0" t="0" r="0" b="0"/>
            <wp:docPr id="101575" name="Imagen 10157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2FDD42E9" wp14:editId="565CAA1A">
            <wp:extent cx="152435" cy="152435"/>
            <wp:effectExtent l="0" t="0" r="0" b="0"/>
            <wp:docPr id="101577" name="Imagen 10157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CZ, DK, ES</w:t>
      </w:r>
    </w:p>
    <w:p w:rsidR="00786B3E" w:rsidRDefault="00786B3E" w:rsidP="00786B3E"/>
    <w:p w:rsidR="00786B3E" w:rsidRDefault="00786B3E" w:rsidP="00786B3E">
      <w:pPr>
        <w:pStyle w:val="P68B1DB1-Normal9"/>
      </w:pPr>
      <w:r>
        <w:t>RGEC</w:t>
      </w:r>
    </w:p>
    <w:p w:rsidR="00786B3E" w:rsidRDefault="00786B3E" w:rsidP="00786B3E">
      <w:pPr>
        <w:pStyle w:val="P68B1DB1-Normal1"/>
      </w:pPr>
      <w:r>
        <w:t>Pregunta 1 (incluidos los hechos e información pertinentes):</w:t>
      </w:r>
    </w:p>
    <w:p w:rsidR="00786B3E" w:rsidRDefault="00786B3E" w:rsidP="00786B3E">
      <w:pPr>
        <w:pStyle w:val="P68B1DB1-Normal1"/>
      </w:pPr>
      <w:r>
        <w:t> ¿Aclarará la Comisión si considera que las tecnologías mencionadas en el artículo 2, apartado 1, letra a), inciso ii), del Reglamento STEP, si se determina que están definidas en la Ley sobre ayudas estatales en materia de medio ambiente y viceversa, que las tecnologías serán iguales o inferiores a TRL 8 (nivel de preparación tecnológica) en relación con las categorías de ayuda (desarrollo experimental e investigación industrial) mencionadas en el artículo 25 del RGEC?  De no ser así, ¿hay alguna tecnología en el marco de la NZIA, artículo 4 (1), que la Comisión conclu</w:t>
      </w:r>
      <w:r w:rsidR="002F3719">
        <w:t xml:space="preserve">ya que, </w:t>
      </w:r>
      <w:r>
        <w:t>sería igual o inferior a TRL 8?</w:t>
      </w:r>
    </w:p>
    <w:p w:rsidR="00786B3E" w:rsidRDefault="00786B3E" w:rsidP="00786B3E">
      <w:pPr>
        <w:pStyle w:val="P68B1DB1-Normal1"/>
      </w:pPr>
      <w:r>
        <w:t>Respuesta.</w:t>
      </w:r>
    </w:p>
    <w:p w:rsidR="00786B3E" w:rsidRDefault="00786B3E" w:rsidP="00786B3E">
      <w:r>
        <w:t xml:space="preserve">El Reglamento STEP no utiliza los niveles de madurez tecnológica. En el contexto del Reglamento STEP, el desarrollo y la fabricación se refieren a la evolución de las tecnologías desde la fase en la que se demostró la viabilidad hasta la producción </w:t>
      </w:r>
      <w:r>
        <w:lastRenderedPageBreak/>
        <w:t>comercial, en gran medida a partir del TRL 4-8. Dado que TRL9 ya podría constituir el despliegue o la instalación de los productos finales, se considera que va más allá del ámbito de aplicación de la definición de desarrollo experimental y, por consiguiente, debe excluirse del ámbito de aplicación del Reglamento (UE) n.º 651/2014 (RGEC).</w:t>
      </w:r>
    </w:p>
    <w:p w:rsidR="00786B3E" w:rsidRDefault="00786B3E" w:rsidP="00786B3E">
      <w:r>
        <w:t>Cuando los Estados miembros concedan ayudas estatales para inversiones realizadas en virtud del Reglamento STEP, deben evaluar la actividad subyacente que debe apoyarse y, sobre esa base, determinar la base pertinente de compatibilidad de las ayudas estatales que es aplicable a la actividad subvencionada.</w:t>
      </w:r>
    </w:p>
    <w:p w:rsidR="00786B3E" w:rsidRDefault="00786B3E" w:rsidP="00786B3E"/>
    <w:p w:rsidR="00786B3E" w:rsidRDefault="00786B3E" w:rsidP="00786B3E">
      <w:pPr>
        <w:pStyle w:val="P68B1DB1-Normal14"/>
      </w:pPr>
      <w:r>
        <w:t>Requisitos de notificación de la Ley de chips</w:t>
      </w:r>
    </w:p>
    <w:p w:rsidR="00786B3E" w:rsidRDefault="00786B3E" w:rsidP="00786B3E">
      <w:pPr>
        <w:pStyle w:val="P68B1DB1-Normal1"/>
      </w:pPr>
      <w:r>
        <w:t>Pregunta 2:</w:t>
      </w:r>
    </w:p>
    <w:p w:rsidR="00786B3E" w:rsidRDefault="00786B3E" w:rsidP="00786B3E">
      <w:pPr>
        <w:pStyle w:val="P68B1DB1-Normal1"/>
      </w:pPr>
      <w:r>
        <w:t>¿Es posible combinar la Plataforma STEP y la Ley de Chips? Si la tecnología cumple los objetivos de STEP, ¿es necesario cumplir también las condiciones de notificación de la Ley de Chips (por ejemplo, en primer lugar)? </w:t>
      </w:r>
    </w:p>
    <w:p w:rsidR="00786B3E" w:rsidRDefault="00786B3E" w:rsidP="00786B3E">
      <w:pPr>
        <w:pStyle w:val="P68B1DB1-Normal1"/>
      </w:pPr>
      <w:r>
        <w:t>Respuesta.</w:t>
      </w:r>
    </w:p>
    <w:p w:rsidR="00786B3E" w:rsidRDefault="00786B3E" w:rsidP="00786B3E">
      <w:r>
        <w:t xml:space="preserve">El Reglamento STEP no prevé ningún vínculo formal entre STEP y la Ley de Chips. </w:t>
      </w:r>
      <w:r w:rsidR="00D71A13">
        <w:t>STEP</w:t>
      </w:r>
      <w:r>
        <w:t xml:space="preserve"> es una herramienta de financiación que es pertinente para las tecnologías profundas y digitales. Esto incluye iniciativas como la Ley de Chips, financiada por dos programas de gestión directa pertinentes de STEP, Horizonte Europa y el programa Europa Digital. No obstante, el cumplimiento del ámbito de aplicación de STEP no excluye automáticamente la evaluación adicional necesaria para cumplir las condiciones de notificación de la Ley de Chips.</w:t>
      </w:r>
    </w:p>
    <w:p w:rsidR="00786B3E" w:rsidRDefault="00786B3E" w:rsidP="00786B3E">
      <w:pPr>
        <w:pStyle w:val="P68B1DB1-Normal1"/>
      </w:pPr>
      <w:r>
        <w:t> </w:t>
      </w:r>
    </w:p>
    <w:p w:rsidR="00786B3E" w:rsidRDefault="00786B3E" w:rsidP="00786B3E">
      <w:pPr>
        <w:pStyle w:val="P68B1DB1-Normal14"/>
      </w:pPr>
      <w:r>
        <w:t>Fondo de innovación</w:t>
      </w:r>
    </w:p>
    <w:p w:rsidR="00786B3E" w:rsidRDefault="00786B3E" w:rsidP="00786B3E">
      <w:pPr>
        <w:pStyle w:val="P68B1DB1-Normal1"/>
      </w:pPr>
      <w:r>
        <w:t>Pregunta 3:</w:t>
      </w:r>
    </w:p>
    <w:p w:rsidR="00786B3E" w:rsidRDefault="00786B3E" w:rsidP="00786B3E">
      <w:pPr>
        <w:pStyle w:val="P68B1DB1-Normal1"/>
      </w:pPr>
      <w:r>
        <w:t>Combinación del Fondo de Innovación y las ayudas estatales (con arreglo al artículo 14 del RGEC): ¿cómo debemos aplicar las normas de acumulación para garantizar que la financiación total del proyecto no supere los umbrales de ayuda estatal cuando los métodos de cálculo de los costes subvencionables difieran en diferentes regímenes de financiación?</w:t>
      </w:r>
    </w:p>
    <w:p w:rsidR="00786B3E" w:rsidRDefault="00786B3E" w:rsidP="00786B3E">
      <w:r>
        <w:t>Ejemplo: una empresa recibe apoyo financiero para un proyecto en el marco del régimen del Fondo de Innovación de la UE, que especifica un umbral del 60 % de los costes pertinentes. Los cálculos determinan, por ejemplo, que los costes pertinentes ascienden a 400 millones EUR. Por lo tanto, en este caso, el umbral indica un importe máximo de apoyo del Fondo de Innovación de 240 millones EUR. La ayuda concedida en virtud del régimen asciende a 200 millones EUR. Este importe representa solo el 50 % de los costes pertinentes.</w:t>
      </w:r>
    </w:p>
    <w:p w:rsidR="00786B3E" w:rsidRDefault="00786B3E" w:rsidP="00786B3E">
      <w:r>
        <w:t xml:space="preserve">La empresa solicita apoyo adicional del Gobierno del Estado miembro en el que opera, con arreglo a las normas del RGEC, más concretamente en virtud del artículo 14 sobre ayudas regionales a la inversión. En este caso, el importe máximo de los costes subvencionables es de 100 millones EUR y la intensidad máxima en el momento de la </w:t>
      </w:r>
      <w:r>
        <w:lastRenderedPageBreak/>
        <w:t>solicitud de ayuda financiera es del 11,25 %. Como consecuencia de ello, la empresa puede obtener 11.25 millones EUR del Gobierno del Estado miembro.</w:t>
      </w:r>
    </w:p>
    <w:p w:rsidR="00786B3E" w:rsidRDefault="00786B3E" w:rsidP="00786B3E">
      <w:r>
        <w:t>Los costes se consideran subvencionables con arreglo a ambos regímenes de financiación, pero los métodos para calcularlos son diferentes, por ejemplo, el capex en un caso y los flujos de caja a lo largo de un determinado número de años que representan todos los capex y opex en el otro.</w:t>
      </w:r>
    </w:p>
    <w:p w:rsidR="00786B3E" w:rsidRDefault="00786B3E" w:rsidP="00786B3E">
      <w:pPr>
        <w:pStyle w:val="P68B1DB1-Normal1"/>
      </w:pPr>
      <w:r>
        <w:t>Respuesta.</w:t>
      </w:r>
    </w:p>
    <w:p w:rsidR="00786B3E" w:rsidRDefault="00786B3E" w:rsidP="00786B3E">
      <w:r>
        <w:t>De conformidad con el artículo 8, apartado 2, del RGEC, al combinar ayuda en virtud del RGEC con financiación de la UE gestionada de forma centralizada, como subvenciones del Fondo de Innovación, el importe total de la financiación pública concedida en relación con los mismos costes subvencionables no debe superar el porcentaje de financiación más favorable establecido en las normas aplicables del Derecho de la Unión.</w:t>
      </w:r>
    </w:p>
    <w:p w:rsidR="00786B3E" w:rsidRDefault="00786B3E" w:rsidP="00786B3E">
      <w:r>
        <w:t>En este caso concreto, esto significa que, para el mismo proyecto, el importe combinado total de financiación pública (apoyo del Fondo de Innovación más ayuda regional del RGEC con arreglo al artículo 14) no superará el importe más elevado de i) el 60 % de los costes pertinentes calculados con arreglo a las normas del Fondo de Innovación, o ii) el importe ajustado de la ayuda calculado de conformidad con el artículo 2, apartado 20, del RGEC, tal como exige el artículo 14, apartado 12, del RGEC.</w:t>
      </w:r>
    </w:p>
    <w:p w:rsidR="00786B3E" w:rsidRDefault="00786B3E" w:rsidP="00786B3E">
      <w:r>
        <w:t>Dado que el importe combinado de financiación pública de 211.25 millones EUR (resultante de añadir el apoyo del Fondo de Innovación más la ayuda regional del RGEC) es inferior a 240 millones EUR, que sería el porcentaje de financiación más favorable en este caso concreto, se respeta la norma de acumulación del artículo 8, apartado 2, del RGEC.</w:t>
      </w:r>
    </w:p>
    <w:p w:rsidR="00786B3E" w:rsidRDefault="00786B3E" w:rsidP="00786B3E"/>
    <w:p w:rsidR="00786B3E" w:rsidRDefault="00786B3E" w:rsidP="00786B3E"/>
    <w:p w:rsidR="00786B3E" w:rsidRDefault="00786B3E" w:rsidP="00786B3E">
      <w:pPr>
        <w:pStyle w:val="Ttulo1"/>
      </w:pPr>
      <w:bookmarkStart w:id="787" w:name="scroll-bookmark-903"/>
      <w:bookmarkStart w:id="788" w:name="scroll-bookmark-904"/>
      <w:bookmarkEnd w:id="787"/>
      <w:r>
        <w:t>QA00329 — Tecnologías STEP — grandes empresas — admisibilidad de las convocatorias de propuestas</w:t>
      </w:r>
      <w:bookmarkEnd w:id="788"/>
    </w:p>
    <w:p w:rsidR="00786B3E" w:rsidRDefault="00786B3E" w:rsidP="00786B3E">
      <w:r>
        <w:rPr>
          <w:noProof/>
          <w:lang w:val="es-ES"/>
        </w:rPr>
        <w:drawing>
          <wp:inline distT="0" distB="0" distL="0" distR="0" wp14:anchorId="3BF68FE5" wp14:editId="7CFB25F8">
            <wp:extent cx="152435" cy="152435"/>
            <wp:effectExtent l="0" t="0" r="0" b="0"/>
            <wp:docPr id="101579" name="Imagen 10157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no aplica</w:t>
      </w:r>
    </w:p>
    <w:p w:rsidR="00786B3E" w:rsidRDefault="00786B3E" w:rsidP="00786B3E">
      <w:r>
        <w:rPr>
          <w:noProof/>
          <w:lang w:val="es-ES"/>
        </w:rPr>
        <w:drawing>
          <wp:inline distT="0" distB="0" distL="0" distR="0" wp14:anchorId="49EC9CDF" wp14:editId="154AE191">
            <wp:extent cx="152435" cy="152435"/>
            <wp:effectExtent l="0" t="0" r="0" b="0"/>
            <wp:docPr id="101581" name="Imagen 10158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ES</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r>
        <w:t>Según las Directrices sobre las ayudas de Estado de finalidad regional (punto 14): «Dado que no es probable que las ayudas regionales a las inversiones de grandes empresas tengan un efecto incentivador, no pueden considerarse, por regla general, compatibles con el mercado interior con arreglo al artículo 107, apartado 3, letra c), del Tratado, a menos que se concedan para inversiones iniciales que atraigan nuevas actividades a esas zonas «c» de conformidad con los criterios establecidos en las presentes Directrices.»</w:t>
      </w:r>
    </w:p>
    <w:p w:rsidR="00786B3E" w:rsidRDefault="00786B3E" w:rsidP="00786B3E">
      <w:r>
        <w:lastRenderedPageBreak/>
        <w:t>Además, de conformidad con el Reglamento (UE) n.º 651/2014 por el que se declaran determinadas categorías de ayuda compatibles con el mercado interior en aplicación de los artículos 107 y 108 del Tratado (Reglamento general de exención por categorías), artículo 14, apartado 3,: «3.... En las zonas asistidas que cumplan las condiciones del artículo 107, apartado 3, letra c), del Tratado, podrán concederse ayudas a las PYME para cualquier tipo de inversión inicial y a las grandes empresas únicamente para una inversión inicial que cree una nueva actividad económica en la zona de que se trate.»</w:t>
      </w:r>
    </w:p>
    <w:p w:rsidR="00786B3E" w:rsidRDefault="00786B3E" w:rsidP="00786B3E">
      <w:pPr>
        <w:pStyle w:val="P68B1DB1-Normal1"/>
      </w:pPr>
      <w:r>
        <w:t>Teniendo en cuenta estas disposiciones, se podría apoyar en el marco de STEP una convocatoria de propuestas para apoyar las inversiones realizadas por grandes empresas para producir tecnologías fundamentales sin crear una nueva actividad en el ámbito en cuestión?</w:t>
      </w:r>
    </w:p>
    <w:p w:rsidR="00786B3E" w:rsidRDefault="00786B3E" w:rsidP="00786B3E"/>
    <w:p w:rsidR="00786B3E" w:rsidRDefault="00786B3E" w:rsidP="00786B3E">
      <w:pPr>
        <w:pStyle w:val="P68B1DB1-Normal1"/>
      </w:pPr>
      <w:r>
        <w:t>Respuesta.</w:t>
      </w:r>
    </w:p>
    <w:p w:rsidR="00786B3E" w:rsidRDefault="00786B3E" w:rsidP="00786B3E">
      <w:r>
        <w:t>En virtud del Reglamento STEP, pueden apoyarse las inversiones de grandes empresas para apoyar la fabricación de tecnologías críticas. Dichas actividades pueden incluir la ampliación o reorientación de las instalaciones existentes, la ampliación de los procesos para satisfacer la demanda o la aplicación de mecanismos de control de calidad para garantizar la producción coherente de productos de alta calidad.</w:t>
      </w:r>
    </w:p>
    <w:p w:rsidR="00786B3E" w:rsidRDefault="00786B3E" w:rsidP="00786B3E">
      <w:r>
        <w:t>Las normas sobre ayudas estatales deben respetarse cuando sean aplicables a los proyectos STEP. Las normas sobre ayudas estatales pueden aplicarse si la inversión se refiere a actividades económicas y se financiará con recursos estatales (incluidos los fondos de la UE en gestión compartida). Por lo tanto, el apoyo a estas inversiones en el marco de una convocatoria de propuestas puede constituir ayuda estatal.</w:t>
      </w:r>
    </w:p>
    <w:p w:rsidR="00786B3E" w:rsidRDefault="00786B3E" w:rsidP="00786B3E">
      <w:r>
        <w:t>Las normas sobre ayudas regionales son aplicables a la concesión de ayudas regionales (ya sea en virtud de las DAR o del RGEC), incluso cuando un proyecto es un proyecto STEP. Por lo tanto, en el caso de las ayudas regionales concedidas a grandes empresas en zonas «c», la inversión debe consistir en una inversión inicial que cree una nueva actividad. En las zonas «a» (menos desarrolladas), podrán concederse ayudas para cualquier tipo de inversión inicial independientemente del tamaño del beneficiario.</w:t>
      </w:r>
    </w:p>
    <w:p w:rsidR="00786B3E" w:rsidRDefault="00786B3E" w:rsidP="00786B3E">
      <w:r>
        <w:t>Existe una excepción en virtud de las DAR para los territorios del FTJ, durante el período de vigencia del FTJ, que permite conceder ayudas regionales para inversiones iniciales de grandes empresas en zonas «c», no solo para inversiones iniciales que creen nuevas actividades económicas, sino también para la diversificación de la producción de un establecimiento o para un cambio fundamental en el proceso global de producción del producto o productos afectados por la inversión. Esto está a condición de que (1) la inversión inicial se realice en un territorio identificado para recibir ayuda cofinanciada del FTJ (territorio del FTJ) en una zona «c» con un PIB per cápita inferior al 100 % de la media de la EU-27; (2) la inversión y el beneficiario están identificados en el plan territorial de transición justa del Estado miembro de que se trate aprobado por la Comisión; y (3) la ayuda estatal para la inversión está cubierta por el FTJ hasta el máximo permitido. Las demás condiciones aplicables a las ayudas regionales en virtud de las DAR siguen siendo aplicables.</w:t>
      </w:r>
    </w:p>
    <w:p w:rsidR="00786B3E" w:rsidRDefault="00786B3E" w:rsidP="00786B3E">
      <w:r>
        <w:t xml:space="preserve">Además, la sección 2.8 del TCTF prevé, para algunos de los sectores a los que se dirige el Reglamento STEP (a saber, los sectores estratégicos para la transición hacia una </w:t>
      </w:r>
      <w:r>
        <w:lastRenderedPageBreak/>
        <w:t>economía de cero emisiones netas, tal como se definen en el TCTF), la posibilidad de apoyar las inversiones de grandes empresas también en zonas no asistidas, siempre que se cumplan todas las condiciones aplicables de la sección 2.8 de la TCTF. Téngase en cuenta que la sección 2.8 está en vigor hasta finales de 2025, por lo que la ayuda concedida en virtud de dicha sección debe concederse a más tardar el 31 de diciembre de 2025.</w:t>
      </w:r>
    </w:p>
    <w:p w:rsidR="00786B3E" w:rsidRDefault="00786B3E" w:rsidP="00786B3E"/>
    <w:p w:rsidR="00786B3E" w:rsidRDefault="00786B3E" w:rsidP="00786B3E"/>
    <w:p w:rsidR="00786B3E" w:rsidRDefault="00915AB3" w:rsidP="00786B3E">
      <w:pPr>
        <w:pStyle w:val="Ttulo1"/>
      </w:pPr>
      <w:bookmarkStart w:id="789" w:name="scroll-bookmark-905"/>
      <w:bookmarkStart w:id="790" w:name="scroll-bookmark-906"/>
      <w:bookmarkEnd w:id="789"/>
      <w:r>
        <w:t>QA00</w:t>
      </w:r>
      <w:r w:rsidR="00786B3E">
        <w:t>727: FEMPA: Costes subvencionables por características innovadoras</w:t>
      </w:r>
      <w:bookmarkEnd w:id="790"/>
    </w:p>
    <w:p w:rsidR="00786B3E" w:rsidRDefault="00786B3E" w:rsidP="00786B3E">
      <w:r>
        <w:rPr>
          <w:noProof/>
          <w:lang w:val="es-ES"/>
        </w:rPr>
        <w:drawing>
          <wp:inline distT="0" distB="0" distL="0" distR="0" wp14:anchorId="74BC473F" wp14:editId="76063857">
            <wp:extent cx="152435" cy="152435"/>
            <wp:effectExtent l="0" t="0" r="0" b="0"/>
            <wp:docPr id="101583" name="Imagen 1015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Anexo III, puntos 13, 14 y 18, del Reglamento FEMPA</w:t>
      </w:r>
    </w:p>
    <w:p w:rsidR="00786B3E" w:rsidRDefault="00786B3E" w:rsidP="00786B3E">
      <w:r>
        <w:rPr>
          <w:noProof/>
          <w:lang w:val="es-ES"/>
        </w:rPr>
        <w:drawing>
          <wp:inline distT="0" distB="0" distL="0" distR="0" wp14:anchorId="67AC5691" wp14:editId="5981E758">
            <wp:extent cx="152435" cy="152435"/>
            <wp:effectExtent l="0" t="0" r="0" b="0"/>
            <wp:docPr id="101585" name="Imagen 10158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r>
      <w:r w:rsidR="00377B57">
        <w:t>Pregunta</w:t>
      </w:r>
    </w:p>
    <w:p w:rsidR="00786B3E" w:rsidRDefault="00786B3E" w:rsidP="00786B3E">
      <w:r>
        <w:t>La ejecución de los fondos de la UE debe llevarse a cabo de conformidad con el principio de buena gestión financiera, tal como se establece en el artículo 69 (1) del Reglamento (UE) n.º 1060/2021. En aras de la aplicación de este principio y teniendo en cuenta las disposiciones de las filas 13, 14 y 18 del anexo III del Reglamento FEMPA, rogamos nos indiquen si el porcentaje máximo de intensidad de ayuda previsto en estas filas también debe aplicarse en caso de que no todas las actividades o no todos los costes de la operación sean significativamente diferentes. Por ejemplo: </w:t>
      </w:r>
    </w:p>
    <w:p w:rsidR="00786B3E" w:rsidRDefault="00786B3E" w:rsidP="00786B3E">
      <w:pPr>
        <w:numPr>
          <w:ilvl w:val="0"/>
          <w:numId w:val="320"/>
        </w:numPr>
      </w:pPr>
      <w:r>
        <w:t>a) Una empresa compra nuevos equipos, con un rendimiento significativamente superior al antiguo, pero la instalación de este nuevo equipo requiere:</w:t>
      </w:r>
    </w:p>
    <w:p w:rsidR="00786B3E" w:rsidRDefault="00786B3E" w:rsidP="00786B3E">
      <w:pPr>
        <w:numPr>
          <w:ilvl w:val="0"/>
          <w:numId w:val="321"/>
        </w:numPr>
      </w:pPr>
      <w:r>
        <w:t>sustitución de algunas partes por otras del mismo tipo, pero nuevas (ejemplos: cables eléctricos, tuberías, tabiques, etc.), por lo que no difieren significativamente; </w:t>
      </w:r>
    </w:p>
    <w:p w:rsidR="00786B3E" w:rsidRDefault="00786B3E" w:rsidP="00786B3E">
      <w:pPr>
        <w:numPr>
          <w:ilvl w:val="0"/>
          <w:numId w:val="322"/>
        </w:numPr>
      </w:pPr>
      <w:r>
        <w:t>trabajos ordinarios de instalación. </w:t>
      </w:r>
    </w:p>
    <w:p w:rsidR="00786B3E" w:rsidRDefault="00786B3E" w:rsidP="00786B3E">
      <w:pPr>
        <w:numPr>
          <w:ilvl w:val="0"/>
          <w:numId w:val="323"/>
        </w:numPr>
      </w:pPr>
      <w:r>
        <w:t>una empresa presenta un proyecto en el que adquiere un equipo innovador (a nivel de empresa) y un equipo/ordenador/máquina para el transporte de pescado necesario para alcanzar el objetivo del proyecto, pero este último no es innovador.</w:t>
      </w:r>
    </w:p>
    <w:p w:rsidR="00786B3E" w:rsidRDefault="00786B3E" w:rsidP="00786B3E">
      <w:r>
        <w:t>Al final, el producto, proceso o equipo es significativamente diferente y puede considerarse innovador. Sin embargo, solo una parte del coste total está relacionada con el proceso o el resultado innovadores. </w:t>
      </w:r>
    </w:p>
    <w:p w:rsidR="00786B3E" w:rsidRDefault="00786B3E" w:rsidP="00786B3E">
      <w:r>
        <w:t>Rogamos nos indiquen si, en los ejemplos presentados, el porcentaje máximo de intensidad de ayuda previsto en la fila 18 del anexo III puede aplicarse o no a todos los costes de la operación. </w:t>
      </w:r>
    </w:p>
    <w:p w:rsidR="00786B3E" w:rsidRDefault="00786B3E" w:rsidP="00786B3E"/>
    <w:p w:rsidR="00786B3E" w:rsidRDefault="00786B3E" w:rsidP="00786B3E">
      <w:pPr>
        <w:pStyle w:val="P68B1DB1-Normal1"/>
      </w:pPr>
      <w:r>
        <w:t>Respuesta.</w:t>
      </w:r>
    </w:p>
    <w:p w:rsidR="00786B3E" w:rsidRDefault="00786B3E" w:rsidP="00786B3E">
      <w:r>
        <w:t xml:space="preserve">El término </w:t>
      </w:r>
      <w:r>
        <w:rPr>
          <w:b/>
        </w:rPr>
        <w:t xml:space="preserve">«innovador» se refiere a las actividades de innovación y debe utilizarse para el ámbito de aplicación de los puntos 13, 14 y 18 del anexo III del Reglamento del FEMPA. </w:t>
      </w:r>
      <w:r>
        <w:t> </w:t>
      </w:r>
    </w:p>
    <w:p w:rsidR="00786B3E" w:rsidRDefault="00786B3E" w:rsidP="00786B3E">
      <w:r>
        <w:t>Según el manual de la OSLO: </w:t>
      </w:r>
    </w:p>
    <w:p w:rsidR="00786B3E" w:rsidRDefault="00786B3E" w:rsidP="00786B3E">
      <w:pPr>
        <w:numPr>
          <w:ilvl w:val="0"/>
          <w:numId w:val="324"/>
        </w:numPr>
      </w:pPr>
      <w:r>
        <w:t xml:space="preserve">Una </w:t>
      </w:r>
      <w:r>
        <w:rPr>
          <w:i/>
        </w:rPr>
        <w:t>innovación empresarial</w:t>
      </w:r>
      <w:r>
        <w:t xml:space="preserve"> es un producto o proceso empresarial nuevo o mejorado (o una combinación de estos) que </w:t>
      </w:r>
      <w:r>
        <w:rPr>
          <w:b/>
        </w:rPr>
        <w:t>difiere significativamente de los anteriores productos o procesos empresariales de la empresa y que ha sido introducido en el mercado</w:t>
      </w:r>
      <w:r>
        <w:t xml:space="preserve"> o </w:t>
      </w:r>
      <w:r>
        <w:rPr>
          <w:b/>
        </w:rPr>
        <w:t>puesto en uso por la empresa.</w:t>
      </w:r>
      <w:r>
        <w:t>  </w:t>
      </w:r>
    </w:p>
    <w:p w:rsidR="00786B3E" w:rsidRDefault="00786B3E" w:rsidP="00786B3E">
      <w:pPr>
        <w:numPr>
          <w:ilvl w:val="0"/>
          <w:numId w:val="325"/>
        </w:numPr>
      </w:pPr>
      <w:r>
        <w:t xml:space="preserve">Una </w:t>
      </w:r>
      <w:r>
        <w:rPr>
          <w:i/>
        </w:rPr>
        <w:t>innovación de producto</w:t>
      </w:r>
      <w:r>
        <w:t xml:space="preserve"> es un bien o servicio nuevo o mejorado que difiere significativamente de los bienes o servicios anteriores de la empresa y que se ha introducido en el mercado.  </w:t>
      </w:r>
    </w:p>
    <w:p w:rsidR="00786B3E" w:rsidRDefault="00786B3E" w:rsidP="00786B3E">
      <w:pPr>
        <w:numPr>
          <w:ilvl w:val="0"/>
          <w:numId w:val="326"/>
        </w:numPr>
      </w:pPr>
      <w:r>
        <w:t xml:space="preserve">Una </w:t>
      </w:r>
      <w:r>
        <w:rPr>
          <w:i/>
        </w:rPr>
        <w:t>innovación de procesos empresariales</w:t>
      </w:r>
      <w:r>
        <w:t xml:space="preserve"> es un proceso de negocio nuevo o mejorado para una o varias funciones empresariales que difiere significativamente de los procesos empresariales anteriores de la empresa y que ha sido puesto en funcionamiento por la empresa. </w:t>
      </w:r>
    </w:p>
    <w:p w:rsidR="00786B3E" w:rsidRDefault="00786B3E" w:rsidP="00786B3E">
      <w:r>
        <w:t>Por lo tanto, la innovación es un producto o proceso empresarial nuevo o mejorado (o una combinación de estos) que difiere significativamente de los anteriores productos o procesos empresariales de la empresa y que se ha introducido en el mercado. Como alternativa, la propia empresa ha hecho uso de la innovación.  </w:t>
      </w:r>
    </w:p>
    <w:p w:rsidR="00786B3E" w:rsidRDefault="00786B3E" w:rsidP="00786B3E">
      <w:r>
        <w:t> </w:t>
      </w:r>
    </w:p>
    <w:p w:rsidR="00786B3E" w:rsidRDefault="00786B3E" w:rsidP="00786B3E">
      <w:r>
        <w:rPr>
          <w:b/>
        </w:rPr>
        <w:t>En el contexto del FEMPA, esto puede incluir:</w:t>
      </w:r>
      <w:r>
        <w:t> </w:t>
      </w:r>
    </w:p>
    <w:p w:rsidR="00786B3E" w:rsidRDefault="00786B3E" w:rsidP="00786B3E">
      <w:pPr>
        <w:numPr>
          <w:ilvl w:val="0"/>
          <w:numId w:val="327"/>
        </w:numPr>
      </w:pPr>
      <w:r>
        <w:t>identificación o aplicación de innovaciones útiles para encontrar soluciones de comercialización, </w:t>
      </w:r>
    </w:p>
    <w:p w:rsidR="00786B3E" w:rsidRDefault="00786B3E" w:rsidP="00786B3E">
      <w:pPr>
        <w:numPr>
          <w:ilvl w:val="0"/>
          <w:numId w:val="328"/>
        </w:numPr>
      </w:pPr>
      <w:r>
        <w:t>identificación o aplicación de nuevas ideas que sean útiles para encontrar soluciones a cuestiones relacionadas con los procesos empresariales (por ejemplo, una pesca más sostenible), </w:t>
      </w:r>
    </w:p>
    <w:p w:rsidR="00786B3E" w:rsidRDefault="00786B3E" w:rsidP="00786B3E">
      <w:pPr>
        <w:numPr>
          <w:ilvl w:val="0"/>
          <w:numId w:val="329"/>
        </w:numPr>
      </w:pPr>
      <w:r>
        <w:t>identificación o aplicación de nuevas ideas que den lugar a nuevos productos y servicios (por ejemplo, servicios medioambientales y sociales), </w:t>
      </w:r>
    </w:p>
    <w:p w:rsidR="00786B3E" w:rsidRDefault="00786B3E" w:rsidP="00786B3E">
      <w:pPr>
        <w:numPr>
          <w:ilvl w:val="0"/>
          <w:numId w:val="330"/>
        </w:numPr>
      </w:pPr>
      <w:r>
        <w:t>apoyo a cambios o mejoras en una serie de tareas o actividades vinculadas para ayudar mejor a las empresas a alcanzar sus objetivos </w:t>
      </w:r>
    </w:p>
    <w:p w:rsidR="00786B3E" w:rsidRDefault="00786B3E" w:rsidP="00786B3E">
      <w:r>
        <w:t>Quedan excluidos únicamente los estudios, la investigación y el asesoramiento sobre posibles innovaciones en el futuro. </w:t>
      </w:r>
    </w:p>
    <w:p w:rsidR="00786B3E" w:rsidRDefault="00786B3E" w:rsidP="00786B3E">
      <w:r>
        <w:t xml:space="preserve">Téngase en cuenta que el porcentaje máximo de intensidad contemplado en el punto 18 se aplica a los costes que </w:t>
      </w:r>
      <w:r>
        <w:rPr>
          <w:b/>
        </w:rPr>
        <w:t xml:space="preserve">apoyan </w:t>
      </w:r>
      <w:r w:rsidR="00795C72">
        <w:rPr>
          <w:b/>
        </w:rPr>
        <w:t>directamente el</w:t>
      </w:r>
      <w:r>
        <w:t xml:space="preserve"> funcionamiento de los equipos, los procesos innovadores o la producción del producto o resultado innovadores. </w:t>
      </w:r>
    </w:p>
    <w:p w:rsidR="00786B3E" w:rsidRDefault="00786B3E" w:rsidP="00786B3E">
      <w:r>
        <w:t xml:space="preserve">Téngase en cuenta que es responsabilidad de la autoridad de gestión evaluar la conformidad de las operaciones con el punto 18 de las operaciones del FEMPA </w:t>
      </w:r>
      <w:r>
        <w:lastRenderedPageBreak/>
        <w:t>financiadas, incluidos los aspectos innovadores alegados por el beneficiario para su operación. También debe prestarse especial atención al Derecho mercantil nacional.  </w:t>
      </w:r>
    </w:p>
    <w:p w:rsidR="00786B3E" w:rsidRDefault="00786B3E" w:rsidP="00786B3E">
      <w:r>
        <w:t>La autoridad de gestión también debe velar por que las «características innovadoras» no se utilicen para aprovechar indebidamente el porcentaje de intensidad más favorable que figura en el anexo III del Reglamento del FEMP.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791" w:name="scroll-bookmark-907"/>
      <w:bookmarkStart w:id="792" w:name="scroll-bookmark-908"/>
      <w:bookmarkEnd w:id="791"/>
      <w:r>
        <w:t>PA729: FEMPA: Características innovadoras a nivel de empresa</w:t>
      </w:r>
      <w:bookmarkEnd w:id="792"/>
    </w:p>
    <w:p w:rsidR="00786B3E" w:rsidRDefault="00786B3E" w:rsidP="00786B3E">
      <w:r>
        <w:rPr>
          <w:noProof/>
          <w:lang w:val="es-ES"/>
        </w:rPr>
        <w:drawing>
          <wp:inline distT="0" distB="0" distL="0" distR="0" wp14:anchorId="6794FFAC" wp14:editId="5A21481E">
            <wp:extent cx="152435" cy="152435"/>
            <wp:effectExtent l="0" t="0" r="0" b="0"/>
            <wp:docPr id="101587" name="Imagen 10158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Anexo III, puntos 13, 14 y 18, del Reglamento FEMPA</w:t>
      </w:r>
    </w:p>
    <w:p w:rsidR="00786B3E" w:rsidRDefault="00786B3E" w:rsidP="00786B3E">
      <w:r>
        <w:rPr>
          <w:noProof/>
          <w:lang w:val="es-ES"/>
        </w:rPr>
        <w:drawing>
          <wp:inline distT="0" distB="0" distL="0" distR="0" wp14:anchorId="49D8908C" wp14:editId="142E290C">
            <wp:extent cx="152435" cy="152435"/>
            <wp:effectExtent l="0" t="0" r="0" b="0"/>
            <wp:docPr id="101589" name="Imagen 10158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r>
      <w:r w:rsidR="00377B57">
        <w:t>Pregunta</w:t>
      </w:r>
    </w:p>
    <w:p w:rsidR="00786B3E" w:rsidRDefault="00786B3E" w:rsidP="00786B3E">
      <w:r>
        <w:t>En relación con el carácter innovador según el criterio de localización, las líneas 13, 14 y 18 del anexo mencionado se refieren a: </w:t>
      </w:r>
    </w:p>
    <w:p w:rsidR="00786B3E" w:rsidRDefault="00786B3E" w:rsidP="00786B3E">
      <w:pPr>
        <w:numPr>
          <w:ilvl w:val="0"/>
          <w:numId w:val="331"/>
        </w:numPr>
      </w:pPr>
      <w:r>
        <w:rPr>
          <w:i/>
        </w:rPr>
        <w:t>características innovadoras, en su caso, a nivel local;</w:t>
      </w:r>
      <w:r>
        <w:t> </w:t>
      </w:r>
    </w:p>
    <w:p w:rsidR="00786B3E" w:rsidRDefault="00786B3E" w:rsidP="00786B3E">
      <w:pPr>
        <w:numPr>
          <w:ilvl w:val="0"/>
          <w:numId w:val="332"/>
        </w:numPr>
      </w:pPr>
      <w:r>
        <w:rPr>
          <w:i/>
        </w:rPr>
        <w:t>características innovadoras (sin más especificaciones);</w:t>
      </w:r>
      <w:r>
        <w:t> </w:t>
      </w:r>
    </w:p>
    <w:p w:rsidR="00786B3E" w:rsidRDefault="00786B3E" w:rsidP="00786B3E">
      <w:pPr>
        <w:numPr>
          <w:ilvl w:val="0"/>
          <w:numId w:val="333"/>
        </w:numPr>
      </w:pPr>
      <w:r>
        <w:rPr>
          <w:i/>
        </w:rPr>
        <w:t>productos, procesos o equipos innovadores en la pesca, la acuicultura y la transformación</w:t>
      </w:r>
      <w:r>
        <w:t> </w:t>
      </w:r>
    </w:p>
    <w:p w:rsidR="00786B3E" w:rsidRDefault="00786B3E" w:rsidP="00786B3E">
      <w:r>
        <w:t xml:space="preserve">Según el Manual de Oslo, la innovación puede ser a nivel de mercado o de empresa. Asimismo, en el documento de trabajo «FAMENET: CT5.1, documento de trabajo del FEMPA MEF 2021-2027 Actualización, octubre de 2023», se afirma, en la ficha del indicador de resultados CR 14 Innovaciones posibilitadas, que las </w:t>
      </w:r>
      <w:r>
        <w:rPr>
          <w:b/>
        </w:rPr>
        <w:t xml:space="preserve">actividades de innovación incluyen todas las actividades de desarrollo, financieras y comerciales </w:t>
      </w:r>
      <w:r>
        <w:rPr>
          <w:b/>
        </w:rPr>
        <w:lastRenderedPageBreak/>
        <w:t>emprendidas por una empresa con la intención de dar lugar a una innovación para la empresa</w:t>
      </w:r>
      <w:r>
        <w:t xml:space="preserve">. Teniendo en cuenta lo anterior, le rogamos nos comunique si puede considerarse que «productos, procesos o equipos innovadores en el sector de la pesca, la acuicultura y la transformación» </w:t>
      </w:r>
      <w:r>
        <w:rPr>
          <w:b/>
        </w:rPr>
        <w:t>pueden ser a nivel firme</w:t>
      </w:r>
      <w:r>
        <w:t xml:space="preserve">, en el sentido de que la línea 18 del anexo III es </w:t>
      </w:r>
      <w:r w:rsidR="00795C72">
        <w:t>aplicable,</w:t>
      </w:r>
      <w:r>
        <w:t xml:space="preserve"> aunque los productos, procesos o equipos de la operación sean </w:t>
      </w:r>
      <w:r>
        <w:rPr>
          <w:b/>
        </w:rPr>
        <w:t>significativamente diferentes de los anteriores a la ejecución de la operación únicamente a nivel de empresa</w:t>
      </w:r>
      <w:r>
        <w:t>. </w:t>
      </w:r>
    </w:p>
    <w:p w:rsidR="00786B3E" w:rsidRDefault="00786B3E" w:rsidP="00786B3E"/>
    <w:p w:rsidR="00786B3E" w:rsidRDefault="00786B3E" w:rsidP="00786B3E">
      <w:pPr>
        <w:pStyle w:val="P68B1DB1-Normal1"/>
      </w:pPr>
      <w:r>
        <w:t>Respuesta.</w:t>
      </w:r>
    </w:p>
    <w:p w:rsidR="00786B3E" w:rsidRDefault="00786B3E" w:rsidP="00786B3E">
      <w:r>
        <w:t xml:space="preserve">El término </w:t>
      </w:r>
      <w:r>
        <w:rPr>
          <w:b/>
        </w:rPr>
        <w:t xml:space="preserve">«innovador» se refiere a las actividades de innovación y debe utilizarse para el ámbito de aplicación de los puntos 13, 14 y 18 del anexo III del Reglamento del FEMPA. </w:t>
      </w:r>
      <w:r>
        <w:t> </w:t>
      </w:r>
    </w:p>
    <w:p w:rsidR="00786B3E" w:rsidRDefault="00786B3E" w:rsidP="00786B3E">
      <w:r>
        <w:t>Según el manual de la OSLO: </w:t>
      </w:r>
    </w:p>
    <w:p w:rsidR="00786B3E" w:rsidRDefault="00786B3E" w:rsidP="00786B3E">
      <w:pPr>
        <w:numPr>
          <w:ilvl w:val="0"/>
          <w:numId w:val="334"/>
        </w:numPr>
      </w:pPr>
      <w:r>
        <w:t xml:space="preserve">Una </w:t>
      </w:r>
      <w:r>
        <w:rPr>
          <w:i/>
        </w:rPr>
        <w:t>innovación empresarial</w:t>
      </w:r>
      <w:r>
        <w:t xml:space="preserve"> es un producto o proceso empresarial nuevo o mejorado (o una combinación de estos) que </w:t>
      </w:r>
      <w:r>
        <w:rPr>
          <w:b/>
        </w:rPr>
        <w:t>difiere significativamente de los anteriores productos o procesos empresariales de la empresa y que ha sido introducido en el mercado</w:t>
      </w:r>
      <w:r>
        <w:t xml:space="preserve"> o </w:t>
      </w:r>
      <w:r>
        <w:rPr>
          <w:b/>
        </w:rPr>
        <w:t>puesto en uso por la empresa.</w:t>
      </w:r>
      <w:r>
        <w:t>  </w:t>
      </w:r>
    </w:p>
    <w:p w:rsidR="00786B3E" w:rsidRDefault="00786B3E" w:rsidP="00786B3E">
      <w:pPr>
        <w:numPr>
          <w:ilvl w:val="0"/>
          <w:numId w:val="335"/>
        </w:numPr>
      </w:pPr>
      <w:r>
        <w:t xml:space="preserve">Una </w:t>
      </w:r>
      <w:r>
        <w:rPr>
          <w:i/>
        </w:rPr>
        <w:t>innovación de producto</w:t>
      </w:r>
      <w:r>
        <w:t xml:space="preserve"> es un bien o servicio nuevo o mejorado que difiere significativamente de los bienes o servicios anteriores de la empresa y que se ha introducido en el mercado.  </w:t>
      </w:r>
    </w:p>
    <w:p w:rsidR="00786B3E" w:rsidRDefault="00786B3E" w:rsidP="00786B3E">
      <w:pPr>
        <w:numPr>
          <w:ilvl w:val="0"/>
          <w:numId w:val="336"/>
        </w:numPr>
      </w:pPr>
      <w:r>
        <w:t xml:space="preserve">Una </w:t>
      </w:r>
      <w:r>
        <w:rPr>
          <w:i/>
        </w:rPr>
        <w:t>innovación de procesos empresariales</w:t>
      </w:r>
      <w:r>
        <w:t xml:space="preserve"> es un proceso de negocio nuevo o mejorado para una o varias funciones empresariales que difiere significativamente de los procesos empresariales anteriores de la empresa y que ha sido puesto en funcionamiento por la empresa. </w:t>
      </w:r>
    </w:p>
    <w:p w:rsidR="00786B3E" w:rsidRDefault="00786B3E" w:rsidP="00786B3E">
      <w:r>
        <w:t> </w:t>
      </w:r>
    </w:p>
    <w:p w:rsidR="00786B3E" w:rsidRDefault="00786B3E" w:rsidP="00786B3E">
      <w:r>
        <w:t>Por lo tanto, la innovación es un producto o proceso empresarial nuevo o mejorado (o una combinación de estos) que difiere significativamente de los anteriores productos o procesos empresariales de la empresa y que se ha introducido en el mercado. Como alternativa, la propia empresa ha hecho uso de la innovación.  </w:t>
      </w:r>
    </w:p>
    <w:p w:rsidR="00786B3E" w:rsidRDefault="00786B3E" w:rsidP="00786B3E">
      <w:r>
        <w:t> </w:t>
      </w:r>
    </w:p>
    <w:p w:rsidR="00786B3E" w:rsidRDefault="00786B3E" w:rsidP="00786B3E">
      <w:r>
        <w:rPr>
          <w:b/>
        </w:rPr>
        <w:t>A este respecto, los «productos, procesos o equipos innovadores en el sector de la pesca, la acuicultura y la transformación» pueden tener lugar a nivel de empresa.</w:t>
      </w:r>
      <w:r>
        <w:t> </w:t>
      </w:r>
    </w:p>
    <w:p w:rsidR="00786B3E" w:rsidRDefault="00786B3E" w:rsidP="00786B3E">
      <w:r>
        <w:t> </w:t>
      </w:r>
    </w:p>
    <w:p w:rsidR="00786B3E" w:rsidRDefault="00786B3E" w:rsidP="00786B3E">
      <w:r>
        <w:rPr>
          <w:b/>
        </w:rPr>
        <w:t>En el contexto del FEMPA, esto puede incluir:</w:t>
      </w:r>
      <w:r>
        <w:t> </w:t>
      </w:r>
    </w:p>
    <w:p w:rsidR="00786B3E" w:rsidRDefault="00786B3E" w:rsidP="00786B3E">
      <w:pPr>
        <w:numPr>
          <w:ilvl w:val="0"/>
          <w:numId w:val="337"/>
        </w:numPr>
      </w:pPr>
      <w:r>
        <w:t>identificación o aplicación de innovaciones útiles para encontrar soluciones de comercialización; </w:t>
      </w:r>
    </w:p>
    <w:p w:rsidR="00786B3E" w:rsidRDefault="00786B3E" w:rsidP="00786B3E">
      <w:pPr>
        <w:numPr>
          <w:ilvl w:val="0"/>
          <w:numId w:val="338"/>
        </w:numPr>
      </w:pPr>
      <w:r>
        <w:t>identificación o aplicación de nuevas ideas que sean útiles para encontrar soluciones a cuestiones relacionadas con los procesos empresariales (por ejemplo, una pesca más sostenible); </w:t>
      </w:r>
    </w:p>
    <w:p w:rsidR="00786B3E" w:rsidRDefault="00786B3E" w:rsidP="00786B3E">
      <w:pPr>
        <w:numPr>
          <w:ilvl w:val="0"/>
          <w:numId w:val="339"/>
        </w:numPr>
      </w:pPr>
      <w:r>
        <w:lastRenderedPageBreak/>
        <w:t>identificación o aplicación de nuevas ideas que den lugar a nuevos productos y servicios (por ejemplo, servicios medioambientales y sociales); </w:t>
      </w:r>
    </w:p>
    <w:p w:rsidR="00786B3E" w:rsidRDefault="00786B3E" w:rsidP="00786B3E">
      <w:pPr>
        <w:numPr>
          <w:ilvl w:val="0"/>
          <w:numId w:val="340"/>
        </w:numPr>
      </w:pPr>
      <w:r>
        <w:t>apoyo a cambios o mejoras en una serie de tareas o actividades vinculadas para ayudar mejor a las empresas a alcanzar sus objetivos </w:t>
      </w:r>
    </w:p>
    <w:p w:rsidR="00786B3E" w:rsidRDefault="00786B3E" w:rsidP="00786B3E">
      <w:r>
        <w:t>Quedan excluidos únicamente los estudios, la investigación y el asesoramiento sobre posibles innovaciones en el futuro. </w:t>
      </w:r>
    </w:p>
    <w:p w:rsidR="00786B3E" w:rsidRDefault="00786B3E" w:rsidP="00786B3E">
      <w:r>
        <w:t> </w:t>
      </w:r>
    </w:p>
    <w:p w:rsidR="00786B3E" w:rsidRDefault="00786B3E" w:rsidP="00786B3E">
      <w:r>
        <w:rPr>
          <w:i/>
        </w:rPr>
        <w:t>Teniendo en cuenta los aspectos anteriores, téngase en cuenta que es responsabilidad de la autoridad de gestión evaluar la conformidad de las operaciones con el punto 18 de las operaciones del FEMPA financiadas, incluidos los aspectos innovadores alegados por el beneficiario para su operación. También debe prestarse especial atención al Derecho mercantil nacional. </w:t>
      </w:r>
      <w:r>
        <w:t> </w:t>
      </w:r>
    </w:p>
    <w:p w:rsidR="00786B3E" w:rsidRDefault="00786B3E" w:rsidP="00786B3E">
      <w:r>
        <w:rPr>
          <w:i/>
        </w:rPr>
        <w:t>La autoridad de gestión también debe velar por que las «características innovadoras» no se utilicen para aprovechar indebidamente el porcentaje de intensidad más favorable que figura en el anexo III del Reglamento del FEMP.</w:t>
      </w:r>
      <w:r>
        <w:t>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r>
        <w:t> </w:t>
      </w:r>
    </w:p>
    <w:p w:rsidR="00786B3E" w:rsidRDefault="00786B3E" w:rsidP="00786B3E"/>
    <w:p w:rsidR="00786B3E" w:rsidRDefault="00786B3E" w:rsidP="00786B3E"/>
    <w:p w:rsidR="00786B3E" w:rsidRDefault="00786B3E" w:rsidP="00786B3E">
      <w:pPr>
        <w:pStyle w:val="Ttulo1"/>
      </w:pPr>
      <w:bookmarkStart w:id="793" w:name="scroll-bookmark-909"/>
      <w:bookmarkStart w:id="794" w:name="scroll-bookmark-910"/>
      <w:bookmarkEnd w:id="793"/>
      <w:r>
        <w:t xml:space="preserve">PA730: </w:t>
      </w:r>
      <w:r w:rsidR="00DF0906">
        <w:t>EMFAF</w:t>
      </w:r>
      <w:r>
        <w:t xml:space="preserve"> artículo 26 del Reglamento FEMPA</w:t>
      </w:r>
      <w:bookmarkEnd w:id="794"/>
    </w:p>
    <w:p w:rsidR="00786B3E" w:rsidRDefault="00786B3E" w:rsidP="00786B3E">
      <w:r>
        <w:rPr>
          <w:noProof/>
          <w:lang w:val="es-ES"/>
        </w:rPr>
        <w:drawing>
          <wp:inline distT="0" distB="0" distL="0" distR="0" wp14:anchorId="49E97133" wp14:editId="1BA88214">
            <wp:extent cx="152435" cy="152435"/>
            <wp:effectExtent l="0" t="0" r="0" b="0"/>
            <wp:docPr id="101591" name="Imagen 10159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xml:space="preserve">: </w:t>
      </w:r>
      <w:r>
        <w:rPr>
          <w:color w:val="000000"/>
        </w:rPr>
        <w:t>Artículo 26 del Reglamento FEMPA</w:t>
      </w:r>
    </w:p>
    <w:p w:rsidR="00786B3E" w:rsidRDefault="00786B3E" w:rsidP="00786B3E">
      <w:r>
        <w:rPr>
          <w:noProof/>
          <w:lang w:val="es-ES"/>
        </w:rPr>
        <w:drawing>
          <wp:inline distT="0" distB="0" distL="0" distR="0" wp14:anchorId="2A92F6DC" wp14:editId="6315153C">
            <wp:extent cx="152435" cy="152435"/>
            <wp:effectExtent l="0" t="0" r="0" b="0"/>
            <wp:docPr id="101593" name="Imagen 10159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RO</w:t>
      </w:r>
    </w:p>
    <w:p w:rsidR="00786B3E" w:rsidRDefault="00786B3E" w:rsidP="00786B3E"/>
    <w:p w:rsidR="00786B3E" w:rsidRDefault="00786B3E" w:rsidP="00786B3E">
      <w:pPr>
        <w:pStyle w:val="P68B1DB1-Normal1"/>
      </w:pPr>
      <w:r>
        <w:br/>
      </w:r>
      <w:r w:rsidR="00377B57">
        <w:t>Pregunta</w:t>
      </w:r>
    </w:p>
    <w:p w:rsidR="00786B3E" w:rsidRDefault="00786B3E" w:rsidP="00786B3E">
      <w:r>
        <w:t xml:space="preserve">Una de las necesidades identificadas en nuestro programa FEMPA es «Apoyar el aumento de la producción de alevines para la población llevada a cabo en las </w:t>
      </w:r>
      <w:r>
        <w:lastRenderedPageBreak/>
        <w:t>piscifactorías», en el marco del objetivo específico 2.1, que se abordará mediante inversiones en acuicultura para el establecimiento, la expansión y la modernización de las explotaciones acuícolas. ¿Es subvencionable en el marco del FEMPA la ayuda financiera a los viveros de peces y a las instalaciones que producen material de población necesario para la acuicultura? </w:t>
      </w:r>
    </w:p>
    <w:p w:rsidR="00786B3E" w:rsidRDefault="00786B3E" w:rsidP="00786B3E"/>
    <w:p w:rsidR="00786B3E" w:rsidRDefault="00786B3E" w:rsidP="00786B3E">
      <w:r>
        <w:t>Para poder apoyar el establecimiento o la mejora de las capacidades de producción de material de almacenamiento en diferentes fases de desarrollo, ¿es necesario que estas capacidades se integren en una instalación que produzca y venda productos de la acuicultura, o que estas capacidades puedan establecerse o mejorarse por separado de las explotaciones que venderán el pescado real destinado al consumo humano? </w:t>
      </w:r>
    </w:p>
    <w:p w:rsidR="00786B3E" w:rsidRDefault="00786B3E" w:rsidP="00786B3E">
      <w:r>
        <w:t> </w:t>
      </w:r>
    </w:p>
    <w:p w:rsidR="00786B3E" w:rsidRDefault="00786B3E" w:rsidP="00786B3E"/>
    <w:p w:rsidR="00786B3E" w:rsidRDefault="00786B3E" w:rsidP="00786B3E">
      <w:pPr>
        <w:pStyle w:val="P68B1DB1-Normal1"/>
      </w:pPr>
      <w:r>
        <w:t>Respuesta.</w:t>
      </w:r>
    </w:p>
    <w:p w:rsidR="00786B3E" w:rsidRDefault="00786B3E" w:rsidP="00786B3E">
      <w:r>
        <w:t>De conformidad con el artículo 26, apartado 1, letra a), del Reglamento FEMPA, el FEMPA puede apoyar intervenciones destinadas a promover actividades acuícolas sostenibles, especialmente reforzando la competitividad de la producción acuícola, garantizando al mismo tiempo que las actividades sean medioambientalmente sostenibles a largo plazo. </w:t>
      </w:r>
    </w:p>
    <w:p w:rsidR="00786B3E" w:rsidRDefault="00786B3E" w:rsidP="00786B3E">
      <w:r>
        <w:t> </w:t>
      </w:r>
    </w:p>
    <w:p w:rsidR="00786B3E" w:rsidRDefault="00786B3E" w:rsidP="00786B3E">
      <w:r>
        <w:t>El Reglamento sobre la PPC define la acuicultura como: «la cría o el cultivo de organismos acuáticos mediante técnicas destinadas a aumentar la producción de los organismos de que se trate más allá de la capacidad natural del medio, cuando los organismos sigan siendo propiedad de una persona física o jurídica durante toda la fase de cría y cultivo, hasta la recolección, inclusive;». </w:t>
      </w:r>
    </w:p>
    <w:p w:rsidR="00786B3E" w:rsidRDefault="00786B3E" w:rsidP="00786B3E">
      <w:r>
        <w:t> </w:t>
      </w:r>
    </w:p>
    <w:p w:rsidR="00786B3E" w:rsidRDefault="00786B3E" w:rsidP="00786B3E">
      <w:r>
        <w:t xml:space="preserve">Los viveros de peces y las instalaciones que producen materiales de población para la acuicultura apoyan directamente al sector de la acuicultura y </w:t>
      </w:r>
      <w:r>
        <w:rPr>
          <w:i/>
        </w:rPr>
        <w:t>no están incluidos en la lista de «operaciones/gastos no subvencionables» del artículo 13 del</w:t>
      </w:r>
      <w:r>
        <w:t xml:space="preserve"> Reglamento (CE) n.º 2021/1139 del FEMPA. </w:t>
      </w:r>
    </w:p>
    <w:p w:rsidR="00786B3E" w:rsidRDefault="00786B3E" w:rsidP="00786B3E">
      <w:r>
        <w:t> </w:t>
      </w:r>
    </w:p>
    <w:p w:rsidR="00786B3E" w:rsidRDefault="00786B3E" w:rsidP="00786B3E">
      <w:r>
        <w:t>No obstante, el artículo 27 menciona lo siguiente: «para alcanzar el objetivo específico a que se refiere el artículo 26, apartado 1, letra a), del presente Reglamento en lo que respecta al fomento de las actividades acuícolas</w:t>
      </w:r>
      <w:r>
        <w:rPr>
          <w:i/>
        </w:rPr>
        <w:t>, la ayuda será coherente con los planes estratégicos</w:t>
      </w:r>
      <w:r>
        <w:t xml:space="preserve"> nacionales plurianuales para el desarrollo de la acuicultura a que se refiere el artículo 34, apartado 2, del Reglamento (UE) n.º 1380/2013.». </w:t>
      </w:r>
    </w:p>
    <w:p w:rsidR="00786B3E" w:rsidRDefault="00786B3E" w:rsidP="00786B3E">
      <w:r>
        <w:t> </w:t>
      </w:r>
    </w:p>
    <w:p w:rsidR="00786B3E" w:rsidRDefault="00786B3E" w:rsidP="00786B3E">
      <w:r>
        <w:t xml:space="preserve">Así pues, consideramos que, en el contexto de los artículos anteriores del Reglamento FEMPA, el </w:t>
      </w:r>
      <w:r>
        <w:rPr>
          <w:b/>
          <w:i/>
        </w:rPr>
        <w:t xml:space="preserve">apoyo financiero a los viveros de peces y a las instalaciones que producen material de población en diversas fases de desarrollo necesarias para la actividad acuícola es subvencionable </w:t>
      </w:r>
      <w:r>
        <w:t>si es coherente con</w:t>
      </w:r>
      <w:r>
        <w:rPr>
          <w:b/>
          <w:i/>
        </w:rPr>
        <w:t xml:space="preserve"> </w:t>
      </w:r>
      <w:r>
        <w:t>sus prioridades incluidas en el plan estratégico nacional plurianual para la acuicultura</w:t>
      </w:r>
      <w:r>
        <w:rPr>
          <w:b/>
          <w:i/>
        </w:rPr>
        <w:t>.</w:t>
      </w:r>
      <w:r>
        <w:t>  </w:t>
      </w:r>
    </w:p>
    <w:p w:rsidR="00786B3E" w:rsidRDefault="00786B3E" w:rsidP="00786B3E"/>
    <w:p w:rsidR="00786B3E" w:rsidRDefault="00786B3E" w:rsidP="00786B3E">
      <w:pPr>
        <w:pStyle w:val="P68B1DB1-Normal4"/>
      </w:pPr>
      <w:r>
        <w:t>NOTA:</w:t>
      </w:r>
    </w:p>
    <w:p w:rsidR="00786B3E" w:rsidRDefault="00786B3E" w:rsidP="00786B3E">
      <w:r>
        <w:rPr>
          <w:i/>
        </w:rPr>
        <w:t>De conformidad con el artículo 12 del Reglamento (UE) 2021/1139 (Reglamento FEMPA), las operaciones seleccionadas por los Estados miembros deben entrar en el ámbito de aplicación de las prioridades y los objetivos específicos establecidos en el artículo 8, apartado 2, no deben ser subvencionables con arreglo al artículo 13 y deben ser conformes con el Derecho de la Unión aplicable.</w:t>
      </w:r>
      <w:r>
        <w:t> </w:t>
      </w:r>
    </w:p>
    <w:p w:rsidR="00786B3E" w:rsidRDefault="00786B3E" w:rsidP="00786B3E">
      <w:r>
        <w:rPr>
          <w:i/>
        </w:rPr>
        <w:t>De conformidad con el considerando 7 del Reglamento FEMPA, el apoyo debe tener un claro valor añadido europeo, entre otras cosas abordando de manera proporcionada las deficiencias del mercado o las situaciones de inversión subóptimas, y no debe duplicar ni desplazar la financiación privada ni falsear la competencia en el mercado interior.</w:t>
      </w:r>
      <w:r>
        <w:t> </w:t>
      </w:r>
    </w:p>
    <w:p w:rsidR="00786B3E" w:rsidRDefault="00786B3E" w:rsidP="00786B3E"/>
    <w:p w:rsidR="00786B3E" w:rsidRDefault="00786B3E" w:rsidP="00786B3E"/>
    <w:p w:rsidR="00786B3E" w:rsidRDefault="00786B3E" w:rsidP="00786B3E">
      <w:pPr>
        <w:pStyle w:val="Ttulo1"/>
      </w:pPr>
      <w:bookmarkStart w:id="795" w:name="scroll-bookmark-911"/>
      <w:bookmarkStart w:id="796" w:name="scroll-bookmark-912"/>
      <w:bookmarkEnd w:id="795"/>
      <w:r>
        <w:t>QA00331 — Principio de «no causar un perjuicio significativo» (DNSH) en el contexto de los instrumentos financieros</w:t>
      </w:r>
      <w:bookmarkEnd w:id="796"/>
    </w:p>
    <w:p w:rsidR="00786B3E" w:rsidRDefault="00786B3E" w:rsidP="00786B3E">
      <w:r>
        <w:rPr>
          <w:noProof/>
          <w:lang w:val="es-ES"/>
        </w:rPr>
        <w:drawing>
          <wp:inline distT="0" distB="0" distL="0" distR="0" wp14:anchorId="3ADC8B4B" wp14:editId="39D896AF">
            <wp:extent cx="152435" cy="152435"/>
            <wp:effectExtent l="0" t="0" r="0" b="0"/>
            <wp:docPr id="101595" name="Imagen 10159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Considerando 10 del RDC y artículo 9, apartado 4, del RDC</w:t>
      </w:r>
    </w:p>
    <w:p w:rsidR="00786B3E" w:rsidRDefault="00786B3E" w:rsidP="00786B3E">
      <w:r>
        <w:rPr>
          <w:noProof/>
          <w:lang w:val="es-ES"/>
        </w:rPr>
        <w:drawing>
          <wp:inline distT="0" distB="0" distL="0" distR="0" wp14:anchorId="45199AA1" wp14:editId="024DF147">
            <wp:extent cx="152435" cy="152435"/>
            <wp:effectExtent l="0" t="0" r="0" b="0"/>
            <wp:docPr id="101597" name="Imagen 10159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7"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SK</w:t>
      </w:r>
    </w:p>
    <w:p w:rsidR="00786B3E" w:rsidRDefault="00786B3E" w:rsidP="00786B3E"/>
    <w:p w:rsidR="00786B3E" w:rsidRDefault="00786B3E" w:rsidP="00786B3E">
      <w:pPr>
        <w:pStyle w:val="P68B1DB1-Normal1"/>
      </w:pPr>
      <w:r>
        <w:t>Pregunta 1 (incluidos los hechos e información pertinentes):</w:t>
      </w:r>
    </w:p>
    <w:p w:rsidR="00786B3E" w:rsidRDefault="00786B3E" w:rsidP="00786B3E">
      <w:pPr>
        <w:pStyle w:val="P68B1DB1-Normal1"/>
      </w:pPr>
      <w:r>
        <w:t xml:space="preserve">El RDC establece que los Estados miembros deben controlar si la ayuda proporcionada a través del instrumento financiero debe utilizarse para los fines previstos. Esto significa que solo debe realizarse un control ex ante. ¿Entendemos correctamente que esta norma se aplica a los criterios de admisibilidad que incluyen el principio de «no causar un perjuicio significativo» (DNSH)? En otras palabras, </w:t>
      </w:r>
      <w:r w:rsidR="00795C72">
        <w:t>¿</w:t>
      </w:r>
      <w:r>
        <w:t>la aplicación del principio DNSH solo debe hacerse ex ante?</w:t>
      </w:r>
    </w:p>
    <w:p w:rsidR="00786B3E" w:rsidRDefault="00786B3E" w:rsidP="00786B3E"/>
    <w:p w:rsidR="00786B3E" w:rsidRDefault="00786B3E" w:rsidP="00786B3E">
      <w:pPr>
        <w:pStyle w:val="P68B1DB1-Normal1"/>
      </w:pPr>
      <w:r>
        <w:t>Respuesta 1:</w:t>
      </w:r>
    </w:p>
    <w:p w:rsidR="00786B3E" w:rsidRDefault="00786B3E" w:rsidP="00786B3E">
      <w:r>
        <w:t>El principio DNSH es un principio horizontal previsto en el artículo 9, apartado 4, del Reglamento (UE) 2021/1060 («RDC») que debe tenerse en cuenta al perseguir los objetivos políticos del programa. Los Estados miembros son responsables de la aplicación de este principio a lo largo del período de programación. Por lo tanto, la aplicación del principio DNSH debe garantizarse tanto durante la programación (ex ante) como durante la ejecución del programa (ex post).</w:t>
      </w:r>
    </w:p>
    <w:p w:rsidR="00786B3E" w:rsidRDefault="00786B3E" w:rsidP="00786B3E">
      <w:r>
        <w:t xml:space="preserve">De lo anterior se desprende que el principio DNSH se aplica a nivel del programa, en el que las autoridades de gestión evalúan ex ante la conformidad de cada tipo de acción con el principio, incluidos los que se financiarán a través de instrumentos financieros. Por lo tanto, las operaciones de IF seleccionadas deben entrar en el ámbito de aplicación </w:t>
      </w:r>
      <w:r>
        <w:lastRenderedPageBreak/>
        <w:t>de los tipos de acciones que se han evaluado como conformes con el principio de «no causar un perjuicio significativo» en los programas adoptados. No existe ningún requisito legal para establecer criterios de selección específicos del principio DNSH para todas las operaciones.</w:t>
      </w:r>
    </w:p>
    <w:p w:rsidR="00786B3E" w:rsidRDefault="00786B3E" w:rsidP="00786B3E">
      <w:r>
        <w:t>El seguimiento ex post de la aplicación del principio de «no causar un perjuicio significativo» en el proceso de ejecución de las operaciones de los instrumentos financieros o las inversiones conexas será necesario en los casos en que un programa o su evaluación del principio DNSH desencadene o establezca criterios o condiciones de admisibilidad específicos para un tipo específico de acción o inversiones conexas. Solo en ese caso, se recomienda que el principio DNSH se refleje o se tenga en cuenta en el acuerdo de financiación entre la AG y los organismos que ejecutan el instrumento financiero.</w:t>
      </w:r>
    </w:p>
    <w:p w:rsidR="00786B3E" w:rsidRDefault="00786B3E" w:rsidP="00786B3E">
      <w:r>
        <w:t>El principio DNSH también debe reflejarse o considerarse en las normas nacionales de subvencionabilidad, independientemente de la forma de ayuda (subvención o IF), cuando proceda.</w:t>
      </w:r>
    </w:p>
    <w:p w:rsidR="00786B3E" w:rsidRDefault="00786B3E" w:rsidP="00786B3E"/>
    <w:p w:rsidR="00786B3E" w:rsidRDefault="00786B3E" w:rsidP="00786B3E">
      <w:pPr>
        <w:pStyle w:val="P68B1DB1-Normal1"/>
      </w:pPr>
      <w:r>
        <w:t>Pregunta 2:</w:t>
      </w:r>
    </w:p>
    <w:p w:rsidR="00786B3E" w:rsidRDefault="00786B3E" w:rsidP="00786B3E">
      <w:pPr>
        <w:pStyle w:val="P68B1DB1-Normal1"/>
      </w:pPr>
      <w:r>
        <w:t>El principio DNSH formará parte del contrato con el beneficiario y con los intermediarios financieros. La autoridad de gestión está obligada a comprobar si estas instituciones siguen las normas DNSH utilizando la metodología elaborada por nuestros organismos reguladores. ¿Entendemos correctamente que, a nivel de los destinatarios finales, el principio de «no causar un perjuicio significativo» no debe ser controlado y no será auditado por el Tribunal de Cuentas Europeo ni por la Comisión (dado que el RDC establece que no se realizarán auditorías a nivel de los destinatarios finales)?</w:t>
      </w:r>
    </w:p>
    <w:p w:rsidR="00786B3E" w:rsidRDefault="00786B3E" w:rsidP="00786B3E"/>
    <w:p w:rsidR="00786B3E" w:rsidRDefault="00786B3E" w:rsidP="00786B3E">
      <w:pPr>
        <w:pStyle w:val="P68B1DB1-Normal1"/>
      </w:pPr>
      <w:r>
        <w:t>Respuesta 2:</w:t>
      </w:r>
    </w:p>
    <w:p w:rsidR="00786B3E" w:rsidRDefault="00786B3E" w:rsidP="00786B3E">
      <w:r>
        <w:t>De conformidad con el artículo 81, apartado 1, y el artículo 81, apartado 3, del RDC, las verificaciones de la gestión sobre el terreno por parte de la autoridad de gestión (AG) y las auditorías de la autoridad de auditoría (AA) se llevarán a cabo a nivel de los organismos que ejecuten los instrumentos financieros (o de los organismos que concedan nuevos préstamos subyacentes).</w:t>
      </w:r>
    </w:p>
    <w:p w:rsidR="00786B3E" w:rsidRDefault="00786B3E" w:rsidP="00786B3E">
      <w:r>
        <w:t>Las auditorías de la Comisión abarcan el trabajo de auditoría realizado por la AA y las verificaciones de gestión realizadas por la AG, y pueden complementarse con controles a nivel de los organismos que ejecutan los instrumentos financieros.</w:t>
      </w:r>
    </w:p>
    <w:p w:rsidR="00786B3E" w:rsidRDefault="00786B3E" w:rsidP="00786B3E">
      <w:r>
        <w:t>Debe mantenerse una pista de auditoría adecuada con arreglo al anexo XIII del RDC a todos los niveles (AA, AG, organismos de ejecución de instrumentos financieros), incluida la documentación pertinente recopilada de los destinatarios finales o celebrada con ellos (por ejemplo, formularios de solicitud, planes empresariales o equivalentes, acuerdos contractuales). Todos los elementos de la pista de auditoría podrán ser objeto de auditorías por parte de la AA y la Comisión.   </w:t>
      </w:r>
    </w:p>
    <w:p w:rsidR="00786B3E" w:rsidRDefault="00786B3E" w:rsidP="00786B3E">
      <w:r>
        <w:lastRenderedPageBreak/>
        <w:t>Del punto (1), letra d), del anexo X del RDC se desprende que el acuerdo de financiación debe establecer normas para que los organismos de ejecución de los instrumentos financieros supervisen la ejecución del instrumento financiero.</w:t>
      </w:r>
    </w:p>
    <w:p w:rsidR="00786B3E" w:rsidRDefault="00786B3E" w:rsidP="00786B3E"/>
    <w:p w:rsidR="00786B3E" w:rsidRDefault="00786B3E" w:rsidP="00786B3E">
      <w:pPr>
        <w:pStyle w:val="P68B1DB1-Normal1"/>
      </w:pPr>
      <w:r>
        <w:t>Pregunta 3:</w:t>
      </w:r>
    </w:p>
    <w:p w:rsidR="00786B3E" w:rsidRDefault="00786B3E" w:rsidP="00786B3E">
      <w:pPr>
        <w:pStyle w:val="P68B1DB1-Normal1"/>
      </w:pPr>
      <w:r>
        <w:t xml:space="preserve">La mayor parte de la financiación que se utilizará a través de instrumentos financieros se destinará a apoyar a las pymes. La mayor parte de este apoyo consistirá en garantías que estimularán nuevos préstamos apalancados. Estos préstamos se utilizarán como capital circulante, lo que significa que las empresas pueden utilizarlos de la forma que necesiten. Esto puede incluir la compra de maquinaria, automóviles, etc., pero ni los bancos ni la autoridad de gestión lo comprobarán, </w:t>
      </w:r>
      <w:r w:rsidR="002F3719">
        <w:t xml:space="preserve">ya que, </w:t>
      </w:r>
      <w:r>
        <w:t>ni ellos ni las pymes sabrán de antemano qué dinero se utilizará exactamente. ¿Entendemos correctamente que no tenemos que controlar estas operaciones o si este capital circulante se utilizó en consonancia con el principio DNSH o si el principio DNSH no se aplica en absoluto al beneficiario final en caso de capital circulante? </w:t>
      </w:r>
    </w:p>
    <w:p w:rsidR="00786B3E" w:rsidRDefault="00786B3E" w:rsidP="00786B3E"/>
    <w:p w:rsidR="00786B3E" w:rsidRDefault="00786B3E" w:rsidP="00786B3E">
      <w:pPr>
        <w:pStyle w:val="P68B1DB1-Normal1"/>
      </w:pPr>
      <w:r>
        <w:t>Respuesta 3:</w:t>
      </w:r>
    </w:p>
    <w:p w:rsidR="00786B3E" w:rsidRDefault="00786B3E" w:rsidP="00786B3E">
      <w:r>
        <w:t>Si el capital circulante para las pymes se aprobó como acción conforme con el principio de «no causar un perjuicio significativo» en el programa, no es necesario realizar un seguimiento adicional, tal como se describe en la respuesta 1.</w:t>
      </w:r>
    </w:p>
    <w:p w:rsidR="00786B3E" w:rsidRDefault="00786B3E" w:rsidP="00786B3E">
      <w:r>
        <w:t>Téngase en cuenta que, normalmente, los automóviles y la maquinaria son activos materiales, en lugar de activos corrientes, por lo que no pertenecen a la categoría de apoyo prestado a los beneficiarios finales para el capital circulante.</w:t>
      </w:r>
    </w:p>
    <w:p w:rsidR="00786B3E" w:rsidRDefault="00786B3E" w:rsidP="00786B3E"/>
    <w:p w:rsidR="00786B3E" w:rsidRDefault="00786B3E" w:rsidP="00786B3E"/>
    <w:p w:rsidR="00786B3E" w:rsidRDefault="00786B3E" w:rsidP="00786B3E">
      <w:pPr>
        <w:pStyle w:val="Ttulo1"/>
      </w:pPr>
      <w:bookmarkStart w:id="797" w:name="scroll-bookmark-913"/>
      <w:bookmarkStart w:id="798" w:name="scroll-bookmark-914"/>
      <w:bookmarkEnd w:id="797"/>
      <w:r>
        <w:t>QA00330 — Asignación de gastos para «proyectos de cooperación interestatal» en caso de que los socios del proyecto estén situados en diferentes Estados federados con diferentes categorías de regiones y diferentes programas</w:t>
      </w:r>
      <w:bookmarkEnd w:id="798"/>
    </w:p>
    <w:p w:rsidR="00786B3E" w:rsidRDefault="00786B3E" w:rsidP="00786B3E">
      <w:r>
        <w:rPr>
          <w:noProof/>
          <w:lang w:val="es-ES"/>
        </w:rPr>
        <w:drawing>
          <wp:inline distT="0" distB="0" distL="0" distR="0" wp14:anchorId="032DDBA8" wp14:editId="11506B9E">
            <wp:extent cx="152435" cy="152435"/>
            <wp:effectExtent l="0" t="0" r="0" b="0"/>
            <wp:docPr id="101599" name="Imagen 10159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9"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2 y artículo 63, apartado 3, del RDC </w:t>
      </w:r>
    </w:p>
    <w:p w:rsidR="00786B3E" w:rsidRDefault="00786B3E" w:rsidP="00786B3E">
      <w:r>
        <w:rPr>
          <w:noProof/>
          <w:lang w:val="es-ES"/>
        </w:rPr>
        <w:drawing>
          <wp:inline distT="0" distB="0" distL="0" distR="0" wp14:anchorId="553D3D9F" wp14:editId="2971DBF1">
            <wp:extent cx="152435" cy="152435"/>
            <wp:effectExtent l="0" t="0" r="0" b="0"/>
            <wp:docPr id="101601" name="Imagen 101601"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1"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DE</w:t>
      </w:r>
    </w:p>
    <w:p w:rsidR="00786B3E" w:rsidRDefault="00786B3E" w:rsidP="00786B3E"/>
    <w:p w:rsidR="00786B3E" w:rsidRDefault="00786B3E" w:rsidP="00786B3E">
      <w:pPr>
        <w:pStyle w:val="P68B1DB1-Normal1"/>
      </w:pPr>
      <w:r>
        <w:t>Información básica:</w:t>
      </w:r>
    </w:p>
    <w:p w:rsidR="00786B3E" w:rsidRDefault="00786B3E" w:rsidP="00786B3E">
      <w:r>
        <w:t>La autoridad de gestión de Baja Sajonia desea ofrecer más opciones de financiación para proyectos de «cooperación interestatal» en la región metropolitana de Hamburgo en Alemania.</w:t>
      </w:r>
    </w:p>
    <w:p w:rsidR="00786B3E" w:rsidRDefault="00786B3E" w:rsidP="00786B3E">
      <w:r>
        <w:lastRenderedPageBreak/>
        <w:t>La región metropolitana de Hamburgo se extiende por los Estados federados de Hamburgo, Mecklemburgo-Pomerania Occidental, Schleswig-Holstein y Baja Sajonia. La parte de Baja Sajonia, perteneciente a la región metropolitana de Hamburgo, está situada en la región de transición de Lüneburg. El estado de Mecklemburgo-Pomerania Occidental también está clasificado como región en transición, mientras que Hamburgo y Schleswig-Holstein son regiones más desarrolladas. Aparte de la región de transición de Lüneburg, Baja Sajonia está compuesta también por tres regiones más desarrolladas, mientras que los demás Estados solo tienen una categoría de región.</w:t>
      </w:r>
    </w:p>
    <w:p w:rsidR="00786B3E" w:rsidRDefault="00786B3E" w:rsidP="00786B3E">
      <w:r>
        <w:t>Con el fin de facilitar los proyectos de cooperación interestatal, las autoridades de gestión prevén que los fondos del FEDER para un proyecto provengan en su totalidad del Estado federal en el que el proyecto tenga el mayor impacto. La ejecución del proyecto se llevará a cabo con arreglo al «principio del socio principal»</w:t>
      </w:r>
      <w:hyperlink w:anchor="scroll-bookmark-915" w:history="1">
        <w:r>
          <w:rPr>
            <w:rStyle w:val="Hipervnculo"/>
          </w:rPr>
          <w:t>[1]</w:t>
        </w:r>
      </w:hyperlink>
      <w:r>
        <w:t>.</w:t>
      </w:r>
    </w:p>
    <w:p w:rsidR="00786B3E" w:rsidRDefault="00786B3E" w:rsidP="00786B3E">
      <w:r>
        <w:t>De conformidad con el artículo 63, apartado 3</w:t>
      </w:r>
      <w:r>
        <w:rPr>
          <w:i/>
        </w:rPr>
        <w:t>,... «En el caso del FEDER, los gastos relacionados con operaciones que abarquen más de una categoría de regiones, tal como se establece en el artículo 108, apartado 2, dentro de un Estado miembro, se asignarán a las categorías de regiones de que se trate a prorrata, sobre la base de</w:t>
      </w:r>
      <w:r>
        <w:t xml:space="preserve"> criterios objetivos».</w:t>
      </w:r>
    </w:p>
    <w:p w:rsidR="00786B3E" w:rsidRDefault="00786B3E" w:rsidP="00786B3E">
      <w:r>
        <w:t>La autoridad de gestión de Baja Sajonia se pregunta cómo puede cumplir este artículo en una situación en la que:</w:t>
      </w:r>
    </w:p>
    <w:p w:rsidR="00786B3E" w:rsidRDefault="00786B3E" w:rsidP="00786B3E">
      <w:pPr>
        <w:numPr>
          <w:ilvl w:val="0"/>
          <w:numId w:val="341"/>
        </w:numPr>
      </w:pPr>
      <w:r>
        <w:t>Un socio principal solicitará ayuda para todo el proyecto del programa de la región en la que esté establecido el socio principal;</w:t>
      </w:r>
    </w:p>
    <w:p w:rsidR="00786B3E" w:rsidRDefault="00786B3E" w:rsidP="00786B3E">
      <w:pPr>
        <w:numPr>
          <w:ilvl w:val="0"/>
          <w:numId w:val="341"/>
        </w:numPr>
      </w:pPr>
      <w:r>
        <w:t>Los socios del proyecto están situados en regiones con diferentes tipos de categorías y en uno o más estados federales de Alemania. La autoridad de gestión del Estado del socio principal no tiene jurisdicción en el otro u otros Estados federales.</w:t>
      </w:r>
    </w:p>
    <w:p w:rsidR="00786B3E" w:rsidRDefault="00786B3E" w:rsidP="00786B3E">
      <w:r>
        <w:t xml:space="preserve">Véanse aquí </w:t>
      </w:r>
      <w:r>
        <w:rPr>
          <w:u w:val="single"/>
        </w:rPr>
        <w:t>dos ejemplos ficticios</w:t>
      </w:r>
      <w:r>
        <w:t xml:space="preserve"> para ilustrar la cuestión:</w:t>
      </w:r>
    </w:p>
    <w:p w:rsidR="00786B3E" w:rsidRDefault="00786B3E" w:rsidP="00786B3E">
      <w:pPr>
        <w:numPr>
          <w:ilvl w:val="0"/>
          <w:numId w:val="342"/>
        </w:numPr>
      </w:pPr>
      <w:r>
        <w:t>Por ejemplo, la Universidad de Lüneburg (situada en la región en transición de Baja Sajonia) y una universidad de Hamburgo (región más desarrollada) quieren llevar a cabo conjuntamente un proyecto de cooperación. El socio principal es la Universidad de Lüneburg, que se presentará en calidad de socio principal para la financiación del FEDER en Baja Sajonia (el proyecto tendrá el mayor impacto en la región de Lüneburg). De conformidad con el artículo 63, apartado 3, los gastos se asignarán a las categorías de regiones de que se trate a prorrata. Como consecuencia de ello, una parte de los fondos de las regiones más desarrolladas de Baja Sajonia (situadas en la parte meridional y oriental del Estado federado) tendría que utilizarse para un proyecto que funcione en la frontera entre la región de transición de Lüneburg y Hamburgo. Alternativamente, el proyecto tendría que dividirse en dos proyectos, uno de los cuales sería financiado en Hamburgo y el otro en Baja Sajonia, o los fondos de Hamburgo tendrían que reasignarse a Baja Sajonia.</w:t>
      </w:r>
    </w:p>
    <w:p w:rsidR="00786B3E" w:rsidRDefault="00786B3E" w:rsidP="00786B3E">
      <w:pPr>
        <w:numPr>
          <w:ilvl w:val="0"/>
          <w:numId w:val="342"/>
        </w:numPr>
      </w:pPr>
      <w:r>
        <w:t xml:space="preserve">En otro ejemplo, el socio principal estaría ubicado en Hamburgo, cooperando con un socio en Lüneburg, y se solicitaría financiación para todo el proyecto al programa FEDER de Hamburgo (el proyecto tiene más impacto en la región de Hamburgo), una situación similar. Hamburgo no tiene ninguna región en </w:t>
      </w:r>
      <w:r>
        <w:lastRenderedPageBreak/>
        <w:t>transición y, por lo tanto, no puede asignar una parte proporcional del gasto del socio de Lüneburg a la categoría de región de transición.</w:t>
      </w:r>
    </w:p>
    <w:p w:rsidR="00786B3E" w:rsidRDefault="00786B3E" w:rsidP="00786B3E">
      <w:r>
        <w:t>Parece que el artículo 63 del RDC establece normas en las que la financiación procede de un programa para un proyecto que cruza diferentes tipos de regiones.</w:t>
      </w:r>
    </w:p>
    <w:p w:rsidR="00786B3E" w:rsidRDefault="00786B3E" w:rsidP="00786B3E">
      <w:r>
        <w:t xml:space="preserve">La situación descrita se refiere a un programa, que </w:t>
      </w:r>
      <w:r>
        <w:rPr>
          <w:b/>
        </w:rPr>
        <w:t>financia no solo un proyecto que cruza diferentes tipos de regiones, sino también otras zonas del programa</w:t>
      </w:r>
      <w:r>
        <w:t xml:space="preserve"> (y fuera de la jurisdicción de la autoridad de gestión del socio principal).</w:t>
      </w:r>
    </w:p>
    <w:p w:rsidR="00786B3E" w:rsidRDefault="00786B3E" w:rsidP="00786B3E">
      <w:r>
        <w:t xml:space="preserve">La autoridad de gestión de Baja Sajonia está buscando una solución en la que solo sea necesario tramitar </w:t>
      </w:r>
      <w:r>
        <w:rPr>
          <w:u w:val="single"/>
        </w:rPr>
        <w:t>una solicitud para un «proyecto de cooperación entre Estados» y que dicho proyecto no tenga que dividirse en subproyectos, cada uno</w:t>
      </w:r>
      <w:r>
        <w:t xml:space="preserve"> de los cuales deberá tramitar una solicitud.   </w:t>
      </w:r>
    </w:p>
    <w:p w:rsidR="00786B3E" w:rsidRDefault="00786B3E" w:rsidP="00786B3E"/>
    <w:p w:rsidR="00786B3E" w:rsidRDefault="00FC0FB1" w:rsidP="00786B3E">
      <w:hyperlink w:anchor="scroll-bookmark-916" w:history="1">
        <w:r w:rsidR="00786B3E">
          <w:rPr>
            <w:rStyle w:val="Hipervnculo"/>
          </w:rPr>
          <w:t>[1]</w:t>
        </w:r>
      </w:hyperlink>
      <w:r w:rsidR="00786B3E">
        <w:t> Este principio debe entenderse, por analogía con el artículo 13 del Reglamento (UE) n.º 1299/2013 sobre la cooperación territorial europea, en el sentido de que el socio principal mantiene el vínculo formal entre el proyecto y la autoridad de gestión y asume la responsabilidad de garantizar la ejecución de toda la operación. A través de un acuerdo de asociación del proyecto, otros socios del proyecto se consideran responsables y responsables de su parte de la ejecución del proyecto ante el socio principal.</w:t>
      </w:r>
    </w:p>
    <w:p w:rsidR="00786B3E" w:rsidRDefault="00786B3E" w:rsidP="00786B3E">
      <w:pPr>
        <w:pStyle w:val="P68B1DB1-Normal1"/>
      </w:pPr>
      <w:r>
        <w:br/>
        <w:t>Preguntas (incluidos los hechos y la información pertinentes):</w:t>
      </w:r>
    </w:p>
    <w:p w:rsidR="00786B3E" w:rsidRDefault="00786B3E" w:rsidP="00786B3E">
      <w:pPr>
        <w:numPr>
          <w:ilvl w:val="0"/>
          <w:numId w:val="343"/>
        </w:numPr>
      </w:pPr>
      <w:r>
        <w:t>¿Pueden ejecutarse los «proyectos de cooperación interestatal» en el marco de un «principio de asociación principal» al tiempo que se puede respetar el artículo 63, apartado 3, del RDC?</w:t>
      </w:r>
    </w:p>
    <w:p w:rsidR="00786B3E" w:rsidRDefault="00786B3E" w:rsidP="00786B3E">
      <w:pPr>
        <w:numPr>
          <w:ilvl w:val="0"/>
          <w:numId w:val="343"/>
        </w:numPr>
      </w:pPr>
      <w:r>
        <w:t>¿Qué significa exactamente la expresión «</w:t>
      </w:r>
      <w:r>
        <w:rPr>
          <w:i/>
        </w:rPr>
        <w:t>los gastos se asignarán a las categorías de regiones de que se trate</w:t>
      </w:r>
      <w:r>
        <w:t>»? ¿Se refiere esto al registro de los gastos en los sistemas contables? ¿Significa esto que todavía puede calcularse un porcentaje de cofinanciación para la ayuda del FEDER para todo el proyecto, a saber, el porcentaje de cofinanciación del FEDER aplicable a la categoría de región del programa que solicitó la ayuda para todo el proyecto? O, alternativamente, ¿debe diferenciarse el porcentaje de cofinanciación del FEDER en función de la asignación de los gastos a las diferentes categorías de regiones?</w:t>
      </w:r>
    </w:p>
    <w:p w:rsidR="00786B3E" w:rsidRDefault="00786B3E" w:rsidP="00786B3E">
      <w:pPr>
        <w:numPr>
          <w:ilvl w:val="0"/>
          <w:numId w:val="343"/>
        </w:numPr>
      </w:pPr>
      <w:r>
        <w:t>¿Qué ocurre si los gastos no solo se asignan a las diferentes categorías de regiones, sino también a diferentes programas, que están fuera de la jurisdicción de la autoridad de gestión del socio principal?</w:t>
      </w:r>
    </w:p>
    <w:p w:rsidR="00786B3E" w:rsidRDefault="00786B3E" w:rsidP="00786B3E"/>
    <w:p w:rsidR="00786B3E" w:rsidRDefault="00786B3E" w:rsidP="00786B3E">
      <w:pPr>
        <w:pStyle w:val="P68B1DB1-Normal1"/>
      </w:pPr>
      <w:r>
        <w:t>Respuesta a la pregunta 1:</w:t>
      </w:r>
    </w:p>
    <w:p w:rsidR="00786B3E" w:rsidRDefault="00786B3E" w:rsidP="00786B3E">
      <w:r>
        <w:t xml:space="preserve">Cabe señalar que los conceptos de «asociación» o de «socio principal» no se definen en el RDC. Esto último se reconoce en el artículo 33, apartado 2, del RDC en lo que respecta a los grupos de acción local. La organización de la operación, que incluye a varios socios, puede diferir en los distintos Estados miembros en función de las normas nacionales. Por lo tanto, corresponde a la autoridad de gestión del programa o programas </w:t>
      </w:r>
      <w:r>
        <w:lastRenderedPageBreak/>
        <w:t>pertinentes identificar al beneficiario o beneficiarios de la operación de conformidad con la definición establecida en el artículo 2, apartado 9, del RDC y garantizar las disposiciones adecuadas.</w:t>
      </w:r>
    </w:p>
    <w:p w:rsidR="00786B3E" w:rsidRDefault="00786B3E" w:rsidP="00786B3E"/>
    <w:p w:rsidR="00786B3E" w:rsidRDefault="00786B3E" w:rsidP="00786B3E">
      <w:pPr>
        <w:pStyle w:val="P68B1DB1-Normal1"/>
      </w:pPr>
      <w:r>
        <w:t>Respuesta a las preguntas 2 y 3:</w:t>
      </w:r>
    </w:p>
    <w:p w:rsidR="00786B3E" w:rsidRDefault="00786B3E" w:rsidP="00786B3E">
      <w:r>
        <w:t xml:space="preserve">De conformidad con el artículo 63, apartado 3, del RDC, los gastos en el marco del FEDER relacionados con operaciones que abarquen más de una categoría de región — por ejemplo, las regiones en transición y las regiones más desarrolladas- dentro del mismo Estado miembro se asignarán a las categorías de regiones afectadas por </w:t>
      </w:r>
      <w:r>
        <w:rPr>
          <w:i/>
        </w:rPr>
        <w:t>un programa</w:t>
      </w:r>
      <w:r>
        <w:t xml:space="preserve"> a prorrata.</w:t>
      </w:r>
    </w:p>
    <w:p w:rsidR="00786B3E" w:rsidRDefault="00786B3E" w:rsidP="00786B3E">
      <w:r>
        <w:t xml:space="preserve">El método de </w:t>
      </w:r>
      <w:r>
        <w:rPr>
          <w:i/>
        </w:rPr>
        <w:t>prorrateo</w:t>
      </w:r>
      <w:r>
        <w:t>, basado en criterios objetivos, acordado para un tipo determinado de operaciones o acciones debe aplicarse de manera coherente a todas las operaciones incluidas en este tipo de operaciones/acciones y utilizadas para la gestión financiera, incluida la declaración de gastos por categoría de región en las solicitudes de pago a la Comisión. Para poder conciliar los datos, el método también debe utilizarse para la notificación, el seguimiento y la recogida de datos en formato electrónico, siempre que el RDC requiera una división por categorías. La asignación de gastos entre categorías de regiones debe registrarse y rastrearse claramente en el sistema electrónico de la AG, según sea necesario para el seguimiento, la evaluación, la gestión financiera, las verificaciones y las auditorías [artículo 72 (1) (e) del RDC].</w:t>
      </w:r>
    </w:p>
    <w:p w:rsidR="00786B3E" w:rsidRDefault="00786B3E" w:rsidP="00786B3E">
      <w:r>
        <w:t>El método prorrateado acordado sobre la base del artículo 63, apartado 3, del RDC no afecta al porcentaje de cofinanciación de la operación. A nivel de una operación, el porcentaje de cofinanciación podrá diferir del porcentaje de cofinanciación correspondiente al programa a nivel de prioridad y categoría de región en la que se haya seleccionado la operación. Por lo tanto, la autoridad de gestión puede decidir aplicar el porcentaje de cofinanciación del FEDER aplicable a una de las categorías de regiones del programa a la ayuda para toda la operación</w:t>
      </w:r>
      <w:r>
        <w:rPr>
          <w:u w:val="single"/>
        </w:rPr>
        <w:t>.</w:t>
      </w:r>
      <w:r>
        <w:t xml:space="preserve"> El porcentaje de cofinanciación se establecerá en el documento en el que se establezcan las condiciones de la ayuda.</w:t>
      </w:r>
    </w:p>
    <w:p w:rsidR="00786B3E" w:rsidRDefault="00786B3E" w:rsidP="00786B3E">
      <w:r>
        <w:t>De conformidad con el artículo 63, apartado 9, del RDC, las autoridades de gestión podrían apoyar la misma operación con cargo a varios programas. En tal caso, el importe del gasto que debe consignarse en una solicitud de pago de un programa puede calcularse para cada programa en cuestión a prorrata (de conformidad con el artículo 63, apartado 3, del RDC) de conformidad con el documento en el que se establecen las condiciones de la ayuda. En este caso, debe prestarse atención a los mecanismos de coordinación adecuados que eviten la doble declaración de un gasto, en particular con arreglo a lo dispuesto en el artículo 63, apartado 9, del RDC.</w:t>
      </w:r>
    </w:p>
    <w:p w:rsidR="00786B3E" w:rsidRDefault="00786B3E" w:rsidP="00786B3E">
      <w:r>
        <w:t>Cabe señalar que el artículo 63, apartado 3, párrafo segundo, del RDC establece normas diferentes para el FSE +. Permite a las autoridades de gestión asignar los gastos de una operación a cualquiera de las categorías de regiones del programa, a condición de que la operación contribuya a la consecución de los objetivos específicos del programa. Por lo tanto, las respuestas anteriores se limitan al FEDER.</w:t>
      </w:r>
    </w:p>
    <w:p w:rsidR="00786B3E" w:rsidRDefault="00786B3E" w:rsidP="00786B3E"/>
    <w:p w:rsidR="00786B3E" w:rsidRDefault="00786B3E" w:rsidP="00786B3E"/>
    <w:p w:rsidR="00786B3E" w:rsidRDefault="00786B3E" w:rsidP="00786B3E">
      <w:pPr>
        <w:pStyle w:val="Ttulo1"/>
      </w:pPr>
      <w:bookmarkStart w:id="799" w:name="scroll-bookmark-917"/>
      <w:bookmarkStart w:id="800" w:name="scroll-bookmark-918"/>
      <w:bookmarkEnd w:id="799"/>
      <w:r>
        <w:lastRenderedPageBreak/>
        <w:t>QA00332 — Infraestructura de la red RTE-T recientemente clasificada</w:t>
      </w:r>
      <w:bookmarkEnd w:id="800"/>
    </w:p>
    <w:p w:rsidR="00786B3E" w:rsidRDefault="00786B3E" w:rsidP="00786B3E">
      <w:r>
        <w:rPr>
          <w:noProof/>
          <w:lang w:val="es-ES"/>
        </w:rPr>
        <w:drawing>
          <wp:inline distT="0" distB="0" distL="0" distR="0" wp14:anchorId="100F7263" wp14:editId="3BA3FE88">
            <wp:extent cx="152435" cy="152435"/>
            <wp:effectExtent l="0" t="0" r="0" b="0"/>
            <wp:docPr id="101603" name="Imagen 10160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3"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Artículo pertinente</w:t>
      </w:r>
      <w:r>
        <w:t>: Artículo 63, apartado 7, del Reglamento sobre disposiciones comunes.</w:t>
      </w:r>
    </w:p>
    <w:p w:rsidR="00786B3E" w:rsidRDefault="00786B3E" w:rsidP="00786B3E">
      <w:r>
        <w:rPr>
          <w:noProof/>
          <w:lang w:val="es-ES"/>
        </w:rPr>
        <w:drawing>
          <wp:inline distT="0" distB="0" distL="0" distR="0" wp14:anchorId="1D687496" wp14:editId="4B4D556A">
            <wp:extent cx="152435" cy="152435"/>
            <wp:effectExtent l="0" t="0" r="0" b="0"/>
            <wp:docPr id="101605" name="Imagen 10160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5" name=""/>
                    <pic:cNvPicPr>
                      <a:picLocks noChangeAspect="1"/>
                    </pic:cNvPicPr>
                  </pic:nvPicPr>
                  <pic:blipFill>
                    <a:blip r:embed="rId4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504"/>
                        </a:ext>
                      </a:extLst>
                    </a:blip>
                    <a:stretch>
                      <a:fillRect/>
                    </a:stretch>
                  </pic:blipFill>
                  <pic:spPr>
                    <a:xfrm>
                      <a:off x="0" y="0"/>
                      <a:ext cx="152435" cy="152435"/>
                    </a:xfrm>
                    <a:prstGeom prst="rect">
                      <a:avLst/>
                    </a:prstGeom>
                  </pic:spPr>
                </pic:pic>
              </a:graphicData>
            </a:graphic>
          </wp:inline>
        </w:drawing>
      </w:r>
      <w:r>
        <w:t> </w:t>
      </w:r>
      <w:r>
        <w:rPr>
          <w:i/>
        </w:rPr>
        <w:t>Estado miembro</w:t>
      </w:r>
      <w:r>
        <w:t>: PT</w:t>
      </w:r>
    </w:p>
    <w:p w:rsidR="00786B3E" w:rsidRDefault="00786B3E" w:rsidP="00786B3E"/>
    <w:p w:rsidR="00786B3E" w:rsidRDefault="00786B3E" w:rsidP="00786B3E">
      <w:pPr>
        <w:pStyle w:val="P68B1DB1-Normal1"/>
      </w:pPr>
      <w:r>
        <w:br/>
        <w:t>Pregunta 1 (incluidos los hechos e información pertinentes):</w:t>
      </w:r>
    </w:p>
    <w:p w:rsidR="00786B3E" w:rsidRDefault="00786B3E" w:rsidP="00786B3E">
      <w:r>
        <w:t xml:space="preserve">En los programas regionales 2021-2027 aprobados inicialmente, un Estado miembro incluyó algunas inversiones en transporte en el marco del SO 3.2, siempre que estas inversiones se referían a infraestructuras que no formaban parte de la Red Transeuropea de Transporte (RTE-T). Sin embargo, en junio de 2024, dicha infraestructura se clasificó como parte de la RTE-T, como consecuencia de la publicación del nuevo </w:t>
      </w:r>
      <w:hyperlink r:id="rId551" w:history="1">
        <w:r>
          <w:rPr>
            <w:rStyle w:val="Hipervnculo"/>
          </w:rPr>
          <w:t>Reglamento (UE) 2024/1679, que</w:t>
        </w:r>
      </w:hyperlink>
      <w:r>
        <w:t xml:space="preserve"> define la red. Tenemos las siguientes preguntas:</w:t>
      </w:r>
    </w:p>
    <w:p w:rsidR="00786B3E" w:rsidRDefault="00786B3E" w:rsidP="00786B3E">
      <w:r>
        <w:t>1 — ¿debería haber una modificación del programa para trasladar estas inversiones del OE3.2 al OE3.1?</w:t>
      </w:r>
    </w:p>
    <w:p w:rsidR="00786B3E" w:rsidRDefault="00786B3E" w:rsidP="00786B3E">
      <w:r>
        <w:t>2 — ¿deberían introducirse nuevos ámbitos de intervención dirigidos a la RTE-T?</w:t>
      </w:r>
    </w:p>
    <w:p w:rsidR="00786B3E" w:rsidRDefault="00786B3E" w:rsidP="00786B3E">
      <w:r>
        <w:t xml:space="preserve">Por ejemplo, en el caso de las inversiones en ferrocarriles, esto significaría trasladar la inversión del ámbito de intervención existente </w:t>
      </w:r>
      <w:r>
        <w:rPr>
          <w:i/>
        </w:rPr>
        <w:t>099</w:t>
      </w:r>
      <w:r>
        <w:t xml:space="preserve"> </w:t>
      </w:r>
      <w:r>
        <w:rPr>
          <w:i/>
        </w:rPr>
        <w:t>«Otros ferrocarriles de nueva construcción o mejorados eléctricos/cero emisiones</w:t>
      </w:r>
      <w:r>
        <w:t xml:space="preserve"> al ámbito de intervención que se introducirá en </w:t>
      </w:r>
      <w:r>
        <w:rPr>
          <w:i/>
        </w:rPr>
        <w:t>097 «Ferrocarriles de nueva construcción o mejorados — Red global de la RTE-T»</w:t>
      </w:r>
      <w:r>
        <w:t>.</w:t>
      </w:r>
    </w:p>
    <w:p w:rsidR="00786B3E" w:rsidRDefault="00786B3E" w:rsidP="00786B3E">
      <w:r>
        <w:t>3 — dado que ¿cuándo serían subvencionables los gastos relacionados con los campos de intervención recientemente introducidos (relacionados con las RTE)? ¿La fecha de introducción de la solicitud oficial de modificación definiría la fecha de subvencionabilidad de dichas inversiones, sobre la base de las normas de subvencionabilidad del RDC (artículo 63.7)?</w:t>
      </w:r>
    </w:p>
    <w:p w:rsidR="00786B3E" w:rsidRDefault="00786B3E" w:rsidP="00786B3E"/>
    <w:p w:rsidR="00786B3E" w:rsidRDefault="00786B3E" w:rsidP="00786B3E">
      <w:pPr>
        <w:pStyle w:val="P68B1DB1-Normal1"/>
      </w:pPr>
      <w:r>
        <w:t>Respuesta.</w:t>
      </w:r>
    </w:p>
    <w:p w:rsidR="00786B3E" w:rsidRDefault="00786B3E" w:rsidP="00786B3E">
      <w:r>
        <w:t>De conformidad con el artículo 63, apartado 7, párrafo segundo, del RDC, como norma general, en el caso del FEDER, el Fondo de Cohesión y el FTJ, cuando se añada al programa un nuevo tipo de intervención a que se refiere el cuadro 1 del anexo I del RDC, el gasto que pase a ser subvencionable como consecuencia de una modificación del programa lo será a partir de la fecha de presentación de la correspondiente solicitud de modificación del programa.</w:t>
      </w:r>
    </w:p>
    <w:p w:rsidR="00786B3E" w:rsidRDefault="00786B3E" w:rsidP="00786B3E">
      <w:r>
        <w:t xml:space="preserve">Sin embargo, entendemos que, en el caso que nos ocupa, las inversiones cubiertas por la descripción de las acciones del programa inicial que estaban dirigidas a infraestructuras fuera de la red RTE-T de conformidad con el Reglamento (UE) n.º 1315/2013 se identifican ahora como infraestructuras de la red RTE-T debido al cambio </w:t>
      </w:r>
      <w:r>
        <w:lastRenderedPageBreak/>
        <w:t>del Reglamento (UE) 2024/1679, lo que da lugar a la aplicación de un tipo de intervención diferente para estas acciones.</w:t>
      </w:r>
    </w:p>
    <w:p w:rsidR="00786B3E" w:rsidRDefault="00786B3E" w:rsidP="00786B3E">
      <w:r>
        <w:t xml:space="preserve">Por lo tanto, de hecho, es necesario modificar el programa. Mediante la modificación, el programa trasladaría estas inversiones del objetivo específico 3.2 al objetivo específico 3.1 e introduciría los nuevos tipos de intervención correspondientes, dirigidos específicamente a la infraestructura de la red RTE-T. Sin embargo, no debe afectar en sí misma a la fecha de inicio de la subvencionabilidad de estas inversiones, </w:t>
      </w:r>
      <w:r w:rsidR="002F3719">
        <w:t xml:space="preserve">ya que, </w:t>
      </w:r>
      <w:r>
        <w:t>estaban cubiertas por la descripción de las acciones ya incluidas en el programa inicial y, por lo tanto, la modificación del programa podría presentarse a la Comisión en una fase posterior.</w:t>
      </w:r>
    </w:p>
    <w:p w:rsidR="00786B3E" w:rsidRDefault="00786B3E" w:rsidP="00786B3E">
      <w:r>
        <w:t>Como consecuencia de ello, las respuestas a las tres cuestiones anteriores son las siguientes:</w:t>
      </w:r>
    </w:p>
    <w:p w:rsidR="00786B3E" w:rsidRDefault="00786B3E" w:rsidP="00786B3E">
      <w:r>
        <w:t>Respuesta 1: Sí.</w:t>
      </w:r>
    </w:p>
    <w:p w:rsidR="00786B3E" w:rsidRDefault="00786B3E" w:rsidP="00786B3E">
      <w:r>
        <w:t>Respuesta 2: Sí.</w:t>
      </w:r>
    </w:p>
    <w:p w:rsidR="00786B3E" w:rsidRDefault="00786B3E" w:rsidP="00786B3E">
      <w:r>
        <w:t>Respuesta 3: Los gastos relacionados con las inversiones en la infraestructura de la red RTE-T recientemente identificada, realizadas en el marco del objetivo específico y los tipos de intervención recientemente introducidos, siguen siendo subvencionables, como en los programas aprobados inicialmente.</w:t>
      </w:r>
    </w:p>
    <w:p w:rsidR="00786B3E" w:rsidRDefault="00786B3E" w:rsidP="00786B3E"/>
    <w:p w:rsidR="00F83F12" w:rsidRDefault="00F83F12"/>
    <w:sectPr w:rsidR="00F83F1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6818A1"/>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DF627B3"/>
    <w:multiLevelType w:val="multilevel"/>
    <w:tmpl w:val="7DF627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7DF627B4"/>
    <w:multiLevelType w:val="hybridMultilevel"/>
    <w:tmpl w:val="7DF627B4"/>
    <w:lvl w:ilvl="0" w:tplc="8E386F68">
      <w:start w:val="1"/>
      <w:numFmt w:val="bullet"/>
      <w:lvlText w:val=""/>
      <w:lvlJc w:val="left"/>
      <w:pPr>
        <w:tabs>
          <w:tab w:val="num" w:pos="720"/>
        </w:tabs>
        <w:ind w:left="720" w:hanging="360"/>
      </w:pPr>
      <w:rPr>
        <w:rFonts w:ascii="Symbol" w:hAnsi="Symbol"/>
      </w:rPr>
    </w:lvl>
    <w:lvl w:ilvl="1" w:tplc="48DC8F58">
      <w:start w:val="1"/>
      <w:numFmt w:val="bullet"/>
      <w:lvlText w:val="o"/>
      <w:lvlJc w:val="left"/>
      <w:pPr>
        <w:tabs>
          <w:tab w:val="num" w:pos="1440"/>
        </w:tabs>
        <w:ind w:left="1440" w:hanging="360"/>
      </w:pPr>
      <w:rPr>
        <w:rFonts w:ascii="Courier New" w:hAnsi="Courier New"/>
      </w:rPr>
    </w:lvl>
    <w:lvl w:ilvl="2" w:tplc="D004A73C">
      <w:start w:val="1"/>
      <w:numFmt w:val="bullet"/>
      <w:lvlText w:val=""/>
      <w:lvlJc w:val="left"/>
      <w:pPr>
        <w:tabs>
          <w:tab w:val="num" w:pos="2160"/>
        </w:tabs>
        <w:ind w:left="2160" w:hanging="360"/>
      </w:pPr>
      <w:rPr>
        <w:rFonts w:ascii="Wingdings" w:hAnsi="Wingdings"/>
      </w:rPr>
    </w:lvl>
    <w:lvl w:ilvl="3" w:tplc="4FCC9D0C">
      <w:start w:val="1"/>
      <w:numFmt w:val="bullet"/>
      <w:lvlText w:val=""/>
      <w:lvlJc w:val="left"/>
      <w:pPr>
        <w:tabs>
          <w:tab w:val="num" w:pos="2880"/>
        </w:tabs>
        <w:ind w:left="2880" w:hanging="360"/>
      </w:pPr>
      <w:rPr>
        <w:rFonts w:ascii="Symbol" w:hAnsi="Symbol"/>
      </w:rPr>
    </w:lvl>
    <w:lvl w:ilvl="4" w:tplc="57AA8376">
      <w:start w:val="1"/>
      <w:numFmt w:val="bullet"/>
      <w:lvlText w:val="o"/>
      <w:lvlJc w:val="left"/>
      <w:pPr>
        <w:tabs>
          <w:tab w:val="num" w:pos="3600"/>
        </w:tabs>
        <w:ind w:left="3600" w:hanging="360"/>
      </w:pPr>
      <w:rPr>
        <w:rFonts w:ascii="Courier New" w:hAnsi="Courier New"/>
      </w:rPr>
    </w:lvl>
    <w:lvl w:ilvl="5" w:tplc="DA6ABFC2">
      <w:start w:val="1"/>
      <w:numFmt w:val="bullet"/>
      <w:lvlText w:val=""/>
      <w:lvlJc w:val="left"/>
      <w:pPr>
        <w:tabs>
          <w:tab w:val="num" w:pos="4320"/>
        </w:tabs>
        <w:ind w:left="4320" w:hanging="360"/>
      </w:pPr>
      <w:rPr>
        <w:rFonts w:ascii="Wingdings" w:hAnsi="Wingdings"/>
      </w:rPr>
    </w:lvl>
    <w:lvl w:ilvl="6" w:tplc="18862836">
      <w:start w:val="1"/>
      <w:numFmt w:val="bullet"/>
      <w:lvlText w:val=""/>
      <w:lvlJc w:val="left"/>
      <w:pPr>
        <w:tabs>
          <w:tab w:val="num" w:pos="5040"/>
        </w:tabs>
        <w:ind w:left="5040" w:hanging="360"/>
      </w:pPr>
      <w:rPr>
        <w:rFonts w:ascii="Symbol" w:hAnsi="Symbol"/>
      </w:rPr>
    </w:lvl>
    <w:lvl w:ilvl="7" w:tplc="EA229FDA">
      <w:start w:val="1"/>
      <w:numFmt w:val="bullet"/>
      <w:lvlText w:val="o"/>
      <w:lvlJc w:val="left"/>
      <w:pPr>
        <w:tabs>
          <w:tab w:val="num" w:pos="5760"/>
        </w:tabs>
        <w:ind w:left="5760" w:hanging="360"/>
      </w:pPr>
      <w:rPr>
        <w:rFonts w:ascii="Courier New" w:hAnsi="Courier New"/>
      </w:rPr>
    </w:lvl>
    <w:lvl w:ilvl="8" w:tplc="F4EA5546">
      <w:start w:val="1"/>
      <w:numFmt w:val="bullet"/>
      <w:lvlText w:val=""/>
      <w:lvlJc w:val="left"/>
      <w:pPr>
        <w:tabs>
          <w:tab w:val="num" w:pos="6480"/>
        </w:tabs>
        <w:ind w:left="6480" w:hanging="360"/>
      </w:pPr>
      <w:rPr>
        <w:rFonts w:ascii="Wingdings" w:hAnsi="Wingdings"/>
      </w:rPr>
    </w:lvl>
  </w:abstractNum>
  <w:abstractNum w:abstractNumId="3" w15:restartNumberingAfterBreak="0">
    <w:nsid w:val="7DF627B5"/>
    <w:multiLevelType w:val="hybridMultilevel"/>
    <w:tmpl w:val="7DF627B5"/>
    <w:lvl w:ilvl="0" w:tplc="BCD4A2F0">
      <w:start w:val="1"/>
      <w:numFmt w:val="bullet"/>
      <w:lvlText w:val=""/>
      <w:lvlJc w:val="left"/>
      <w:pPr>
        <w:tabs>
          <w:tab w:val="num" w:pos="720"/>
        </w:tabs>
        <w:ind w:left="720" w:hanging="360"/>
      </w:pPr>
      <w:rPr>
        <w:rFonts w:ascii="Symbol" w:hAnsi="Symbol"/>
      </w:rPr>
    </w:lvl>
    <w:lvl w:ilvl="1" w:tplc="47DE655E">
      <w:start w:val="1"/>
      <w:numFmt w:val="bullet"/>
      <w:lvlText w:val="o"/>
      <w:lvlJc w:val="left"/>
      <w:pPr>
        <w:tabs>
          <w:tab w:val="num" w:pos="1440"/>
        </w:tabs>
        <w:ind w:left="1440" w:hanging="360"/>
      </w:pPr>
      <w:rPr>
        <w:rFonts w:ascii="Courier New" w:hAnsi="Courier New"/>
      </w:rPr>
    </w:lvl>
    <w:lvl w:ilvl="2" w:tplc="3C7CCDCA">
      <w:start w:val="1"/>
      <w:numFmt w:val="bullet"/>
      <w:lvlText w:val=""/>
      <w:lvlJc w:val="left"/>
      <w:pPr>
        <w:tabs>
          <w:tab w:val="num" w:pos="2160"/>
        </w:tabs>
        <w:ind w:left="2160" w:hanging="360"/>
      </w:pPr>
      <w:rPr>
        <w:rFonts w:ascii="Wingdings" w:hAnsi="Wingdings"/>
      </w:rPr>
    </w:lvl>
    <w:lvl w:ilvl="3" w:tplc="3BA47432">
      <w:start w:val="1"/>
      <w:numFmt w:val="bullet"/>
      <w:lvlText w:val=""/>
      <w:lvlJc w:val="left"/>
      <w:pPr>
        <w:tabs>
          <w:tab w:val="num" w:pos="2880"/>
        </w:tabs>
        <w:ind w:left="2880" w:hanging="360"/>
      </w:pPr>
      <w:rPr>
        <w:rFonts w:ascii="Symbol" w:hAnsi="Symbol"/>
      </w:rPr>
    </w:lvl>
    <w:lvl w:ilvl="4" w:tplc="4454B45E">
      <w:start w:val="1"/>
      <w:numFmt w:val="bullet"/>
      <w:lvlText w:val="o"/>
      <w:lvlJc w:val="left"/>
      <w:pPr>
        <w:tabs>
          <w:tab w:val="num" w:pos="3600"/>
        </w:tabs>
        <w:ind w:left="3600" w:hanging="360"/>
      </w:pPr>
      <w:rPr>
        <w:rFonts w:ascii="Courier New" w:hAnsi="Courier New"/>
      </w:rPr>
    </w:lvl>
    <w:lvl w:ilvl="5" w:tplc="E85CA614">
      <w:start w:val="1"/>
      <w:numFmt w:val="bullet"/>
      <w:lvlText w:val=""/>
      <w:lvlJc w:val="left"/>
      <w:pPr>
        <w:tabs>
          <w:tab w:val="num" w:pos="4320"/>
        </w:tabs>
        <w:ind w:left="4320" w:hanging="360"/>
      </w:pPr>
      <w:rPr>
        <w:rFonts w:ascii="Wingdings" w:hAnsi="Wingdings"/>
      </w:rPr>
    </w:lvl>
    <w:lvl w:ilvl="6" w:tplc="EDCC375A">
      <w:start w:val="1"/>
      <w:numFmt w:val="bullet"/>
      <w:lvlText w:val=""/>
      <w:lvlJc w:val="left"/>
      <w:pPr>
        <w:tabs>
          <w:tab w:val="num" w:pos="5040"/>
        </w:tabs>
        <w:ind w:left="5040" w:hanging="360"/>
      </w:pPr>
      <w:rPr>
        <w:rFonts w:ascii="Symbol" w:hAnsi="Symbol"/>
      </w:rPr>
    </w:lvl>
    <w:lvl w:ilvl="7" w:tplc="F5F8C430">
      <w:start w:val="1"/>
      <w:numFmt w:val="bullet"/>
      <w:lvlText w:val="o"/>
      <w:lvlJc w:val="left"/>
      <w:pPr>
        <w:tabs>
          <w:tab w:val="num" w:pos="5760"/>
        </w:tabs>
        <w:ind w:left="5760" w:hanging="360"/>
      </w:pPr>
      <w:rPr>
        <w:rFonts w:ascii="Courier New" w:hAnsi="Courier New"/>
      </w:rPr>
    </w:lvl>
    <w:lvl w:ilvl="8" w:tplc="19727904">
      <w:start w:val="1"/>
      <w:numFmt w:val="bullet"/>
      <w:lvlText w:val=""/>
      <w:lvlJc w:val="left"/>
      <w:pPr>
        <w:tabs>
          <w:tab w:val="num" w:pos="6480"/>
        </w:tabs>
        <w:ind w:left="6480" w:hanging="360"/>
      </w:pPr>
      <w:rPr>
        <w:rFonts w:ascii="Wingdings" w:hAnsi="Wingdings"/>
      </w:rPr>
    </w:lvl>
  </w:abstractNum>
  <w:abstractNum w:abstractNumId="4" w15:restartNumberingAfterBreak="0">
    <w:nsid w:val="7DF627B6"/>
    <w:multiLevelType w:val="multilevel"/>
    <w:tmpl w:val="7DF627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DF627B7"/>
    <w:multiLevelType w:val="multilevel"/>
    <w:tmpl w:val="7DF627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DF627B8"/>
    <w:multiLevelType w:val="hybridMultilevel"/>
    <w:tmpl w:val="7DF627B8"/>
    <w:lvl w:ilvl="0" w:tplc="1B12E6BC">
      <w:start w:val="1"/>
      <w:numFmt w:val="bullet"/>
      <w:lvlText w:val=""/>
      <w:lvlJc w:val="left"/>
      <w:pPr>
        <w:tabs>
          <w:tab w:val="num" w:pos="720"/>
        </w:tabs>
        <w:ind w:left="720" w:hanging="360"/>
      </w:pPr>
      <w:rPr>
        <w:rFonts w:ascii="Symbol" w:hAnsi="Symbol"/>
      </w:rPr>
    </w:lvl>
    <w:lvl w:ilvl="1" w:tplc="3C96A0F8">
      <w:start w:val="1"/>
      <w:numFmt w:val="bullet"/>
      <w:lvlText w:val="o"/>
      <w:lvlJc w:val="left"/>
      <w:pPr>
        <w:tabs>
          <w:tab w:val="num" w:pos="1440"/>
        </w:tabs>
        <w:ind w:left="1440" w:hanging="360"/>
      </w:pPr>
      <w:rPr>
        <w:rFonts w:ascii="Courier New" w:hAnsi="Courier New"/>
      </w:rPr>
    </w:lvl>
    <w:lvl w:ilvl="2" w:tplc="C45A4E02">
      <w:start w:val="1"/>
      <w:numFmt w:val="bullet"/>
      <w:lvlText w:val=""/>
      <w:lvlJc w:val="left"/>
      <w:pPr>
        <w:tabs>
          <w:tab w:val="num" w:pos="2160"/>
        </w:tabs>
        <w:ind w:left="2160" w:hanging="360"/>
      </w:pPr>
      <w:rPr>
        <w:rFonts w:ascii="Wingdings" w:hAnsi="Wingdings"/>
      </w:rPr>
    </w:lvl>
    <w:lvl w:ilvl="3" w:tplc="18BAE4C8">
      <w:start w:val="1"/>
      <w:numFmt w:val="bullet"/>
      <w:lvlText w:val=""/>
      <w:lvlJc w:val="left"/>
      <w:pPr>
        <w:tabs>
          <w:tab w:val="num" w:pos="2880"/>
        </w:tabs>
        <w:ind w:left="2880" w:hanging="360"/>
      </w:pPr>
      <w:rPr>
        <w:rFonts w:ascii="Symbol" w:hAnsi="Symbol"/>
      </w:rPr>
    </w:lvl>
    <w:lvl w:ilvl="4" w:tplc="537A095E">
      <w:start w:val="1"/>
      <w:numFmt w:val="bullet"/>
      <w:lvlText w:val="o"/>
      <w:lvlJc w:val="left"/>
      <w:pPr>
        <w:tabs>
          <w:tab w:val="num" w:pos="3600"/>
        </w:tabs>
        <w:ind w:left="3600" w:hanging="360"/>
      </w:pPr>
      <w:rPr>
        <w:rFonts w:ascii="Courier New" w:hAnsi="Courier New"/>
      </w:rPr>
    </w:lvl>
    <w:lvl w:ilvl="5" w:tplc="DE74C208">
      <w:start w:val="1"/>
      <w:numFmt w:val="bullet"/>
      <w:lvlText w:val=""/>
      <w:lvlJc w:val="left"/>
      <w:pPr>
        <w:tabs>
          <w:tab w:val="num" w:pos="4320"/>
        </w:tabs>
        <w:ind w:left="4320" w:hanging="360"/>
      </w:pPr>
      <w:rPr>
        <w:rFonts w:ascii="Wingdings" w:hAnsi="Wingdings"/>
      </w:rPr>
    </w:lvl>
    <w:lvl w:ilvl="6" w:tplc="551EBAE8">
      <w:start w:val="1"/>
      <w:numFmt w:val="bullet"/>
      <w:lvlText w:val=""/>
      <w:lvlJc w:val="left"/>
      <w:pPr>
        <w:tabs>
          <w:tab w:val="num" w:pos="5040"/>
        </w:tabs>
        <w:ind w:left="5040" w:hanging="360"/>
      </w:pPr>
      <w:rPr>
        <w:rFonts w:ascii="Symbol" w:hAnsi="Symbol"/>
      </w:rPr>
    </w:lvl>
    <w:lvl w:ilvl="7" w:tplc="0A942FD6">
      <w:start w:val="1"/>
      <w:numFmt w:val="bullet"/>
      <w:lvlText w:val="o"/>
      <w:lvlJc w:val="left"/>
      <w:pPr>
        <w:tabs>
          <w:tab w:val="num" w:pos="5760"/>
        </w:tabs>
        <w:ind w:left="5760" w:hanging="360"/>
      </w:pPr>
      <w:rPr>
        <w:rFonts w:ascii="Courier New" w:hAnsi="Courier New"/>
      </w:rPr>
    </w:lvl>
    <w:lvl w:ilvl="8" w:tplc="B45017EA">
      <w:start w:val="1"/>
      <w:numFmt w:val="bullet"/>
      <w:lvlText w:val=""/>
      <w:lvlJc w:val="left"/>
      <w:pPr>
        <w:tabs>
          <w:tab w:val="num" w:pos="6480"/>
        </w:tabs>
        <w:ind w:left="6480" w:hanging="360"/>
      </w:pPr>
      <w:rPr>
        <w:rFonts w:ascii="Wingdings" w:hAnsi="Wingdings"/>
      </w:rPr>
    </w:lvl>
  </w:abstractNum>
  <w:abstractNum w:abstractNumId="7" w15:restartNumberingAfterBreak="0">
    <w:nsid w:val="7DF627B9"/>
    <w:multiLevelType w:val="hybridMultilevel"/>
    <w:tmpl w:val="7DF627B9"/>
    <w:lvl w:ilvl="0" w:tplc="C27EEE84">
      <w:start w:val="1"/>
      <w:numFmt w:val="bullet"/>
      <w:lvlText w:val=""/>
      <w:lvlJc w:val="left"/>
      <w:pPr>
        <w:tabs>
          <w:tab w:val="num" w:pos="720"/>
        </w:tabs>
        <w:ind w:left="720" w:hanging="360"/>
      </w:pPr>
      <w:rPr>
        <w:rFonts w:ascii="Symbol" w:hAnsi="Symbol"/>
      </w:rPr>
    </w:lvl>
    <w:lvl w:ilvl="1" w:tplc="EA24FB74">
      <w:start w:val="1"/>
      <w:numFmt w:val="bullet"/>
      <w:lvlText w:val="o"/>
      <w:lvlJc w:val="left"/>
      <w:pPr>
        <w:tabs>
          <w:tab w:val="num" w:pos="1440"/>
        </w:tabs>
        <w:ind w:left="1440" w:hanging="360"/>
      </w:pPr>
      <w:rPr>
        <w:rFonts w:ascii="Courier New" w:hAnsi="Courier New"/>
      </w:rPr>
    </w:lvl>
    <w:lvl w:ilvl="2" w:tplc="2CC01DC4">
      <w:start w:val="1"/>
      <w:numFmt w:val="bullet"/>
      <w:lvlText w:val=""/>
      <w:lvlJc w:val="left"/>
      <w:pPr>
        <w:tabs>
          <w:tab w:val="num" w:pos="2160"/>
        </w:tabs>
        <w:ind w:left="2160" w:hanging="360"/>
      </w:pPr>
      <w:rPr>
        <w:rFonts w:ascii="Wingdings" w:hAnsi="Wingdings"/>
      </w:rPr>
    </w:lvl>
    <w:lvl w:ilvl="3" w:tplc="2A0C8528">
      <w:start w:val="1"/>
      <w:numFmt w:val="bullet"/>
      <w:lvlText w:val=""/>
      <w:lvlJc w:val="left"/>
      <w:pPr>
        <w:tabs>
          <w:tab w:val="num" w:pos="2880"/>
        </w:tabs>
        <w:ind w:left="2880" w:hanging="360"/>
      </w:pPr>
      <w:rPr>
        <w:rFonts w:ascii="Symbol" w:hAnsi="Symbol"/>
      </w:rPr>
    </w:lvl>
    <w:lvl w:ilvl="4" w:tplc="EE12E86E">
      <w:start w:val="1"/>
      <w:numFmt w:val="bullet"/>
      <w:lvlText w:val="o"/>
      <w:lvlJc w:val="left"/>
      <w:pPr>
        <w:tabs>
          <w:tab w:val="num" w:pos="3600"/>
        </w:tabs>
        <w:ind w:left="3600" w:hanging="360"/>
      </w:pPr>
      <w:rPr>
        <w:rFonts w:ascii="Courier New" w:hAnsi="Courier New"/>
      </w:rPr>
    </w:lvl>
    <w:lvl w:ilvl="5" w:tplc="6FA6A9BC">
      <w:start w:val="1"/>
      <w:numFmt w:val="bullet"/>
      <w:lvlText w:val=""/>
      <w:lvlJc w:val="left"/>
      <w:pPr>
        <w:tabs>
          <w:tab w:val="num" w:pos="4320"/>
        </w:tabs>
        <w:ind w:left="4320" w:hanging="360"/>
      </w:pPr>
      <w:rPr>
        <w:rFonts w:ascii="Wingdings" w:hAnsi="Wingdings"/>
      </w:rPr>
    </w:lvl>
    <w:lvl w:ilvl="6" w:tplc="1116CAB0">
      <w:start w:val="1"/>
      <w:numFmt w:val="bullet"/>
      <w:lvlText w:val=""/>
      <w:lvlJc w:val="left"/>
      <w:pPr>
        <w:tabs>
          <w:tab w:val="num" w:pos="5040"/>
        </w:tabs>
        <w:ind w:left="5040" w:hanging="360"/>
      </w:pPr>
      <w:rPr>
        <w:rFonts w:ascii="Symbol" w:hAnsi="Symbol"/>
      </w:rPr>
    </w:lvl>
    <w:lvl w:ilvl="7" w:tplc="5A2CDB5C">
      <w:start w:val="1"/>
      <w:numFmt w:val="bullet"/>
      <w:lvlText w:val="o"/>
      <w:lvlJc w:val="left"/>
      <w:pPr>
        <w:tabs>
          <w:tab w:val="num" w:pos="5760"/>
        </w:tabs>
        <w:ind w:left="5760" w:hanging="360"/>
      </w:pPr>
      <w:rPr>
        <w:rFonts w:ascii="Courier New" w:hAnsi="Courier New"/>
      </w:rPr>
    </w:lvl>
    <w:lvl w:ilvl="8" w:tplc="D7F8C0CC">
      <w:start w:val="1"/>
      <w:numFmt w:val="bullet"/>
      <w:lvlText w:val=""/>
      <w:lvlJc w:val="left"/>
      <w:pPr>
        <w:tabs>
          <w:tab w:val="num" w:pos="6480"/>
        </w:tabs>
        <w:ind w:left="6480" w:hanging="360"/>
      </w:pPr>
      <w:rPr>
        <w:rFonts w:ascii="Wingdings" w:hAnsi="Wingdings"/>
      </w:rPr>
    </w:lvl>
  </w:abstractNum>
  <w:abstractNum w:abstractNumId="8" w15:restartNumberingAfterBreak="0">
    <w:nsid w:val="7DF627BA"/>
    <w:multiLevelType w:val="hybridMultilevel"/>
    <w:tmpl w:val="7DF627BA"/>
    <w:lvl w:ilvl="0" w:tplc="62D02D90">
      <w:start w:val="1"/>
      <w:numFmt w:val="bullet"/>
      <w:lvlText w:val=""/>
      <w:lvlJc w:val="left"/>
      <w:pPr>
        <w:tabs>
          <w:tab w:val="num" w:pos="720"/>
        </w:tabs>
        <w:ind w:left="720" w:hanging="360"/>
      </w:pPr>
      <w:rPr>
        <w:rFonts w:ascii="Symbol" w:hAnsi="Symbol"/>
      </w:rPr>
    </w:lvl>
    <w:lvl w:ilvl="1" w:tplc="7C868AA6">
      <w:start w:val="1"/>
      <w:numFmt w:val="bullet"/>
      <w:lvlText w:val="o"/>
      <w:lvlJc w:val="left"/>
      <w:pPr>
        <w:tabs>
          <w:tab w:val="num" w:pos="1440"/>
        </w:tabs>
        <w:ind w:left="1440" w:hanging="360"/>
      </w:pPr>
      <w:rPr>
        <w:rFonts w:ascii="Courier New" w:hAnsi="Courier New"/>
      </w:rPr>
    </w:lvl>
    <w:lvl w:ilvl="2" w:tplc="A162B880">
      <w:start w:val="1"/>
      <w:numFmt w:val="bullet"/>
      <w:lvlText w:val=""/>
      <w:lvlJc w:val="left"/>
      <w:pPr>
        <w:tabs>
          <w:tab w:val="num" w:pos="2160"/>
        </w:tabs>
        <w:ind w:left="2160" w:hanging="360"/>
      </w:pPr>
      <w:rPr>
        <w:rFonts w:ascii="Wingdings" w:hAnsi="Wingdings"/>
      </w:rPr>
    </w:lvl>
    <w:lvl w:ilvl="3" w:tplc="7E7A7DFC">
      <w:start w:val="1"/>
      <w:numFmt w:val="bullet"/>
      <w:lvlText w:val=""/>
      <w:lvlJc w:val="left"/>
      <w:pPr>
        <w:tabs>
          <w:tab w:val="num" w:pos="2880"/>
        </w:tabs>
        <w:ind w:left="2880" w:hanging="360"/>
      </w:pPr>
      <w:rPr>
        <w:rFonts w:ascii="Symbol" w:hAnsi="Symbol"/>
      </w:rPr>
    </w:lvl>
    <w:lvl w:ilvl="4" w:tplc="A3E2AC00">
      <w:start w:val="1"/>
      <w:numFmt w:val="bullet"/>
      <w:lvlText w:val="o"/>
      <w:lvlJc w:val="left"/>
      <w:pPr>
        <w:tabs>
          <w:tab w:val="num" w:pos="3600"/>
        </w:tabs>
        <w:ind w:left="3600" w:hanging="360"/>
      </w:pPr>
      <w:rPr>
        <w:rFonts w:ascii="Courier New" w:hAnsi="Courier New"/>
      </w:rPr>
    </w:lvl>
    <w:lvl w:ilvl="5" w:tplc="11F4107C">
      <w:start w:val="1"/>
      <w:numFmt w:val="bullet"/>
      <w:lvlText w:val=""/>
      <w:lvlJc w:val="left"/>
      <w:pPr>
        <w:tabs>
          <w:tab w:val="num" w:pos="4320"/>
        </w:tabs>
        <w:ind w:left="4320" w:hanging="360"/>
      </w:pPr>
      <w:rPr>
        <w:rFonts w:ascii="Wingdings" w:hAnsi="Wingdings"/>
      </w:rPr>
    </w:lvl>
    <w:lvl w:ilvl="6" w:tplc="B65C5BF6">
      <w:start w:val="1"/>
      <w:numFmt w:val="bullet"/>
      <w:lvlText w:val=""/>
      <w:lvlJc w:val="left"/>
      <w:pPr>
        <w:tabs>
          <w:tab w:val="num" w:pos="5040"/>
        </w:tabs>
        <w:ind w:left="5040" w:hanging="360"/>
      </w:pPr>
      <w:rPr>
        <w:rFonts w:ascii="Symbol" w:hAnsi="Symbol"/>
      </w:rPr>
    </w:lvl>
    <w:lvl w:ilvl="7" w:tplc="6AB2CB0E">
      <w:start w:val="1"/>
      <w:numFmt w:val="bullet"/>
      <w:lvlText w:val="o"/>
      <w:lvlJc w:val="left"/>
      <w:pPr>
        <w:tabs>
          <w:tab w:val="num" w:pos="5760"/>
        </w:tabs>
        <w:ind w:left="5760" w:hanging="360"/>
      </w:pPr>
      <w:rPr>
        <w:rFonts w:ascii="Courier New" w:hAnsi="Courier New"/>
      </w:rPr>
    </w:lvl>
    <w:lvl w:ilvl="8" w:tplc="89B424A4">
      <w:start w:val="1"/>
      <w:numFmt w:val="bullet"/>
      <w:lvlText w:val=""/>
      <w:lvlJc w:val="left"/>
      <w:pPr>
        <w:tabs>
          <w:tab w:val="num" w:pos="6480"/>
        </w:tabs>
        <w:ind w:left="6480" w:hanging="360"/>
      </w:pPr>
      <w:rPr>
        <w:rFonts w:ascii="Wingdings" w:hAnsi="Wingdings"/>
      </w:rPr>
    </w:lvl>
  </w:abstractNum>
  <w:abstractNum w:abstractNumId="9" w15:restartNumberingAfterBreak="0">
    <w:nsid w:val="7DF627BB"/>
    <w:multiLevelType w:val="multilevel"/>
    <w:tmpl w:val="7DF627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DF627BC"/>
    <w:multiLevelType w:val="multilevel"/>
    <w:tmpl w:val="7DF627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DF627BD"/>
    <w:multiLevelType w:val="multilevel"/>
    <w:tmpl w:val="7DF627B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DF627BE"/>
    <w:multiLevelType w:val="multilevel"/>
    <w:tmpl w:val="7DF62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DF627BF"/>
    <w:multiLevelType w:val="multilevel"/>
    <w:tmpl w:val="7DF627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7DF627C0"/>
    <w:multiLevelType w:val="multilevel"/>
    <w:tmpl w:val="7DF627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DF627C1"/>
    <w:multiLevelType w:val="multilevel"/>
    <w:tmpl w:val="7DF627C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DF627C2"/>
    <w:multiLevelType w:val="hybridMultilevel"/>
    <w:tmpl w:val="7DF627C2"/>
    <w:lvl w:ilvl="0" w:tplc="23525458">
      <w:start w:val="1"/>
      <w:numFmt w:val="bullet"/>
      <w:lvlText w:val=""/>
      <w:lvlJc w:val="left"/>
      <w:pPr>
        <w:tabs>
          <w:tab w:val="num" w:pos="720"/>
        </w:tabs>
        <w:ind w:left="720" w:hanging="360"/>
      </w:pPr>
      <w:rPr>
        <w:rFonts w:ascii="Symbol" w:hAnsi="Symbol"/>
      </w:rPr>
    </w:lvl>
    <w:lvl w:ilvl="1" w:tplc="144AE070">
      <w:start w:val="1"/>
      <w:numFmt w:val="bullet"/>
      <w:lvlText w:val="o"/>
      <w:lvlJc w:val="left"/>
      <w:pPr>
        <w:tabs>
          <w:tab w:val="num" w:pos="1440"/>
        </w:tabs>
        <w:ind w:left="1440" w:hanging="360"/>
      </w:pPr>
      <w:rPr>
        <w:rFonts w:ascii="Courier New" w:hAnsi="Courier New"/>
      </w:rPr>
    </w:lvl>
    <w:lvl w:ilvl="2" w:tplc="AF168CB2">
      <w:start w:val="1"/>
      <w:numFmt w:val="bullet"/>
      <w:lvlText w:val=""/>
      <w:lvlJc w:val="left"/>
      <w:pPr>
        <w:tabs>
          <w:tab w:val="num" w:pos="2160"/>
        </w:tabs>
        <w:ind w:left="2160" w:hanging="360"/>
      </w:pPr>
      <w:rPr>
        <w:rFonts w:ascii="Wingdings" w:hAnsi="Wingdings"/>
      </w:rPr>
    </w:lvl>
    <w:lvl w:ilvl="3" w:tplc="299CB13E">
      <w:start w:val="1"/>
      <w:numFmt w:val="bullet"/>
      <w:lvlText w:val=""/>
      <w:lvlJc w:val="left"/>
      <w:pPr>
        <w:tabs>
          <w:tab w:val="num" w:pos="2880"/>
        </w:tabs>
        <w:ind w:left="2880" w:hanging="360"/>
      </w:pPr>
      <w:rPr>
        <w:rFonts w:ascii="Symbol" w:hAnsi="Symbol"/>
      </w:rPr>
    </w:lvl>
    <w:lvl w:ilvl="4" w:tplc="1FF2E722">
      <w:start w:val="1"/>
      <w:numFmt w:val="bullet"/>
      <w:lvlText w:val="o"/>
      <w:lvlJc w:val="left"/>
      <w:pPr>
        <w:tabs>
          <w:tab w:val="num" w:pos="3600"/>
        </w:tabs>
        <w:ind w:left="3600" w:hanging="360"/>
      </w:pPr>
      <w:rPr>
        <w:rFonts w:ascii="Courier New" w:hAnsi="Courier New"/>
      </w:rPr>
    </w:lvl>
    <w:lvl w:ilvl="5" w:tplc="8474F2A4">
      <w:start w:val="1"/>
      <w:numFmt w:val="bullet"/>
      <w:lvlText w:val=""/>
      <w:lvlJc w:val="left"/>
      <w:pPr>
        <w:tabs>
          <w:tab w:val="num" w:pos="4320"/>
        </w:tabs>
        <w:ind w:left="4320" w:hanging="360"/>
      </w:pPr>
      <w:rPr>
        <w:rFonts w:ascii="Wingdings" w:hAnsi="Wingdings"/>
      </w:rPr>
    </w:lvl>
    <w:lvl w:ilvl="6" w:tplc="30AA7A6E">
      <w:start w:val="1"/>
      <w:numFmt w:val="bullet"/>
      <w:lvlText w:val=""/>
      <w:lvlJc w:val="left"/>
      <w:pPr>
        <w:tabs>
          <w:tab w:val="num" w:pos="5040"/>
        </w:tabs>
        <w:ind w:left="5040" w:hanging="360"/>
      </w:pPr>
      <w:rPr>
        <w:rFonts w:ascii="Symbol" w:hAnsi="Symbol"/>
      </w:rPr>
    </w:lvl>
    <w:lvl w:ilvl="7" w:tplc="3BE88786">
      <w:start w:val="1"/>
      <w:numFmt w:val="bullet"/>
      <w:lvlText w:val="o"/>
      <w:lvlJc w:val="left"/>
      <w:pPr>
        <w:tabs>
          <w:tab w:val="num" w:pos="5760"/>
        </w:tabs>
        <w:ind w:left="5760" w:hanging="360"/>
      </w:pPr>
      <w:rPr>
        <w:rFonts w:ascii="Courier New" w:hAnsi="Courier New"/>
      </w:rPr>
    </w:lvl>
    <w:lvl w:ilvl="8" w:tplc="87484D2E">
      <w:start w:val="1"/>
      <w:numFmt w:val="bullet"/>
      <w:lvlText w:val=""/>
      <w:lvlJc w:val="left"/>
      <w:pPr>
        <w:tabs>
          <w:tab w:val="num" w:pos="6480"/>
        </w:tabs>
        <w:ind w:left="6480" w:hanging="360"/>
      </w:pPr>
      <w:rPr>
        <w:rFonts w:ascii="Wingdings" w:hAnsi="Wingdings"/>
      </w:rPr>
    </w:lvl>
  </w:abstractNum>
  <w:abstractNum w:abstractNumId="17" w15:restartNumberingAfterBreak="0">
    <w:nsid w:val="7DF627C3"/>
    <w:multiLevelType w:val="hybridMultilevel"/>
    <w:tmpl w:val="7DF627C3"/>
    <w:lvl w:ilvl="0" w:tplc="CE3682E8">
      <w:start w:val="1"/>
      <w:numFmt w:val="bullet"/>
      <w:lvlText w:val=""/>
      <w:lvlJc w:val="left"/>
      <w:pPr>
        <w:tabs>
          <w:tab w:val="num" w:pos="720"/>
        </w:tabs>
        <w:ind w:left="720" w:hanging="360"/>
      </w:pPr>
      <w:rPr>
        <w:rFonts w:ascii="Symbol" w:hAnsi="Symbol"/>
      </w:rPr>
    </w:lvl>
    <w:lvl w:ilvl="1" w:tplc="81B8E6DA">
      <w:start w:val="1"/>
      <w:numFmt w:val="bullet"/>
      <w:lvlText w:val="o"/>
      <w:lvlJc w:val="left"/>
      <w:pPr>
        <w:tabs>
          <w:tab w:val="num" w:pos="1440"/>
        </w:tabs>
        <w:ind w:left="1440" w:hanging="360"/>
      </w:pPr>
      <w:rPr>
        <w:rFonts w:ascii="Courier New" w:hAnsi="Courier New"/>
      </w:rPr>
    </w:lvl>
    <w:lvl w:ilvl="2" w:tplc="EDE04F6E">
      <w:start w:val="1"/>
      <w:numFmt w:val="bullet"/>
      <w:lvlText w:val=""/>
      <w:lvlJc w:val="left"/>
      <w:pPr>
        <w:tabs>
          <w:tab w:val="num" w:pos="2160"/>
        </w:tabs>
        <w:ind w:left="2160" w:hanging="360"/>
      </w:pPr>
      <w:rPr>
        <w:rFonts w:ascii="Wingdings" w:hAnsi="Wingdings"/>
      </w:rPr>
    </w:lvl>
    <w:lvl w:ilvl="3" w:tplc="84F41F42">
      <w:start w:val="1"/>
      <w:numFmt w:val="bullet"/>
      <w:lvlText w:val=""/>
      <w:lvlJc w:val="left"/>
      <w:pPr>
        <w:tabs>
          <w:tab w:val="num" w:pos="2880"/>
        </w:tabs>
        <w:ind w:left="2880" w:hanging="360"/>
      </w:pPr>
      <w:rPr>
        <w:rFonts w:ascii="Symbol" w:hAnsi="Symbol"/>
      </w:rPr>
    </w:lvl>
    <w:lvl w:ilvl="4" w:tplc="771249CC">
      <w:start w:val="1"/>
      <w:numFmt w:val="bullet"/>
      <w:lvlText w:val="o"/>
      <w:lvlJc w:val="left"/>
      <w:pPr>
        <w:tabs>
          <w:tab w:val="num" w:pos="3600"/>
        </w:tabs>
        <w:ind w:left="3600" w:hanging="360"/>
      </w:pPr>
      <w:rPr>
        <w:rFonts w:ascii="Courier New" w:hAnsi="Courier New"/>
      </w:rPr>
    </w:lvl>
    <w:lvl w:ilvl="5" w:tplc="7CA06EDC">
      <w:start w:val="1"/>
      <w:numFmt w:val="bullet"/>
      <w:lvlText w:val=""/>
      <w:lvlJc w:val="left"/>
      <w:pPr>
        <w:tabs>
          <w:tab w:val="num" w:pos="4320"/>
        </w:tabs>
        <w:ind w:left="4320" w:hanging="360"/>
      </w:pPr>
      <w:rPr>
        <w:rFonts w:ascii="Wingdings" w:hAnsi="Wingdings"/>
      </w:rPr>
    </w:lvl>
    <w:lvl w:ilvl="6" w:tplc="900ECFAA">
      <w:start w:val="1"/>
      <w:numFmt w:val="bullet"/>
      <w:lvlText w:val=""/>
      <w:lvlJc w:val="left"/>
      <w:pPr>
        <w:tabs>
          <w:tab w:val="num" w:pos="5040"/>
        </w:tabs>
        <w:ind w:left="5040" w:hanging="360"/>
      </w:pPr>
      <w:rPr>
        <w:rFonts w:ascii="Symbol" w:hAnsi="Symbol"/>
      </w:rPr>
    </w:lvl>
    <w:lvl w:ilvl="7" w:tplc="3F9CCE30">
      <w:start w:val="1"/>
      <w:numFmt w:val="bullet"/>
      <w:lvlText w:val="o"/>
      <w:lvlJc w:val="left"/>
      <w:pPr>
        <w:tabs>
          <w:tab w:val="num" w:pos="5760"/>
        </w:tabs>
        <w:ind w:left="5760" w:hanging="360"/>
      </w:pPr>
      <w:rPr>
        <w:rFonts w:ascii="Courier New" w:hAnsi="Courier New"/>
      </w:rPr>
    </w:lvl>
    <w:lvl w:ilvl="8" w:tplc="99667744">
      <w:start w:val="1"/>
      <w:numFmt w:val="bullet"/>
      <w:lvlText w:val=""/>
      <w:lvlJc w:val="left"/>
      <w:pPr>
        <w:tabs>
          <w:tab w:val="num" w:pos="6480"/>
        </w:tabs>
        <w:ind w:left="6480" w:hanging="360"/>
      </w:pPr>
      <w:rPr>
        <w:rFonts w:ascii="Wingdings" w:hAnsi="Wingdings"/>
      </w:rPr>
    </w:lvl>
  </w:abstractNum>
  <w:abstractNum w:abstractNumId="18" w15:restartNumberingAfterBreak="0">
    <w:nsid w:val="7DF627C4"/>
    <w:multiLevelType w:val="hybridMultilevel"/>
    <w:tmpl w:val="7DF627C4"/>
    <w:lvl w:ilvl="0" w:tplc="B2981A42">
      <w:start w:val="1"/>
      <w:numFmt w:val="bullet"/>
      <w:lvlText w:val=""/>
      <w:lvlJc w:val="left"/>
      <w:pPr>
        <w:tabs>
          <w:tab w:val="num" w:pos="720"/>
        </w:tabs>
        <w:ind w:left="720" w:hanging="360"/>
      </w:pPr>
      <w:rPr>
        <w:rFonts w:ascii="Symbol" w:hAnsi="Symbol"/>
      </w:rPr>
    </w:lvl>
    <w:lvl w:ilvl="1" w:tplc="AD78759A">
      <w:start w:val="1"/>
      <w:numFmt w:val="bullet"/>
      <w:lvlText w:val="o"/>
      <w:lvlJc w:val="left"/>
      <w:pPr>
        <w:tabs>
          <w:tab w:val="num" w:pos="1440"/>
        </w:tabs>
        <w:ind w:left="1440" w:hanging="360"/>
      </w:pPr>
      <w:rPr>
        <w:rFonts w:ascii="Courier New" w:hAnsi="Courier New"/>
      </w:rPr>
    </w:lvl>
    <w:lvl w:ilvl="2" w:tplc="08B8F0A8">
      <w:start w:val="1"/>
      <w:numFmt w:val="bullet"/>
      <w:lvlText w:val=""/>
      <w:lvlJc w:val="left"/>
      <w:pPr>
        <w:tabs>
          <w:tab w:val="num" w:pos="2160"/>
        </w:tabs>
        <w:ind w:left="2160" w:hanging="360"/>
      </w:pPr>
      <w:rPr>
        <w:rFonts w:ascii="Wingdings" w:hAnsi="Wingdings"/>
      </w:rPr>
    </w:lvl>
    <w:lvl w:ilvl="3" w:tplc="0044904E">
      <w:start w:val="1"/>
      <w:numFmt w:val="bullet"/>
      <w:lvlText w:val=""/>
      <w:lvlJc w:val="left"/>
      <w:pPr>
        <w:tabs>
          <w:tab w:val="num" w:pos="2880"/>
        </w:tabs>
        <w:ind w:left="2880" w:hanging="360"/>
      </w:pPr>
      <w:rPr>
        <w:rFonts w:ascii="Symbol" w:hAnsi="Symbol"/>
      </w:rPr>
    </w:lvl>
    <w:lvl w:ilvl="4" w:tplc="96666DB2">
      <w:start w:val="1"/>
      <w:numFmt w:val="bullet"/>
      <w:lvlText w:val="o"/>
      <w:lvlJc w:val="left"/>
      <w:pPr>
        <w:tabs>
          <w:tab w:val="num" w:pos="3600"/>
        </w:tabs>
        <w:ind w:left="3600" w:hanging="360"/>
      </w:pPr>
      <w:rPr>
        <w:rFonts w:ascii="Courier New" w:hAnsi="Courier New"/>
      </w:rPr>
    </w:lvl>
    <w:lvl w:ilvl="5" w:tplc="BDE22998">
      <w:start w:val="1"/>
      <w:numFmt w:val="bullet"/>
      <w:lvlText w:val=""/>
      <w:lvlJc w:val="left"/>
      <w:pPr>
        <w:tabs>
          <w:tab w:val="num" w:pos="4320"/>
        </w:tabs>
        <w:ind w:left="4320" w:hanging="360"/>
      </w:pPr>
      <w:rPr>
        <w:rFonts w:ascii="Wingdings" w:hAnsi="Wingdings"/>
      </w:rPr>
    </w:lvl>
    <w:lvl w:ilvl="6" w:tplc="2B4A134A">
      <w:start w:val="1"/>
      <w:numFmt w:val="bullet"/>
      <w:lvlText w:val=""/>
      <w:lvlJc w:val="left"/>
      <w:pPr>
        <w:tabs>
          <w:tab w:val="num" w:pos="5040"/>
        </w:tabs>
        <w:ind w:left="5040" w:hanging="360"/>
      </w:pPr>
      <w:rPr>
        <w:rFonts w:ascii="Symbol" w:hAnsi="Symbol"/>
      </w:rPr>
    </w:lvl>
    <w:lvl w:ilvl="7" w:tplc="5EBE1B96">
      <w:start w:val="1"/>
      <w:numFmt w:val="bullet"/>
      <w:lvlText w:val="o"/>
      <w:lvlJc w:val="left"/>
      <w:pPr>
        <w:tabs>
          <w:tab w:val="num" w:pos="5760"/>
        </w:tabs>
        <w:ind w:left="5760" w:hanging="360"/>
      </w:pPr>
      <w:rPr>
        <w:rFonts w:ascii="Courier New" w:hAnsi="Courier New"/>
      </w:rPr>
    </w:lvl>
    <w:lvl w:ilvl="8" w:tplc="CEA2CC64">
      <w:start w:val="1"/>
      <w:numFmt w:val="bullet"/>
      <w:lvlText w:val=""/>
      <w:lvlJc w:val="left"/>
      <w:pPr>
        <w:tabs>
          <w:tab w:val="num" w:pos="6480"/>
        </w:tabs>
        <w:ind w:left="6480" w:hanging="360"/>
      </w:pPr>
      <w:rPr>
        <w:rFonts w:ascii="Wingdings" w:hAnsi="Wingdings"/>
      </w:rPr>
    </w:lvl>
  </w:abstractNum>
  <w:abstractNum w:abstractNumId="19" w15:restartNumberingAfterBreak="0">
    <w:nsid w:val="7DF627C5"/>
    <w:multiLevelType w:val="multilevel"/>
    <w:tmpl w:val="7DF627C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DF627C6"/>
    <w:multiLevelType w:val="hybridMultilevel"/>
    <w:tmpl w:val="7DF627C6"/>
    <w:lvl w:ilvl="0" w:tplc="447CCAE6">
      <w:start w:val="1"/>
      <w:numFmt w:val="bullet"/>
      <w:lvlText w:val=""/>
      <w:lvlJc w:val="left"/>
      <w:pPr>
        <w:tabs>
          <w:tab w:val="num" w:pos="720"/>
        </w:tabs>
        <w:ind w:left="720" w:hanging="360"/>
      </w:pPr>
      <w:rPr>
        <w:rFonts w:ascii="Symbol" w:hAnsi="Symbol"/>
      </w:rPr>
    </w:lvl>
    <w:lvl w:ilvl="1" w:tplc="810C4412">
      <w:start w:val="1"/>
      <w:numFmt w:val="bullet"/>
      <w:lvlText w:val="o"/>
      <w:lvlJc w:val="left"/>
      <w:pPr>
        <w:tabs>
          <w:tab w:val="num" w:pos="1440"/>
        </w:tabs>
        <w:ind w:left="1440" w:hanging="360"/>
      </w:pPr>
      <w:rPr>
        <w:rFonts w:ascii="Courier New" w:hAnsi="Courier New"/>
      </w:rPr>
    </w:lvl>
    <w:lvl w:ilvl="2" w:tplc="B9AEBEE4">
      <w:start w:val="1"/>
      <w:numFmt w:val="bullet"/>
      <w:lvlText w:val=""/>
      <w:lvlJc w:val="left"/>
      <w:pPr>
        <w:tabs>
          <w:tab w:val="num" w:pos="2160"/>
        </w:tabs>
        <w:ind w:left="2160" w:hanging="360"/>
      </w:pPr>
      <w:rPr>
        <w:rFonts w:ascii="Wingdings" w:hAnsi="Wingdings"/>
      </w:rPr>
    </w:lvl>
    <w:lvl w:ilvl="3" w:tplc="DACE8E32">
      <w:start w:val="1"/>
      <w:numFmt w:val="bullet"/>
      <w:lvlText w:val=""/>
      <w:lvlJc w:val="left"/>
      <w:pPr>
        <w:tabs>
          <w:tab w:val="num" w:pos="2880"/>
        </w:tabs>
        <w:ind w:left="2880" w:hanging="360"/>
      </w:pPr>
      <w:rPr>
        <w:rFonts w:ascii="Symbol" w:hAnsi="Symbol"/>
      </w:rPr>
    </w:lvl>
    <w:lvl w:ilvl="4" w:tplc="7DD61C3A">
      <w:start w:val="1"/>
      <w:numFmt w:val="bullet"/>
      <w:lvlText w:val="o"/>
      <w:lvlJc w:val="left"/>
      <w:pPr>
        <w:tabs>
          <w:tab w:val="num" w:pos="3600"/>
        </w:tabs>
        <w:ind w:left="3600" w:hanging="360"/>
      </w:pPr>
      <w:rPr>
        <w:rFonts w:ascii="Courier New" w:hAnsi="Courier New"/>
      </w:rPr>
    </w:lvl>
    <w:lvl w:ilvl="5" w:tplc="1ED89AC2">
      <w:start w:val="1"/>
      <w:numFmt w:val="bullet"/>
      <w:lvlText w:val=""/>
      <w:lvlJc w:val="left"/>
      <w:pPr>
        <w:tabs>
          <w:tab w:val="num" w:pos="4320"/>
        </w:tabs>
        <w:ind w:left="4320" w:hanging="360"/>
      </w:pPr>
      <w:rPr>
        <w:rFonts w:ascii="Wingdings" w:hAnsi="Wingdings"/>
      </w:rPr>
    </w:lvl>
    <w:lvl w:ilvl="6" w:tplc="9A9A86FE">
      <w:start w:val="1"/>
      <w:numFmt w:val="bullet"/>
      <w:lvlText w:val=""/>
      <w:lvlJc w:val="left"/>
      <w:pPr>
        <w:tabs>
          <w:tab w:val="num" w:pos="5040"/>
        </w:tabs>
        <w:ind w:left="5040" w:hanging="360"/>
      </w:pPr>
      <w:rPr>
        <w:rFonts w:ascii="Symbol" w:hAnsi="Symbol"/>
      </w:rPr>
    </w:lvl>
    <w:lvl w:ilvl="7" w:tplc="65061884">
      <w:start w:val="1"/>
      <w:numFmt w:val="bullet"/>
      <w:lvlText w:val="o"/>
      <w:lvlJc w:val="left"/>
      <w:pPr>
        <w:tabs>
          <w:tab w:val="num" w:pos="5760"/>
        </w:tabs>
        <w:ind w:left="5760" w:hanging="360"/>
      </w:pPr>
      <w:rPr>
        <w:rFonts w:ascii="Courier New" w:hAnsi="Courier New"/>
      </w:rPr>
    </w:lvl>
    <w:lvl w:ilvl="8" w:tplc="CC9AAAC2">
      <w:start w:val="1"/>
      <w:numFmt w:val="bullet"/>
      <w:lvlText w:val=""/>
      <w:lvlJc w:val="left"/>
      <w:pPr>
        <w:tabs>
          <w:tab w:val="num" w:pos="6480"/>
        </w:tabs>
        <w:ind w:left="6480" w:hanging="360"/>
      </w:pPr>
      <w:rPr>
        <w:rFonts w:ascii="Wingdings" w:hAnsi="Wingdings"/>
      </w:rPr>
    </w:lvl>
  </w:abstractNum>
  <w:abstractNum w:abstractNumId="21" w15:restartNumberingAfterBreak="0">
    <w:nsid w:val="7DF627C7"/>
    <w:multiLevelType w:val="hybridMultilevel"/>
    <w:tmpl w:val="7DF627C7"/>
    <w:lvl w:ilvl="0" w:tplc="001EE5AE">
      <w:start w:val="1"/>
      <w:numFmt w:val="bullet"/>
      <w:lvlText w:val=""/>
      <w:lvlJc w:val="left"/>
      <w:pPr>
        <w:tabs>
          <w:tab w:val="num" w:pos="720"/>
        </w:tabs>
        <w:ind w:left="720" w:hanging="360"/>
      </w:pPr>
      <w:rPr>
        <w:rFonts w:ascii="Symbol" w:hAnsi="Symbol"/>
      </w:rPr>
    </w:lvl>
    <w:lvl w:ilvl="1" w:tplc="E7F43F40">
      <w:start w:val="1"/>
      <w:numFmt w:val="bullet"/>
      <w:lvlText w:val="o"/>
      <w:lvlJc w:val="left"/>
      <w:pPr>
        <w:tabs>
          <w:tab w:val="num" w:pos="1440"/>
        </w:tabs>
        <w:ind w:left="1440" w:hanging="360"/>
      </w:pPr>
      <w:rPr>
        <w:rFonts w:ascii="Courier New" w:hAnsi="Courier New"/>
      </w:rPr>
    </w:lvl>
    <w:lvl w:ilvl="2" w:tplc="CC569792">
      <w:start w:val="1"/>
      <w:numFmt w:val="bullet"/>
      <w:lvlText w:val=""/>
      <w:lvlJc w:val="left"/>
      <w:pPr>
        <w:tabs>
          <w:tab w:val="num" w:pos="2160"/>
        </w:tabs>
        <w:ind w:left="2160" w:hanging="360"/>
      </w:pPr>
      <w:rPr>
        <w:rFonts w:ascii="Wingdings" w:hAnsi="Wingdings"/>
      </w:rPr>
    </w:lvl>
    <w:lvl w:ilvl="3" w:tplc="23143514">
      <w:start w:val="1"/>
      <w:numFmt w:val="bullet"/>
      <w:lvlText w:val=""/>
      <w:lvlJc w:val="left"/>
      <w:pPr>
        <w:tabs>
          <w:tab w:val="num" w:pos="2880"/>
        </w:tabs>
        <w:ind w:left="2880" w:hanging="360"/>
      </w:pPr>
      <w:rPr>
        <w:rFonts w:ascii="Symbol" w:hAnsi="Symbol"/>
      </w:rPr>
    </w:lvl>
    <w:lvl w:ilvl="4" w:tplc="B6FED346">
      <w:start w:val="1"/>
      <w:numFmt w:val="bullet"/>
      <w:lvlText w:val="o"/>
      <w:lvlJc w:val="left"/>
      <w:pPr>
        <w:tabs>
          <w:tab w:val="num" w:pos="3600"/>
        </w:tabs>
        <w:ind w:left="3600" w:hanging="360"/>
      </w:pPr>
      <w:rPr>
        <w:rFonts w:ascii="Courier New" w:hAnsi="Courier New"/>
      </w:rPr>
    </w:lvl>
    <w:lvl w:ilvl="5" w:tplc="A23EC3CE">
      <w:start w:val="1"/>
      <w:numFmt w:val="bullet"/>
      <w:lvlText w:val=""/>
      <w:lvlJc w:val="left"/>
      <w:pPr>
        <w:tabs>
          <w:tab w:val="num" w:pos="4320"/>
        </w:tabs>
        <w:ind w:left="4320" w:hanging="360"/>
      </w:pPr>
      <w:rPr>
        <w:rFonts w:ascii="Wingdings" w:hAnsi="Wingdings"/>
      </w:rPr>
    </w:lvl>
    <w:lvl w:ilvl="6" w:tplc="5268D7AE">
      <w:start w:val="1"/>
      <w:numFmt w:val="bullet"/>
      <w:lvlText w:val=""/>
      <w:lvlJc w:val="left"/>
      <w:pPr>
        <w:tabs>
          <w:tab w:val="num" w:pos="5040"/>
        </w:tabs>
        <w:ind w:left="5040" w:hanging="360"/>
      </w:pPr>
      <w:rPr>
        <w:rFonts w:ascii="Symbol" w:hAnsi="Symbol"/>
      </w:rPr>
    </w:lvl>
    <w:lvl w:ilvl="7" w:tplc="E8E08FD4">
      <w:start w:val="1"/>
      <w:numFmt w:val="bullet"/>
      <w:lvlText w:val="o"/>
      <w:lvlJc w:val="left"/>
      <w:pPr>
        <w:tabs>
          <w:tab w:val="num" w:pos="5760"/>
        </w:tabs>
        <w:ind w:left="5760" w:hanging="360"/>
      </w:pPr>
      <w:rPr>
        <w:rFonts w:ascii="Courier New" w:hAnsi="Courier New"/>
      </w:rPr>
    </w:lvl>
    <w:lvl w:ilvl="8" w:tplc="640C8332">
      <w:start w:val="1"/>
      <w:numFmt w:val="bullet"/>
      <w:lvlText w:val=""/>
      <w:lvlJc w:val="left"/>
      <w:pPr>
        <w:tabs>
          <w:tab w:val="num" w:pos="6480"/>
        </w:tabs>
        <w:ind w:left="6480" w:hanging="360"/>
      </w:pPr>
      <w:rPr>
        <w:rFonts w:ascii="Wingdings" w:hAnsi="Wingdings"/>
      </w:rPr>
    </w:lvl>
  </w:abstractNum>
  <w:abstractNum w:abstractNumId="22" w15:restartNumberingAfterBreak="0">
    <w:nsid w:val="7DF627C8"/>
    <w:multiLevelType w:val="hybridMultilevel"/>
    <w:tmpl w:val="7DF627C8"/>
    <w:lvl w:ilvl="0" w:tplc="A9D49392">
      <w:start w:val="1"/>
      <w:numFmt w:val="bullet"/>
      <w:lvlText w:val=""/>
      <w:lvlJc w:val="left"/>
      <w:pPr>
        <w:tabs>
          <w:tab w:val="num" w:pos="720"/>
        </w:tabs>
        <w:ind w:left="720" w:hanging="360"/>
      </w:pPr>
      <w:rPr>
        <w:rFonts w:ascii="Symbol" w:hAnsi="Symbol"/>
      </w:rPr>
    </w:lvl>
    <w:lvl w:ilvl="1" w:tplc="EDC8AD1C">
      <w:start w:val="1"/>
      <w:numFmt w:val="bullet"/>
      <w:lvlText w:val="o"/>
      <w:lvlJc w:val="left"/>
      <w:pPr>
        <w:tabs>
          <w:tab w:val="num" w:pos="1440"/>
        </w:tabs>
        <w:ind w:left="1440" w:hanging="360"/>
      </w:pPr>
      <w:rPr>
        <w:rFonts w:ascii="Courier New" w:hAnsi="Courier New"/>
      </w:rPr>
    </w:lvl>
    <w:lvl w:ilvl="2" w:tplc="BCC4243E">
      <w:start w:val="1"/>
      <w:numFmt w:val="bullet"/>
      <w:lvlText w:val=""/>
      <w:lvlJc w:val="left"/>
      <w:pPr>
        <w:tabs>
          <w:tab w:val="num" w:pos="2160"/>
        </w:tabs>
        <w:ind w:left="2160" w:hanging="360"/>
      </w:pPr>
      <w:rPr>
        <w:rFonts w:ascii="Wingdings" w:hAnsi="Wingdings"/>
      </w:rPr>
    </w:lvl>
    <w:lvl w:ilvl="3" w:tplc="D1ECCFEE">
      <w:start w:val="1"/>
      <w:numFmt w:val="bullet"/>
      <w:lvlText w:val=""/>
      <w:lvlJc w:val="left"/>
      <w:pPr>
        <w:tabs>
          <w:tab w:val="num" w:pos="2880"/>
        </w:tabs>
        <w:ind w:left="2880" w:hanging="360"/>
      </w:pPr>
      <w:rPr>
        <w:rFonts w:ascii="Symbol" w:hAnsi="Symbol"/>
      </w:rPr>
    </w:lvl>
    <w:lvl w:ilvl="4" w:tplc="5A7829FA">
      <w:start w:val="1"/>
      <w:numFmt w:val="bullet"/>
      <w:lvlText w:val="o"/>
      <w:lvlJc w:val="left"/>
      <w:pPr>
        <w:tabs>
          <w:tab w:val="num" w:pos="3600"/>
        </w:tabs>
        <w:ind w:left="3600" w:hanging="360"/>
      </w:pPr>
      <w:rPr>
        <w:rFonts w:ascii="Courier New" w:hAnsi="Courier New"/>
      </w:rPr>
    </w:lvl>
    <w:lvl w:ilvl="5" w:tplc="D6D43676">
      <w:start w:val="1"/>
      <w:numFmt w:val="bullet"/>
      <w:lvlText w:val=""/>
      <w:lvlJc w:val="left"/>
      <w:pPr>
        <w:tabs>
          <w:tab w:val="num" w:pos="4320"/>
        </w:tabs>
        <w:ind w:left="4320" w:hanging="360"/>
      </w:pPr>
      <w:rPr>
        <w:rFonts w:ascii="Wingdings" w:hAnsi="Wingdings"/>
      </w:rPr>
    </w:lvl>
    <w:lvl w:ilvl="6" w:tplc="974227E8">
      <w:start w:val="1"/>
      <w:numFmt w:val="bullet"/>
      <w:lvlText w:val=""/>
      <w:lvlJc w:val="left"/>
      <w:pPr>
        <w:tabs>
          <w:tab w:val="num" w:pos="5040"/>
        </w:tabs>
        <w:ind w:left="5040" w:hanging="360"/>
      </w:pPr>
      <w:rPr>
        <w:rFonts w:ascii="Symbol" w:hAnsi="Symbol"/>
      </w:rPr>
    </w:lvl>
    <w:lvl w:ilvl="7" w:tplc="5050656C">
      <w:start w:val="1"/>
      <w:numFmt w:val="bullet"/>
      <w:lvlText w:val="o"/>
      <w:lvlJc w:val="left"/>
      <w:pPr>
        <w:tabs>
          <w:tab w:val="num" w:pos="5760"/>
        </w:tabs>
        <w:ind w:left="5760" w:hanging="360"/>
      </w:pPr>
      <w:rPr>
        <w:rFonts w:ascii="Courier New" w:hAnsi="Courier New"/>
      </w:rPr>
    </w:lvl>
    <w:lvl w:ilvl="8" w:tplc="4FB66582">
      <w:start w:val="1"/>
      <w:numFmt w:val="bullet"/>
      <w:lvlText w:val=""/>
      <w:lvlJc w:val="left"/>
      <w:pPr>
        <w:tabs>
          <w:tab w:val="num" w:pos="6480"/>
        </w:tabs>
        <w:ind w:left="6480" w:hanging="360"/>
      </w:pPr>
      <w:rPr>
        <w:rFonts w:ascii="Wingdings" w:hAnsi="Wingdings"/>
      </w:rPr>
    </w:lvl>
  </w:abstractNum>
  <w:abstractNum w:abstractNumId="23" w15:restartNumberingAfterBreak="0">
    <w:nsid w:val="7DF627C9"/>
    <w:multiLevelType w:val="hybridMultilevel"/>
    <w:tmpl w:val="7DF627C9"/>
    <w:lvl w:ilvl="0" w:tplc="2CE0188A">
      <w:start w:val="1"/>
      <w:numFmt w:val="bullet"/>
      <w:lvlText w:val=""/>
      <w:lvlJc w:val="left"/>
      <w:pPr>
        <w:tabs>
          <w:tab w:val="num" w:pos="720"/>
        </w:tabs>
        <w:ind w:left="720" w:hanging="360"/>
      </w:pPr>
      <w:rPr>
        <w:rFonts w:ascii="Symbol" w:hAnsi="Symbol"/>
      </w:rPr>
    </w:lvl>
    <w:lvl w:ilvl="1" w:tplc="DBAABF44">
      <w:start w:val="1"/>
      <w:numFmt w:val="bullet"/>
      <w:lvlText w:val="o"/>
      <w:lvlJc w:val="left"/>
      <w:pPr>
        <w:tabs>
          <w:tab w:val="num" w:pos="1440"/>
        </w:tabs>
        <w:ind w:left="1440" w:hanging="360"/>
      </w:pPr>
      <w:rPr>
        <w:rFonts w:ascii="Courier New" w:hAnsi="Courier New"/>
      </w:rPr>
    </w:lvl>
    <w:lvl w:ilvl="2" w:tplc="45F2E9D8">
      <w:start w:val="1"/>
      <w:numFmt w:val="bullet"/>
      <w:lvlText w:val=""/>
      <w:lvlJc w:val="left"/>
      <w:pPr>
        <w:tabs>
          <w:tab w:val="num" w:pos="2160"/>
        </w:tabs>
        <w:ind w:left="2160" w:hanging="360"/>
      </w:pPr>
      <w:rPr>
        <w:rFonts w:ascii="Wingdings" w:hAnsi="Wingdings"/>
      </w:rPr>
    </w:lvl>
    <w:lvl w:ilvl="3" w:tplc="A60C8396">
      <w:start w:val="1"/>
      <w:numFmt w:val="bullet"/>
      <w:lvlText w:val=""/>
      <w:lvlJc w:val="left"/>
      <w:pPr>
        <w:tabs>
          <w:tab w:val="num" w:pos="2880"/>
        </w:tabs>
        <w:ind w:left="2880" w:hanging="360"/>
      </w:pPr>
      <w:rPr>
        <w:rFonts w:ascii="Symbol" w:hAnsi="Symbol"/>
      </w:rPr>
    </w:lvl>
    <w:lvl w:ilvl="4" w:tplc="828467EC">
      <w:start w:val="1"/>
      <w:numFmt w:val="bullet"/>
      <w:lvlText w:val="o"/>
      <w:lvlJc w:val="left"/>
      <w:pPr>
        <w:tabs>
          <w:tab w:val="num" w:pos="3600"/>
        </w:tabs>
        <w:ind w:left="3600" w:hanging="360"/>
      </w:pPr>
      <w:rPr>
        <w:rFonts w:ascii="Courier New" w:hAnsi="Courier New"/>
      </w:rPr>
    </w:lvl>
    <w:lvl w:ilvl="5" w:tplc="480C6744">
      <w:start w:val="1"/>
      <w:numFmt w:val="bullet"/>
      <w:lvlText w:val=""/>
      <w:lvlJc w:val="left"/>
      <w:pPr>
        <w:tabs>
          <w:tab w:val="num" w:pos="4320"/>
        </w:tabs>
        <w:ind w:left="4320" w:hanging="360"/>
      </w:pPr>
      <w:rPr>
        <w:rFonts w:ascii="Wingdings" w:hAnsi="Wingdings"/>
      </w:rPr>
    </w:lvl>
    <w:lvl w:ilvl="6" w:tplc="FD5C7EFE">
      <w:start w:val="1"/>
      <w:numFmt w:val="bullet"/>
      <w:lvlText w:val=""/>
      <w:lvlJc w:val="left"/>
      <w:pPr>
        <w:tabs>
          <w:tab w:val="num" w:pos="5040"/>
        </w:tabs>
        <w:ind w:left="5040" w:hanging="360"/>
      </w:pPr>
      <w:rPr>
        <w:rFonts w:ascii="Symbol" w:hAnsi="Symbol"/>
      </w:rPr>
    </w:lvl>
    <w:lvl w:ilvl="7" w:tplc="66D42876">
      <w:start w:val="1"/>
      <w:numFmt w:val="bullet"/>
      <w:lvlText w:val="o"/>
      <w:lvlJc w:val="left"/>
      <w:pPr>
        <w:tabs>
          <w:tab w:val="num" w:pos="5760"/>
        </w:tabs>
        <w:ind w:left="5760" w:hanging="360"/>
      </w:pPr>
      <w:rPr>
        <w:rFonts w:ascii="Courier New" w:hAnsi="Courier New"/>
      </w:rPr>
    </w:lvl>
    <w:lvl w:ilvl="8" w:tplc="8696A8E0">
      <w:start w:val="1"/>
      <w:numFmt w:val="bullet"/>
      <w:lvlText w:val=""/>
      <w:lvlJc w:val="left"/>
      <w:pPr>
        <w:tabs>
          <w:tab w:val="num" w:pos="6480"/>
        </w:tabs>
        <w:ind w:left="6480" w:hanging="360"/>
      </w:pPr>
      <w:rPr>
        <w:rFonts w:ascii="Wingdings" w:hAnsi="Wingdings"/>
      </w:rPr>
    </w:lvl>
  </w:abstractNum>
  <w:abstractNum w:abstractNumId="24" w15:restartNumberingAfterBreak="0">
    <w:nsid w:val="7DF627CA"/>
    <w:multiLevelType w:val="hybridMultilevel"/>
    <w:tmpl w:val="7DF627CA"/>
    <w:lvl w:ilvl="0" w:tplc="40E4EF3C">
      <w:start w:val="1"/>
      <w:numFmt w:val="bullet"/>
      <w:lvlText w:val=""/>
      <w:lvlJc w:val="left"/>
      <w:pPr>
        <w:tabs>
          <w:tab w:val="num" w:pos="720"/>
        </w:tabs>
        <w:ind w:left="720" w:hanging="360"/>
      </w:pPr>
      <w:rPr>
        <w:rFonts w:ascii="Symbol" w:hAnsi="Symbol"/>
      </w:rPr>
    </w:lvl>
    <w:lvl w:ilvl="1" w:tplc="7F7E9118">
      <w:start w:val="1"/>
      <w:numFmt w:val="bullet"/>
      <w:lvlText w:val="o"/>
      <w:lvlJc w:val="left"/>
      <w:pPr>
        <w:tabs>
          <w:tab w:val="num" w:pos="1440"/>
        </w:tabs>
        <w:ind w:left="1440" w:hanging="360"/>
      </w:pPr>
      <w:rPr>
        <w:rFonts w:ascii="Courier New" w:hAnsi="Courier New"/>
      </w:rPr>
    </w:lvl>
    <w:lvl w:ilvl="2" w:tplc="D8A23D1E">
      <w:start w:val="1"/>
      <w:numFmt w:val="bullet"/>
      <w:lvlText w:val=""/>
      <w:lvlJc w:val="left"/>
      <w:pPr>
        <w:tabs>
          <w:tab w:val="num" w:pos="2160"/>
        </w:tabs>
        <w:ind w:left="2160" w:hanging="360"/>
      </w:pPr>
      <w:rPr>
        <w:rFonts w:ascii="Wingdings" w:hAnsi="Wingdings"/>
      </w:rPr>
    </w:lvl>
    <w:lvl w:ilvl="3" w:tplc="F440D870">
      <w:start w:val="1"/>
      <w:numFmt w:val="bullet"/>
      <w:lvlText w:val=""/>
      <w:lvlJc w:val="left"/>
      <w:pPr>
        <w:tabs>
          <w:tab w:val="num" w:pos="2880"/>
        </w:tabs>
        <w:ind w:left="2880" w:hanging="360"/>
      </w:pPr>
      <w:rPr>
        <w:rFonts w:ascii="Symbol" w:hAnsi="Symbol"/>
      </w:rPr>
    </w:lvl>
    <w:lvl w:ilvl="4" w:tplc="E2E4CB4E">
      <w:start w:val="1"/>
      <w:numFmt w:val="bullet"/>
      <w:lvlText w:val="o"/>
      <w:lvlJc w:val="left"/>
      <w:pPr>
        <w:tabs>
          <w:tab w:val="num" w:pos="3600"/>
        </w:tabs>
        <w:ind w:left="3600" w:hanging="360"/>
      </w:pPr>
      <w:rPr>
        <w:rFonts w:ascii="Courier New" w:hAnsi="Courier New"/>
      </w:rPr>
    </w:lvl>
    <w:lvl w:ilvl="5" w:tplc="28745044">
      <w:start w:val="1"/>
      <w:numFmt w:val="bullet"/>
      <w:lvlText w:val=""/>
      <w:lvlJc w:val="left"/>
      <w:pPr>
        <w:tabs>
          <w:tab w:val="num" w:pos="4320"/>
        </w:tabs>
        <w:ind w:left="4320" w:hanging="360"/>
      </w:pPr>
      <w:rPr>
        <w:rFonts w:ascii="Wingdings" w:hAnsi="Wingdings"/>
      </w:rPr>
    </w:lvl>
    <w:lvl w:ilvl="6" w:tplc="CA801FBC">
      <w:start w:val="1"/>
      <w:numFmt w:val="bullet"/>
      <w:lvlText w:val=""/>
      <w:lvlJc w:val="left"/>
      <w:pPr>
        <w:tabs>
          <w:tab w:val="num" w:pos="5040"/>
        </w:tabs>
        <w:ind w:left="5040" w:hanging="360"/>
      </w:pPr>
      <w:rPr>
        <w:rFonts w:ascii="Symbol" w:hAnsi="Symbol"/>
      </w:rPr>
    </w:lvl>
    <w:lvl w:ilvl="7" w:tplc="BA1A051E">
      <w:start w:val="1"/>
      <w:numFmt w:val="bullet"/>
      <w:lvlText w:val="o"/>
      <w:lvlJc w:val="left"/>
      <w:pPr>
        <w:tabs>
          <w:tab w:val="num" w:pos="5760"/>
        </w:tabs>
        <w:ind w:left="5760" w:hanging="360"/>
      </w:pPr>
      <w:rPr>
        <w:rFonts w:ascii="Courier New" w:hAnsi="Courier New"/>
      </w:rPr>
    </w:lvl>
    <w:lvl w:ilvl="8" w:tplc="BFF0F068">
      <w:start w:val="1"/>
      <w:numFmt w:val="bullet"/>
      <w:lvlText w:val=""/>
      <w:lvlJc w:val="left"/>
      <w:pPr>
        <w:tabs>
          <w:tab w:val="num" w:pos="6480"/>
        </w:tabs>
        <w:ind w:left="6480" w:hanging="360"/>
      </w:pPr>
      <w:rPr>
        <w:rFonts w:ascii="Wingdings" w:hAnsi="Wingdings"/>
      </w:rPr>
    </w:lvl>
  </w:abstractNum>
  <w:abstractNum w:abstractNumId="25" w15:restartNumberingAfterBreak="0">
    <w:nsid w:val="7DF627CB"/>
    <w:multiLevelType w:val="hybridMultilevel"/>
    <w:tmpl w:val="7DF627CB"/>
    <w:lvl w:ilvl="0" w:tplc="2D2694FA">
      <w:start w:val="1"/>
      <w:numFmt w:val="bullet"/>
      <w:lvlText w:val=""/>
      <w:lvlJc w:val="left"/>
      <w:pPr>
        <w:tabs>
          <w:tab w:val="num" w:pos="720"/>
        </w:tabs>
        <w:ind w:left="720" w:hanging="360"/>
      </w:pPr>
      <w:rPr>
        <w:rFonts w:ascii="Symbol" w:hAnsi="Symbol"/>
      </w:rPr>
    </w:lvl>
    <w:lvl w:ilvl="1" w:tplc="D780FBD8">
      <w:start w:val="1"/>
      <w:numFmt w:val="bullet"/>
      <w:lvlText w:val="o"/>
      <w:lvlJc w:val="left"/>
      <w:pPr>
        <w:tabs>
          <w:tab w:val="num" w:pos="1440"/>
        </w:tabs>
        <w:ind w:left="1440" w:hanging="360"/>
      </w:pPr>
      <w:rPr>
        <w:rFonts w:ascii="Courier New" w:hAnsi="Courier New"/>
      </w:rPr>
    </w:lvl>
    <w:lvl w:ilvl="2" w:tplc="535E9000">
      <w:start w:val="1"/>
      <w:numFmt w:val="bullet"/>
      <w:lvlText w:val=""/>
      <w:lvlJc w:val="left"/>
      <w:pPr>
        <w:tabs>
          <w:tab w:val="num" w:pos="2160"/>
        </w:tabs>
        <w:ind w:left="2160" w:hanging="360"/>
      </w:pPr>
      <w:rPr>
        <w:rFonts w:ascii="Wingdings" w:hAnsi="Wingdings"/>
      </w:rPr>
    </w:lvl>
    <w:lvl w:ilvl="3" w:tplc="E990CC70">
      <w:start w:val="1"/>
      <w:numFmt w:val="bullet"/>
      <w:lvlText w:val=""/>
      <w:lvlJc w:val="left"/>
      <w:pPr>
        <w:tabs>
          <w:tab w:val="num" w:pos="2880"/>
        </w:tabs>
        <w:ind w:left="2880" w:hanging="360"/>
      </w:pPr>
      <w:rPr>
        <w:rFonts w:ascii="Symbol" w:hAnsi="Symbol"/>
      </w:rPr>
    </w:lvl>
    <w:lvl w:ilvl="4" w:tplc="676ABA50">
      <w:start w:val="1"/>
      <w:numFmt w:val="bullet"/>
      <w:lvlText w:val="o"/>
      <w:lvlJc w:val="left"/>
      <w:pPr>
        <w:tabs>
          <w:tab w:val="num" w:pos="3600"/>
        </w:tabs>
        <w:ind w:left="3600" w:hanging="360"/>
      </w:pPr>
      <w:rPr>
        <w:rFonts w:ascii="Courier New" w:hAnsi="Courier New"/>
      </w:rPr>
    </w:lvl>
    <w:lvl w:ilvl="5" w:tplc="3D9E4E64">
      <w:start w:val="1"/>
      <w:numFmt w:val="bullet"/>
      <w:lvlText w:val=""/>
      <w:lvlJc w:val="left"/>
      <w:pPr>
        <w:tabs>
          <w:tab w:val="num" w:pos="4320"/>
        </w:tabs>
        <w:ind w:left="4320" w:hanging="360"/>
      </w:pPr>
      <w:rPr>
        <w:rFonts w:ascii="Wingdings" w:hAnsi="Wingdings"/>
      </w:rPr>
    </w:lvl>
    <w:lvl w:ilvl="6" w:tplc="E7264AC6">
      <w:start w:val="1"/>
      <w:numFmt w:val="bullet"/>
      <w:lvlText w:val=""/>
      <w:lvlJc w:val="left"/>
      <w:pPr>
        <w:tabs>
          <w:tab w:val="num" w:pos="5040"/>
        </w:tabs>
        <w:ind w:left="5040" w:hanging="360"/>
      </w:pPr>
      <w:rPr>
        <w:rFonts w:ascii="Symbol" w:hAnsi="Symbol"/>
      </w:rPr>
    </w:lvl>
    <w:lvl w:ilvl="7" w:tplc="2006E082">
      <w:start w:val="1"/>
      <w:numFmt w:val="bullet"/>
      <w:lvlText w:val="o"/>
      <w:lvlJc w:val="left"/>
      <w:pPr>
        <w:tabs>
          <w:tab w:val="num" w:pos="5760"/>
        </w:tabs>
        <w:ind w:left="5760" w:hanging="360"/>
      </w:pPr>
      <w:rPr>
        <w:rFonts w:ascii="Courier New" w:hAnsi="Courier New"/>
      </w:rPr>
    </w:lvl>
    <w:lvl w:ilvl="8" w:tplc="6D9EB3D8">
      <w:start w:val="1"/>
      <w:numFmt w:val="bullet"/>
      <w:lvlText w:val=""/>
      <w:lvlJc w:val="left"/>
      <w:pPr>
        <w:tabs>
          <w:tab w:val="num" w:pos="6480"/>
        </w:tabs>
        <w:ind w:left="6480" w:hanging="360"/>
      </w:pPr>
      <w:rPr>
        <w:rFonts w:ascii="Wingdings" w:hAnsi="Wingdings"/>
      </w:rPr>
    </w:lvl>
  </w:abstractNum>
  <w:abstractNum w:abstractNumId="26" w15:restartNumberingAfterBreak="0">
    <w:nsid w:val="7DF627CC"/>
    <w:multiLevelType w:val="multilevel"/>
    <w:tmpl w:val="7DF627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DF627CD"/>
    <w:multiLevelType w:val="hybridMultilevel"/>
    <w:tmpl w:val="7DF627CD"/>
    <w:lvl w:ilvl="0" w:tplc="74EE65F4">
      <w:start w:val="1"/>
      <w:numFmt w:val="bullet"/>
      <w:lvlText w:val=""/>
      <w:lvlJc w:val="left"/>
      <w:pPr>
        <w:tabs>
          <w:tab w:val="num" w:pos="720"/>
        </w:tabs>
        <w:ind w:left="720" w:hanging="360"/>
      </w:pPr>
      <w:rPr>
        <w:rFonts w:ascii="Symbol" w:hAnsi="Symbol"/>
      </w:rPr>
    </w:lvl>
    <w:lvl w:ilvl="1" w:tplc="C3E6F908">
      <w:start w:val="1"/>
      <w:numFmt w:val="bullet"/>
      <w:lvlText w:val="o"/>
      <w:lvlJc w:val="left"/>
      <w:pPr>
        <w:tabs>
          <w:tab w:val="num" w:pos="1440"/>
        </w:tabs>
        <w:ind w:left="1440" w:hanging="360"/>
      </w:pPr>
      <w:rPr>
        <w:rFonts w:ascii="Courier New" w:hAnsi="Courier New"/>
      </w:rPr>
    </w:lvl>
    <w:lvl w:ilvl="2" w:tplc="2A267E32">
      <w:start w:val="1"/>
      <w:numFmt w:val="bullet"/>
      <w:lvlText w:val=""/>
      <w:lvlJc w:val="left"/>
      <w:pPr>
        <w:tabs>
          <w:tab w:val="num" w:pos="2160"/>
        </w:tabs>
        <w:ind w:left="2160" w:hanging="360"/>
      </w:pPr>
      <w:rPr>
        <w:rFonts w:ascii="Wingdings" w:hAnsi="Wingdings"/>
      </w:rPr>
    </w:lvl>
    <w:lvl w:ilvl="3" w:tplc="C094984A">
      <w:start w:val="1"/>
      <w:numFmt w:val="bullet"/>
      <w:lvlText w:val=""/>
      <w:lvlJc w:val="left"/>
      <w:pPr>
        <w:tabs>
          <w:tab w:val="num" w:pos="2880"/>
        </w:tabs>
        <w:ind w:left="2880" w:hanging="360"/>
      </w:pPr>
      <w:rPr>
        <w:rFonts w:ascii="Symbol" w:hAnsi="Symbol"/>
      </w:rPr>
    </w:lvl>
    <w:lvl w:ilvl="4" w:tplc="CADE3D4C">
      <w:start w:val="1"/>
      <w:numFmt w:val="bullet"/>
      <w:lvlText w:val="o"/>
      <w:lvlJc w:val="left"/>
      <w:pPr>
        <w:tabs>
          <w:tab w:val="num" w:pos="3600"/>
        </w:tabs>
        <w:ind w:left="3600" w:hanging="360"/>
      </w:pPr>
      <w:rPr>
        <w:rFonts w:ascii="Courier New" w:hAnsi="Courier New"/>
      </w:rPr>
    </w:lvl>
    <w:lvl w:ilvl="5" w:tplc="12548DFA">
      <w:start w:val="1"/>
      <w:numFmt w:val="bullet"/>
      <w:lvlText w:val=""/>
      <w:lvlJc w:val="left"/>
      <w:pPr>
        <w:tabs>
          <w:tab w:val="num" w:pos="4320"/>
        </w:tabs>
        <w:ind w:left="4320" w:hanging="360"/>
      </w:pPr>
      <w:rPr>
        <w:rFonts w:ascii="Wingdings" w:hAnsi="Wingdings"/>
      </w:rPr>
    </w:lvl>
    <w:lvl w:ilvl="6" w:tplc="3C2A886C">
      <w:start w:val="1"/>
      <w:numFmt w:val="bullet"/>
      <w:lvlText w:val=""/>
      <w:lvlJc w:val="left"/>
      <w:pPr>
        <w:tabs>
          <w:tab w:val="num" w:pos="5040"/>
        </w:tabs>
        <w:ind w:left="5040" w:hanging="360"/>
      </w:pPr>
      <w:rPr>
        <w:rFonts w:ascii="Symbol" w:hAnsi="Symbol"/>
      </w:rPr>
    </w:lvl>
    <w:lvl w:ilvl="7" w:tplc="25520C6E">
      <w:start w:val="1"/>
      <w:numFmt w:val="bullet"/>
      <w:lvlText w:val="o"/>
      <w:lvlJc w:val="left"/>
      <w:pPr>
        <w:tabs>
          <w:tab w:val="num" w:pos="5760"/>
        </w:tabs>
        <w:ind w:left="5760" w:hanging="360"/>
      </w:pPr>
      <w:rPr>
        <w:rFonts w:ascii="Courier New" w:hAnsi="Courier New"/>
      </w:rPr>
    </w:lvl>
    <w:lvl w:ilvl="8" w:tplc="4474AC94">
      <w:start w:val="1"/>
      <w:numFmt w:val="bullet"/>
      <w:lvlText w:val=""/>
      <w:lvlJc w:val="left"/>
      <w:pPr>
        <w:tabs>
          <w:tab w:val="num" w:pos="6480"/>
        </w:tabs>
        <w:ind w:left="6480" w:hanging="360"/>
      </w:pPr>
      <w:rPr>
        <w:rFonts w:ascii="Wingdings" w:hAnsi="Wingdings"/>
      </w:rPr>
    </w:lvl>
  </w:abstractNum>
  <w:abstractNum w:abstractNumId="28" w15:restartNumberingAfterBreak="0">
    <w:nsid w:val="7DF627CE"/>
    <w:multiLevelType w:val="hybridMultilevel"/>
    <w:tmpl w:val="7DF627CE"/>
    <w:lvl w:ilvl="0" w:tplc="71B00436">
      <w:start w:val="1"/>
      <w:numFmt w:val="bullet"/>
      <w:lvlText w:val=""/>
      <w:lvlJc w:val="left"/>
      <w:pPr>
        <w:tabs>
          <w:tab w:val="num" w:pos="720"/>
        </w:tabs>
        <w:ind w:left="720" w:hanging="360"/>
      </w:pPr>
      <w:rPr>
        <w:rFonts w:ascii="Symbol" w:hAnsi="Symbol"/>
      </w:rPr>
    </w:lvl>
    <w:lvl w:ilvl="1" w:tplc="D090D516">
      <w:start w:val="1"/>
      <w:numFmt w:val="bullet"/>
      <w:lvlText w:val="o"/>
      <w:lvlJc w:val="left"/>
      <w:pPr>
        <w:tabs>
          <w:tab w:val="num" w:pos="1440"/>
        </w:tabs>
        <w:ind w:left="1440" w:hanging="360"/>
      </w:pPr>
      <w:rPr>
        <w:rFonts w:ascii="Courier New" w:hAnsi="Courier New"/>
      </w:rPr>
    </w:lvl>
    <w:lvl w:ilvl="2" w:tplc="49ACC03C">
      <w:start w:val="1"/>
      <w:numFmt w:val="bullet"/>
      <w:lvlText w:val=""/>
      <w:lvlJc w:val="left"/>
      <w:pPr>
        <w:tabs>
          <w:tab w:val="num" w:pos="2160"/>
        </w:tabs>
        <w:ind w:left="2160" w:hanging="360"/>
      </w:pPr>
      <w:rPr>
        <w:rFonts w:ascii="Wingdings" w:hAnsi="Wingdings"/>
      </w:rPr>
    </w:lvl>
    <w:lvl w:ilvl="3" w:tplc="4AF87D78">
      <w:start w:val="1"/>
      <w:numFmt w:val="bullet"/>
      <w:lvlText w:val=""/>
      <w:lvlJc w:val="left"/>
      <w:pPr>
        <w:tabs>
          <w:tab w:val="num" w:pos="2880"/>
        </w:tabs>
        <w:ind w:left="2880" w:hanging="360"/>
      </w:pPr>
      <w:rPr>
        <w:rFonts w:ascii="Symbol" w:hAnsi="Symbol"/>
      </w:rPr>
    </w:lvl>
    <w:lvl w:ilvl="4" w:tplc="EC226C98">
      <w:start w:val="1"/>
      <w:numFmt w:val="bullet"/>
      <w:lvlText w:val="o"/>
      <w:lvlJc w:val="left"/>
      <w:pPr>
        <w:tabs>
          <w:tab w:val="num" w:pos="3600"/>
        </w:tabs>
        <w:ind w:left="3600" w:hanging="360"/>
      </w:pPr>
      <w:rPr>
        <w:rFonts w:ascii="Courier New" w:hAnsi="Courier New"/>
      </w:rPr>
    </w:lvl>
    <w:lvl w:ilvl="5" w:tplc="A32E83EE">
      <w:start w:val="1"/>
      <w:numFmt w:val="bullet"/>
      <w:lvlText w:val=""/>
      <w:lvlJc w:val="left"/>
      <w:pPr>
        <w:tabs>
          <w:tab w:val="num" w:pos="4320"/>
        </w:tabs>
        <w:ind w:left="4320" w:hanging="360"/>
      </w:pPr>
      <w:rPr>
        <w:rFonts w:ascii="Wingdings" w:hAnsi="Wingdings"/>
      </w:rPr>
    </w:lvl>
    <w:lvl w:ilvl="6" w:tplc="B1022AC8">
      <w:start w:val="1"/>
      <w:numFmt w:val="bullet"/>
      <w:lvlText w:val=""/>
      <w:lvlJc w:val="left"/>
      <w:pPr>
        <w:tabs>
          <w:tab w:val="num" w:pos="5040"/>
        </w:tabs>
        <w:ind w:left="5040" w:hanging="360"/>
      </w:pPr>
      <w:rPr>
        <w:rFonts w:ascii="Symbol" w:hAnsi="Symbol"/>
      </w:rPr>
    </w:lvl>
    <w:lvl w:ilvl="7" w:tplc="9CBA31C4">
      <w:start w:val="1"/>
      <w:numFmt w:val="bullet"/>
      <w:lvlText w:val="o"/>
      <w:lvlJc w:val="left"/>
      <w:pPr>
        <w:tabs>
          <w:tab w:val="num" w:pos="5760"/>
        </w:tabs>
        <w:ind w:left="5760" w:hanging="360"/>
      </w:pPr>
      <w:rPr>
        <w:rFonts w:ascii="Courier New" w:hAnsi="Courier New"/>
      </w:rPr>
    </w:lvl>
    <w:lvl w:ilvl="8" w:tplc="BD8EA1C2">
      <w:start w:val="1"/>
      <w:numFmt w:val="bullet"/>
      <w:lvlText w:val=""/>
      <w:lvlJc w:val="left"/>
      <w:pPr>
        <w:tabs>
          <w:tab w:val="num" w:pos="6480"/>
        </w:tabs>
        <w:ind w:left="6480" w:hanging="360"/>
      </w:pPr>
      <w:rPr>
        <w:rFonts w:ascii="Wingdings" w:hAnsi="Wingdings"/>
      </w:rPr>
    </w:lvl>
  </w:abstractNum>
  <w:abstractNum w:abstractNumId="29" w15:restartNumberingAfterBreak="0">
    <w:nsid w:val="7DF627CF"/>
    <w:multiLevelType w:val="hybridMultilevel"/>
    <w:tmpl w:val="7DF627CF"/>
    <w:lvl w:ilvl="0" w:tplc="C9147CD0">
      <w:start w:val="1"/>
      <w:numFmt w:val="bullet"/>
      <w:lvlText w:val=""/>
      <w:lvlJc w:val="left"/>
      <w:pPr>
        <w:tabs>
          <w:tab w:val="num" w:pos="720"/>
        </w:tabs>
        <w:ind w:left="720" w:hanging="360"/>
      </w:pPr>
      <w:rPr>
        <w:rFonts w:ascii="Symbol" w:hAnsi="Symbol"/>
      </w:rPr>
    </w:lvl>
    <w:lvl w:ilvl="1" w:tplc="B704A0AC">
      <w:start w:val="1"/>
      <w:numFmt w:val="bullet"/>
      <w:lvlText w:val="o"/>
      <w:lvlJc w:val="left"/>
      <w:pPr>
        <w:tabs>
          <w:tab w:val="num" w:pos="1440"/>
        </w:tabs>
        <w:ind w:left="1440" w:hanging="360"/>
      </w:pPr>
      <w:rPr>
        <w:rFonts w:ascii="Courier New" w:hAnsi="Courier New"/>
      </w:rPr>
    </w:lvl>
    <w:lvl w:ilvl="2" w:tplc="50CAEE9A">
      <w:start w:val="1"/>
      <w:numFmt w:val="bullet"/>
      <w:lvlText w:val=""/>
      <w:lvlJc w:val="left"/>
      <w:pPr>
        <w:tabs>
          <w:tab w:val="num" w:pos="2160"/>
        </w:tabs>
        <w:ind w:left="2160" w:hanging="360"/>
      </w:pPr>
      <w:rPr>
        <w:rFonts w:ascii="Wingdings" w:hAnsi="Wingdings"/>
      </w:rPr>
    </w:lvl>
    <w:lvl w:ilvl="3" w:tplc="2C0403AA">
      <w:start w:val="1"/>
      <w:numFmt w:val="bullet"/>
      <w:lvlText w:val=""/>
      <w:lvlJc w:val="left"/>
      <w:pPr>
        <w:tabs>
          <w:tab w:val="num" w:pos="2880"/>
        </w:tabs>
        <w:ind w:left="2880" w:hanging="360"/>
      </w:pPr>
      <w:rPr>
        <w:rFonts w:ascii="Symbol" w:hAnsi="Symbol"/>
      </w:rPr>
    </w:lvl>
    <w:lvl w:ilvl="4" w:tplc="114C0726">
      <w:start w:val="1"/>
      <w:numFmt w:val="bullet"/>
      <w:lvlText w:val="o"/>
      <w:lvlJc w:val="left"/>
      <w:pPr>
        <w:tabs>
          <w:tab w:val="num" w:pos="3600"/>
        </w:tabs>
        <w:ind w:left="3600" w:hanging="360"/>
      </w:pPr>
      <w:rPr>
        <w:rFonts w:ascii="Courier New" w:hAnsi="Courier New"/>
      </w:rPr>
    </w:lvl>
    <w:lvl w:ilvl="5" w:tplc="99A28A8E">
      <w:start w:val="1"/>
      <w:numFmt w:val="bullet"/>
      <w:lvlText w:val=""/>
      <w:lvlJc w:val="left"/>
      <w:pPr>
        <w:tabs>
          <w:tab w:val="num" w:pos="4320"/>
        </w:tabs>
        <w:ind w:left="4320" w:hanging="360"/>
      </w:pPr>
      <w:rPr>
        <w:rFonts w:ascii="Wingdings" w:hAnsi="Wingdings"/>
      </w:rPr>
    </w:lvl>
    <w:lvl w:ilvl="6" w:tplc="DBA60768">
      <w:start w:val="1"/>
      <w:numFmt w:val="bullet"/>
      <w:lvlText w:val=""/>
      <w:lvlJc w:val="left"/>
      <w:pPr>
        <w:tabs>
          <w:tab w:val="num" w:pos="5040"/>
        </w:tabs>
        <w:ind w:left="5040" w:hanging="360"/>
      </w:pPr>
      <w:rPr>
        <w:rFonts w:ascii="Symbol" w:hAnsi="Symbol"/>
      </w:rPr>
    </w:lvl>
    <w:lvl w:ilvl="7" w:tplc="6B88D76C">
      <w:start w:val="1"/>
      <w:numFmt w:val="bullet"/>
      <w:lvlText w:val="o"/>
      <w:lvlJc w:val="left"/>
      <w:pPr>
        <w:tabs>
          <w:tab w:val="num" w:pos="5760"/>
        </w:tabs>
        <w:ind w:left="5760" w:hanging="360"/>
      </w:pPr>
      <w:rPr>
        <w:rFonts w:ascii="Courier New" w:hAnsi="Courier New"/>
      </w:rPr>
    </w:lvl>
    <w:lvl w:ilvl="8" w:tplc="D6CAC530">
      <w:start w:val="1"/>
      <w:numFmt w:val="bullet"/>
      <w:lvlText w:val=""/>
      <w:lvlJc w:val="left"/>
      <w:pPr>
        <w:tabs>
          <w:tab w:val="num" w:pos="6480"/>
        </w:tabs>
        <w:ind w:left="6480" w:hanging="360"/>
      </w:pPr>
      <w:rPr>
        <w:rFonts w:ascii="Wingdings" w:hAnsi="Wingdings"/>
      </w:rPr>
    </w:lvl>
  </w:abstractNum>
  <w:abstractNum w:abstractNumId="30" w15:restartNumberingAfterBreak="0">
    <w:nsid w:val="7DF627D0"/>
    <w:multiLevelType w:val="multilevel"/>
    <w:tmpl w:val="7DF627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DF627D1"/>
    <w:multiLevelType w:val="multilevel"/>
    <w:tmpl w:val="7DF627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DF627D2"/>
    <w:multiLevelType w:val="hybridMultilevel"/>
    <w:tmpl w:val="7DF627D2"/>
    <w:lvl w:ilvl="0" w:tplc="0F08F764">
      <w:start w:val="1"/>
      <w:numFmt w:val="bullet"/>
      <w:lvlText w:val=""/>
      <w:lvlJc w:val="left"/>
      <w:pPr>
        <w:tabs>
          <w:tab w:val="num" w:pos="720"/>
        </w:tabs>
        <w:ind w:left="720" w:hanging="360"/>
      </w:pPr>
      <w:rPr>
        <w:rFonts w:ascii="Symbol" w:hAnsi="Symbol"/>
      </w:rPr>
    </w:lvl>
    <w:lvl w:ilvl="1" w:tplc="5CAA4B92">
      <w:start w:val="1"/>
      <w:numFmt w:val="bullet"/>
      <w:lvlText w:val="o"/>
      <w:lvlJc w:val="left"/>
      <w:pPr>
        <w:tabs>
          <w:tab w:val="num" w:pos="1440"/>
        </w:tabs>
        <w:ind w:left="1440" w:hanging="360"/>
      </w:pPr>
      <w:rPr>
        <w:rFonts w:ascii="Courier New" w:hAnsi="Courier New"/>
      </w:rPr>
    </w:lvl>
    <w:lvl w:ilvl="2" w:tplc="A81CB2AA">
      <w:start w:val="1"/>
      <w:numFmt w:val="bullet"/>
      <w:lvlText w:val=""/>
      <w:lvlJc w:val="left"/>
      <w:pPr>
        <w:tabs>
          <w:tab w:val="num" w:pos="2160"/>
        </w:tabs>
        <w:ind w:left="2160" w:hanging="360"/>
      </w:pPr>
      <w:rPr>
        <w:rFonts w:ascii="Wingdings" w:hAnsi="Wingdings"/>
      </w:rPr>
    </w:lvl>
    <w:lvl w:ilvl="3" w:tplc="C1881620">
      <w:start w:val="1"/>
      <w:numFmt w:val="bullet"/>
      <w:lvlText w:val=""/>
      <w:lvlJc w:val="left"/>
      <w:pPr>
        <w:tabs>
          <w:tab w:val="num" w:pos="2880"/>
        </w:tabs>
        <w:ind w:left="2880" w:hanging="360"/>
      </w:pPr>
      <w:rPr>
        <w:rFonts w:ascii="Symbol" w:hAnsi="Symbol"/>
      </w:rPr>
    </w:lvl>
    <w:lvl w:ilvl="4" w:tplc="2C88BD32">
      <w:start w:val="1"/>
      <w:numFmt w:val="bullet"/>
      <w:lvlText w:val="o"/>
      <w:lvlJc w:val="left"/>
      <w:pPr>
        <w:tabs>
          <w:tab w:val="num" w:pos="3600"/>
        </w:tabs>
        <w:ind w:left="3600" w:hanging="360"/>
      </w:pPr>
      <w:rPr>
        <w:rFonts w:ascii="Courier New" w:hAnsi="Courier New"/>
      </w:rPr>
    </w:lvl>
    <w:lvl w:ilvl="5" w:tplc="A770F90C">
      <w:start w:val="1"/>
      <w:numFmt w:val="bullet"/>
      <w:lvlText w:val=""/>
      <w:lvlJc w:val="left"/>
      <w:pPr>
        <w:tabs>
          <w:tab w:val="num" w:pos="4320"/>
        </w:tabs>
        <w:ind w:left="4320" w:hanging="360"/>
      </w:pPr>
      <w:rPr>
        <w:rFonts w:ascii="Wingdings" w:hAnsi="Wingdings"/>
      </w:rPr>
    </w:lvl>
    <w:lvl w:ilvl="6" w:tplc="05CA947C">
      <w:start w:val="1"/>
      <w:numFmt w:val="bullet"/>
      <w:lvlText w:val=""/>
      <w:lvlJc w:val="left"/>
      <w:pPr>
        <w:tabs>
          <w:tab w:val="num" w:pos="5040"/>
        </w:tabs>
        <w:ind w:left="5040" w:hanging="360"/>
      </w:pPr>
      <w:rPr>
        <w:rFonts w:ascii="Symbol" w:hAnsi="Symbol"/>
      </w:rPr>
    </w:lvl>
    <w:lvl w:ilvl="7" w:tplc="EA16E762">
      <w:start w:val="1"/>
      <w:numFmt w:val="bullet"/>
      <w:lvlText w:val="o"/>
      <w:lvlJc w:val="left"/>
      <w:pPr>
        <w:tabs>
          <w:tab w:val="num" w:pos="5760"/>
        </w:tabs>
        <w:ind w:left="5760" w:hanging="360"/>
      </w:pPr>
      <w:rPr>
        <w:rFonts w:ascii="Courier New" w:hAnsi="Courier New"/>
      </w:rPr>
    </w:lvl>
    <w:lvl w:ilvl="8" w:tplc="1E146DAA">
      <w:start w:val="1"/>
      <w:numFmt w:val="bullet"/>
      <w:lvlText w:val=""/>
      <w:lvlJc w:val="left"/>
      <w:pPr>
        <w:tabs>
          <w:tab w:val="num" w:pos="6480"/>
        </w:tabs>
        <w:ind w:left="6480" w:hanging="360"/>
      </w:pPr>
      <w:rPr>
        <w:rFonts w:ascii="Wingdings" w:hAnsi="Wingdings"/>
      </w:rPr>
    </w:lvl>
  </w:abstractNum>
  <w:abstractNum w:abstractNumId="33" w15:restartNumberingAfterBreak="0">
    <w:nsid w:val="7DF627D3"/>
    <w:multiLevelType w:val="multilevel"/>
    <w:tmpl w:val="7DF627D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DF627D4"/>
    <w:multiLevelType w:val="hybridMultilevel"/>
    <w:tmpl w:val="7DF627D4"/>
    <w:lvl w:ilvl="0" w:tplc="D432FAF6">
      <w:start w:val="1"/>
      <w:numFmt w:val="bullet"/>
      <w:lvlText w:val=""/>
      <w:lvlJc w:val="left"/>
      <w:pPr>
        <w:tabs>
          <w:tab w:val="num" w:pos="720"/>
        </w:tabs>
        <w:ind w:left="720" w:hanging="360"/>
      </w:pPr>
      <w:rPr>
        <w:rFonts w:ascii="Symbol" w:hAnsi="Symbol"/>
      </w:rPr>
    </w:lvl>
    <w:lvl w:ilvl="1" w:tplc="3190A710">
      <w:start w:val="1"/>
      <w:numFmt w:val="bullet"/>
      <w:lvlText w:val="o"/>
      <w:lvlJc w:val="left"/>
      <w:pPr>
        <w:tabs>
          <w:tab w:val="num" w:pos="1440"/>
        </w:tabs>
        <w:ind w:left="1440" w:hanging="360"/>
      </w:pPr>
      <w:rPr>
        <w:rFonts w:ascii="Courier New" w:hAnsi="Courier New"/>
      </w:rPr>
    </w:lvl>
    <w:lvl w:ilvl="2" w:tplc="ABECF990">
      <w:start w:val="1"/>
      <w:numFmt w:val="bullet"/>
      <w:lvlText w:val=""/>
      <w:lvlJc w:val="left"/>
      <w:pPr>
        <w:tabs>
          <w:tab w:val="num" w:pos="2160"/>
        </w:tabs>
        <w:ind w:left="2160" w:hanging="360"/>
      </w:pPr>
      <w:rPr>
        <w:rFonts w:ascii="Wingdings" w:hAnsi="Wingdings"/>
      </w:rPr>
    </w:lvl>
    <w:lvl w:ilvl="3" w:tplc="8C620A42">
      <w:start w:val="1"/>
      <w:numFmt w:val="bullet"/>
      <w:lvlText w:val=""/>
      <w:lvlJc w:val="left"/>
      <w:pPr>
        <w:tabs>
          <w:tab w:val="num" w:pos="2880"/>
        </w:tabs>
        <w:ind w:left="2880" w:hanging="360"/>
      </w:pPr>
      <w:rPr>
        <w:rFonts w:ascii="Symbol" w:hAnsi="Symbol"/>
      </w:rPr>
    </w:lvl>
    <w:lvl w:ilvl="4" w:tplc="EA22B0FA">
      <w:start w:val="1"/>
      <w:numFmt w:val="bullet"/>
      <w:lvlText w:val="o"/>
      <w:lvlJc w:val="left"/>
      <w:pPr>
        <w:tabs>
          <w:tab w:val="num" w:pos="3600"/>
        </w:tabs>
        <w:ind w:left="3600" w:hanging="360"/>
      </w:pPr>
      <w:rPr>
        <w:rFonts w:ascii="Courier New" w:hAnsi="Courier New"/>
      </w:rPr>
    </w:lvl>
    <w:lvl w:ilvl="5" w:tplc="02803DBE">
      <w:start w:val="1"/>
      <w:numFmt w:val="bullet"/>
      <w:lvlText w:val=""/>
      <w:lvlJc w:val="left"/>
      <w:pPr>
        <w:tabs>
          <w:tab w:val="num" w:pos="4320"/>
        </w:tabs>
        <w:ind w:left="4320" w:hanging="360"/>
      </w:pPr>
      <w:rPr>
        <w:rFonts w:ascii="Wingdings" w:hAnsi="Wingdings"/>
      </w:rPr>
    </w:lvl>
    <w:lvl w:ilvl="6" w:tplc="134A4E08">
      <w:start w:val="1"/>
      <w:numFmt w:val="bullet"/>
      <w:lvlText w:val=""/>
      <w:lvlJc w:val="left"/>
      <w:pPr>
        <w:tabs>
          <w:tab w:val="num" w:pos="5040"/>
        </w:tabs>
        <w:ind w:left="5040" w:hanging="360"/>
      </w:pPr>
      <w:rPr>
        <w:rFonts w:ascii="Symbol" w:hAnsi="Symbol"/>
      </w:rPr>
    </w:lvl>
    <w:lvl w:ilvl="7" w:tplc="141CB920">
      <w:start w:val="1"/>
      <w:numFmt w:val="bullet"/>
      <w:lvlText w:val="o"/>
      <w:lvlJc w:val="left"/>
      <w:pPr>
        <w:tabs>
          <w:tab w:val="num" w:pos="5760"/>
        </w:tabs>
        <w:ind w:left="5760" w:hanging="360"/>
      </w:pPr>
      <w:rPr>
        <w:rFonts w:ascii="Courier New" w:hAnsi="Courier New"/>
      </w:rPr>
    </w:lvl>
    <w:lvl w:ilvl="8" w:tplc="79681084">
      <w:start w:val="1"/>
      <w:numFmt w:val="bullet"/>
      <w:lvlText w:val=""/>
      <w:lvlJc w:val="left"/>
      <w:pPr>
        <w:tabs>
          <w:tab w:val="num" w:pos="6480"/>
        </w:tabs>
        <w:ind w:left="6480" w:hanging="360"/>
      </w:pPr>
      <w:rPr>
        <w:rFonts w:ascii="Wingdings" w:hAnsi="Wingdings"/>
      </w:rPr>
    </w:lvl>
  </w:abstractNum>
  <w:abstractNum w:abstractNumId="35" w15:restartNumberingAfterBreak="0">
    <w:nsid w:val="7DF627D5"/>
    <w:multiLevelType w:val="multilevel"/>
    <w:tmpl w:val="7DF627D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DF627D7"/>
    <w:multiLevelType w:val="multilevel"/>
    <w:tmpl w:val="7DF627D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F627D9"/>
    <w:multiLevelType w:val="hybridMultilevel"/>
    <w:tmpl w:val="7DF627D9"/>
    <w:lvl w:ilvl="0" w:tplc="58623BF0">
      <w:start w:val="1"/>
      <w:numFmt w:val="bullet"/>
      <w:lvlText w:val=""/>
      <w:lvlJc w:val="left"/>
      <w:pPr>
        <w:tabs>
          <w:tab w:val="num" w:pos="720"/>
        </w:tabs>
        <w:ind w:left="720" w:hanging="360"/>
      </w:pPr>
      <w:rPr>
        <w:rFonts w:ascii="Symbol" w:hAnsi="Symbol"/>
      </w:rPr>
    </w:lvl>
    <w:lvl w:ilvl="1" w:tplc="E1AE50D4">
      <w:start w:val="1"/>
      <w:numFmt w:val="bullet"/>
      <w:lvlText w:val="o"/>
      <w:lvlJc w:val="left"/>
      <w:pPr>
        <w:tabs>
          <w:tab w:val="num" w:pos="1440"/>
        </w:tabs>
        <w:ind w:left="1440" w:hanging="360"/>
      </w:pPr>
      <w:rPr>
        <w:rFonts w:ascii="Courier New" w:hAnsi="Courier New"/>
      </w:rPr>
    </w:lvl>
    <w:lvl w:ilvl="2" w:tplc="3CB08E88">
      <w:start w:val="1"/>
      <w:numFmt w:val="bullet"/>
      <w:lvlText w:val=""/>
      <w:lvlJc w:val="left"/>
      <w:pPr>
        <w:tabs>
          <w:tab w:val="num" w:pos="2160"/>
        </w:tabs>
        <w:ind w:left="2160" w:hanging="360"/>
      </w:pPr>
      <w:rPr>
        <w:rFonts w:ascii="Wingdings" w:hAnsi="Wingdings"/>
      </w:rPr>
    </w:lvl>
    <w:lvl w:ilvl="3" w:tplc="6108F570">
      <w:start w:val="1"/>
      <w:numFmt w:val="bullet"/>
      <w:lvlText w:val=""/>
      <w:lvlJc w:val="left"/>
      <w:pPr>
        <w:tabs>
          <w:tab w:val="num" w:pos="2880"/>
        </w:tabs>
        <w:ind w:left="2880" w:hanging="360"/>
      </w:pPr>
      <w:rPr>
        <w:rFonts w:ascii="Symbol" w:hAnsi="Symbol"/>
      </w:rPr>
    </w:lvl>
    <w:lvl w:ilvl="4" w:tplc="57003740">
      <w:start w:val="1"/>
      <w:numFmt w:val="bullet"/>
      <w:lvlText w:val="o"/>
      <w:lvlJc w:val="left"/>
      <w:pPr>
        <w:tabs>
          <w:tab w:val="num" w:pos="3600"/>
        </w:tabs>
        <w:ind w:left="3600" w:hanging="360"/>
      </w:pPr>
      <w:rPr>
        <w:rFonts w:ascii="Courier New" w:hAnsi="Courier New"/>
      </w:rPr>
    </w:lvl>
    <w:lvl w:ilvl="5" w:tplc="1754704C">
      <w:start w:val="1"/>
      <w:numFmt w:val="bullet"/>
      <w:lvlText w:val=""/>
      <w:lvlJc w:val="left"/>
      <w:pPr>
        <w:tabs>
          <w:tab w:val="num" w:pos="4320"/>
        </w:tabs>
        <w:ind w:left="4320" w:hanging="360"/>
      </w:pPr>
      <w:rPr>
        <w:rFonts w:ascii="Wingdings" w:hAnsi="Wingdings"/>
      </w:rPr>
    </w:lvl>
    <w:lvl w:ilvl="6" w:tplc="97AAE4FA">
      <w:start w:val="1"/>
      <w:numFmt w:val="bullet"/>
      <w:lvlText w:val=""/>
      <w:lvlJc w:val="left"/>
      <w:pPr>
        <w:tabs>
          <w:tab w:val="num" w:pos="5040"/>
        </w:tabs>
        <w:ind w:left="5040" w:hanging="360"/>
      </w:pPr>
      <w:rPr>
        <w:rFonts w:ascii="Symbol" w:hAnsi="Symbol"/>
      </w:rPr>
    </w:lvl>
    <w:lvl w:ilvl="7" w:tplc="F266EBE2">
      <w:start w:val="1"/>
      <w:numFmt w:val="bullet"/>
      <w:lvlText w:val="o"/>
      <w:lvlJc w:val="left"/>
      <w:pPr>
        <w:tabs>
          <w:tab w:val="num" w:pos="5760"/>
        </w:tabs>
        <w:ind w:left="5760" w:hanging="360"/>
      </w:pPr>
      <w:rPr>
        <w:rFonts w:ascii="Courier New" w:hAnsi="Courier New"/>
      </w:rPr>
    </w:lvl>
    <w:lvl w:ilvl="8" w:tplc="D076BCBE">
      <w:start w:val="1"/>
      <w:numFmt w:val="bullet"/>
      <w:lvlText w:val=""/>
      <w:lvlJc w:val="left"/>
      <w:pPr>
        <w:tabs>
          <w:tab w:val="num" w:pos="6480"/>
        </w:tabs>
        <w:ind w:left="6480" w:hanging="360"/>
      </w:pPr>
      <w:rPr>
        <w:rFonts w:ascii="Wingdings" w:hAnsi="Wingdings"/>
      </w:rPr>
    </w:lvl>
  </w:abstractNum>
  <w:abstractNum w:abstractNumId="38" w15:restartNumberingAfterBreak="0">
    <w:nsid w:val="7DF627DA"/>
    <w:multiLevelType w:val="hybridMultilevel"/>
    <w:tmpl w:val="7DF627DA"/>
    <w:lvl w:ilvl="0" w:tplc="311093F8">
      <w:start w:val="1"/>
      <w:numFmt w:val="bullet"/>
      <w:lvlText w:val=""/>
      <w:lvlJc w:val="left"/>
      <w:pPr>
        <w:tabs>
          <w:tab w:val="num" w:pos="720"/>
        </w:tabs>
        <w:ind w:left="720" w:hanging="360"/>
      </w:pPr>
      <w:rPr>
        <w:rFonts w:ascii="Symbol" w:hAnsi="Symbol"/>
      </w:rPr>
    </w:lvl>
    <w:lvl w:ilvl="1" w:tplc="2ADC8F86">
      <w:start w:val="1"/>
      <w:numFmt w:val="bullet"/>
      <w:lvlText w:val="o"/>
      <w:lvlJc w:val="left"/>
      <w:pPr>
        <w:tabs>
          <w:tab w:val="num" w:pos="1440"/>
        </w:tabs>
        <w:ind w:left="1440" w:hanging="360"/>
      </w:pPr>
      <w:rPr>
        <w:rFonts w:ascii="Courier New" w:hAnsi="Courier New"/>
      </w:rPr>
    </w:lvl>
    <w:lvl w:ilvl="2" w:tplc="8B06079C">
      <w:start w:val="1"/>
      <w:numFmt w:val="bullet"/>
      <w:lvlText w:val=""/>
      <w:lvlJc w:val="left"/>
      <w:pPr>
        <w:tabs>
          <w:tab w:val="num" w:pos="2160"/>
        </w:tabs>
        <w:ind w:left="2160" w:hanging="360"/>
      </w:pPr>
      <w:rPr>
        <w:rFonts w:ascii="Wingdings" w:hAnsi="Wingdings"/>
      </w:rPr>
    </w:lvl>
    <w:lvl w:ilvl="3" w:tplc="5282975C">
      <w:start w:val="1"/>
      <w:numFmt w:val="bullet"/>
      <w:lvlText w:val=""/>
      <w:lvlJc w:val="left"/>
      <w:pPr>
        <w:tabs>
          <w:tab w:val="num" w:pos="2880"/>
        </w:tabs>
        <w:ind w:left="2880" w:hanging="360"/>
      </w:pPr>
      <w:rPr>
        <w:rFonts w:ascii="Symbol" w:hAnsi="Symbol"/>
      </w:rPr>
    </w:lvl>
    <w:lvl w:ilvl="4" w:tplc="41F8302E">
      <w:start w:val="1"/>
      <w:numFmt w:val="bullet"/>
      <w:lvlText w:val="o"/>
      <w:lvlJc w:val="left"/>
      <w:pPr>
        <w:tabs>
          <w:tab w:val="num" w:pos="3600"/>
        </w:tabs>
        <w:ind w:left="3600" w:hanging="360"/>
      </w:pPr>
      <w:rPr>
        <w:rFonts w:ascii="Courier New" w:hAnsi="Courier New"/>
      </w:rPr>
    </w:lvl>
    <w:lvl w:ilvl="5" w:tplc="AC54965C">
      <w:start w:val="1"/>
      <w:numFmt w:val="bullet"/>
      <w:lvlText w:val=""/>
      <w:lvlJc w:val="left"/>
      <w:pPr>
        <w:tabs>
          <w:tab w:val="num" w:pos="4320"/>
        </w:tabs>
        <w:ind w:left="4320" w:hanging="360"/>
      </w:pPr>
      <w:rPr>
        <w:rFonts w:ascii="Wingdings" w:hAnsi="Wingdings"/>
      </w:rPr>
    </w:lvl>
    <w:lvl w:ilvl="6" w:tplc="C7DCDD9C">
      <w:start w:val="1"/>
      <w:numFmt w:val="bullet"/>
      <w:lvlText w:val=""/>
      <w:lvlJc w:val="left"/>
      <w:pPr>
        <w:tabs>
          <w:tab w:val="num" w:pos="5040"/>
        </w:tabs>
        <w:ind w:left="5040" w:hanging="360"/>
      </w:pPr>
      <w:rPr>
        <w:rFonts w:ascii="Symbol" w:hAnsi="Symbol"/>
      </w:rPr>
    </w:lvl>
    <w:lvl w:ilvl="7" w:tplc="2342F024">
      <w:start w:val="1"/>
      <w:numFmt w:val="bullet"/>
      <w:lvlText w:val="o"/>
      <w:lvlJc w:val="left"/>
      <w:pPr>
        <w:tabs>
          <w:tab w:val="num" w:pos="5760"/>
        </w:tabs>
        <w:ind w:left="5760" w:hanging="360"/>
      </w:pPr>
      <w:rPr>
        <w:rFonts w:ascii="Courier New" w:hAnsi="Courier New"/>
      </w:rPr>
    </w:lvl>
    <w:lvl w:ilvl="8" w:tplc="5C54753E">
      <w:start w:val="1"/>
      <w:numFmt w:val="bullet"/>
      <w:lvlText w:val=""/>
      <w:lvlJc w:val="left"/>
      <w:pPr>
        <w:tabs>
          <w:tab w:val="num" w:pos="6480"/>
        </w:tabs>
        <w:ind w:left="6480" w:hanging="360"/>
      </w:pPr>
      <w:rPr>
        <w:rFonts w:ascii="Wingdings" w:hAnsi="Wingdings"/>
      </w:rPr>
    </w:lvl>
  </w:abstractNum>
  <w:abstractNum w:abstractNumId="39" w15:restartNumberingAfterBreak="0">
    <w:nsid w:val="7DF627DB"/>
    <w:multiLevelType w:val="multilevel"/>
    <w:tmpl w:val="7DF627D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DF627DC"/>
    <w:multiLevelType w:val="multilevel"/>
    <w:tmpl w:val="7DF62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F627DD"/>
    <w:multiLevelType w:val="multilevel"/>
    <w:tmpl w:val="7DF627D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DF627DE"/>
    <w:multiLevelType w:val="hybridMultilevel"/>
    <w:tmpl w:val="7DF627DE"/>
    <w:lvl w:ilvl="0" w:tplc="AE8CAE9E">
      <w:start w:val="1"/>
      <w:numFmt w:val="bullet"/>
      <w:lvlText w:val=""/>
      <w:lvlJc w:val="left"/>
      <w:pPr>
        <w:tabs>
          <w:tab w:val="num" w:pos="720"/>
        </w:tabs>
        <w:ind w:left="720" w:hanging="360"/>
      </w:pPr>
      <w:rPr>
        <w:rFonts w:ascii="Symbol" w:hAnsi="Symbol"/>
      </w:rPr>
    </w:lvl>
    <w:lvl w:ilvl="1" w:tplc="54BE68E8">
      <w:start w:val="1"/>
      <w:numFmt w:val="bullet"/>
      <w:lvlText w:val="o"/>
      <w:lvlJc w:val="left"/>
      <w:pPr>
        <w:tabs>
          <w:tab w:val="num" w:pos="1440"/>
        </w:tabs>
        <w:ind w:left="1440" w:hanging="360"/>
      </w:pPr>
      <w:rPr>
        <w:rFonts w:ascii="Courier New" w:hAnsi="Courier New"/>
      </w:rPr>
    </w:lvl>
    <w:lvl w:ilvl="2" w:tplc="135AE98C">
      <w:start w:val="1"/>
      <w:numFmt w:val="bullet"/>
      <w:lvlText w:val=""/>
      <w:lvlJc w:val="left"/>
      <w:pPr>
        <w:tabs>
          <w:tab w:val="num" w:pos="2160"/>
        </w:tabs>
        <w:ind w:left="2160" w:hanging="360"/>
      </w:pPr>
      <w:rPr>
        <w:rFonts w:ascii="Wingdings" w:hAnsi="Wingdings"/>
      </w:rPr>
    </w:lvl>
    <w:lvl w:ilvl="3" w:tplc="3432ADF4">
      <w:start w:val="1"/>
      <w:numFmt w:val="bullet"/>
      <w:lvlText w:val=""/>
      <w:lvlJc w:val="left"/>
      <w:pPr>
        <w:tabs>
          <w:tab w:val="num" w:pos="2880"/>
        </w:tabs>
        <w:ind w:left="2880" w:hanging="360"/>
      </w:pPr>
      <w:rPr>
        <w:rFonts w:ascii="Symbol" w:hAnsi="Symbol"/>
      </w:rPr>
    </w:lvl>
    <w:lvl w:ilvl="4" w:tplc="1638EBA6">
      <w:start w:val="1"/>
      <w:numFmt w:val="bullet"/>
      <w:lvlText w:val="o"/>
      <w:lvlJc w:val="left"/>
      <w:pPr>
        <w:tabs>
          <w:tab w:val="num" w:pos="3600"/>
        </w:tabs>
        <w:ind w:left="3600" w:hanging="360"/>
      </w:pPr>
      <w:rPr>
        <w:rFonts w:ascii="Courier New" w:hAnsi="Courier New"/>
      </w:rPr>
    </w:lvl>
    <w:lvl w:ilvl="5" w:tplc="CD689422">
      <w:start w:val="1"/>
      <w:numFmt w:val="bullet"/>
      <w:lvlText w:val=""/>
      <w:lvlJc w:val="left"/>
      <w:pPr>
        <w:tabs>
          <w:tab w:val="num" w:pos="4320"/>
        </w:tabs>
        <w:ind w:left="4320" w:hanging="360"/>
      </w:pPr>
      <w:rPr>
        <w:rFonts w:ascii="Wingdings" w:hAnsi="Wingdings"/>
      </w:rPr>
    </w:lvl>
    <w:lvl w:ilvl="6" w:tplc="665C6BCA">
      <w:start w:val="1"/>
      <w:numFmt w:val="bullet"/>
      <w:lvlText w:val=""/>
      <w:lvlJc w:val="left"/>
      <w:pPr>
        <w:tabs>
          <w:tab w:val="num" w:pos="5040"/>
        </w:tabs>
        <w:ind w:left="5040" w:hanging="360"/>
      </w:pPr>
      <w:rPr>
        <w:rFonts w:ascii="Symbol" w:hAnsi="Symbol"/>
      </w:rPr>
    </w:lvl>
    <w:lvl w:ilvl="7" w:tplc="A1A48BEC">
      <w:start w:val="1"/>
      <w:numFmt w:val="bullet"/>
      <w:lvlText w:val="o"/>
      <w:lvlJc w:val="left"/>
      <w:pPr>
        <w:tabs>
          <w:tab w:val="num" w:pos="5760"/>
        </w:tabs>
        <w:ind w:left="5760" w:hanging="360"/>
      </w:pPr>
      <w:rPr>
        <w:rFonts w:ascii="Courier New" w:hAnsi="Courier New"/>
      </w:rPr>
    </w:lvl>
    <w:lvl w:ilvl="8" w:tplc="6486DA84">
      <w:start w:val="1"/>
      <w:numFmt w:val="bullet"/>
      <w:lvlText w:val=""/>
      <w:lvlJc w:val="left"/>
      <w:pPr>
        <w:tabs>
          <w:tab w:val="num" w:pos="6480"/>
        </w:tabs>
        <w:ind w:left="6480" w:hanging="360"/>
      </w:pPr>
      <w:rPr>
        <w:rFonts w:ascii="Wingdings" w:hAnsi="Wingdings"/>
      </w:rPr>
    </w:lvl>
  </w:abstractNum>
  <w:abstractNum w:abstractNumId="43" w15:restartNumberingAfterBreak="0">
    <w:nsid w:val="7DF627E0"/>
    <w:multiLevelType w:val="hybridMultilevel"/>
    <w:tmpl w:val="7DF627E0"/>
    <w:lvl w:ilvl="0" w:tplc="DC3EDEB0">
      <w:start w:val="1"/>
      <w:numFmt w:val="bullet"/>
      <w:lvlText w:val=""/>
      <w:lvlJc w:val="left"/>
      <w:pPr>
        <w:tabs>
          <w:tab w:val="num" w:pos="720"/>
        </w:tabs>
        <w:ind w:left="720" w:hanging="360"/>
      </w:pPr>
      <w:rPr>
        <w:rFonts w:ascii="Symbol" w:hAnsi="Symbol"/>
      </w:rPr>
    </w:lvl>
    <w:lvl w:ilvl="1" w:tplc="8AA45A0A">
      <w:start w:val="1"/>
      <w:numFmt w:val="bullet"/>
      <w:lvlText w:val="o"/>
      <w:lvlJc w:val="left"/>
      <w:pPr>
        <w:tabs>
          <w:tab w:val="num" w:pos="1440"/>
        </w:tabs>
        <w:ind w:left="1440" w:hanging="360"/>
      </w:pPr>
      <w:rPr>
        <w:rFonts w:ascii="Courier New" w:hAnsi="Courier New"/>
      </w:rPr>
    </w:lvl>
    <w:lvl w:ilvl="2" w:tplc="AC2223C6">
      <w:start w:val="1"/>
      <w:numFmt w:val="bullet"/>
      <w:lvlText w:val=""/>
      <w:lvlJc w:val="left"/>
      <w:pPr>
        <w:tabs>
          <w:tab w:val="num" w:pos="2160"/>
        </w:tabs>
        <w:ind w:left="2160" w:hanging="360"/>
      </w:pPr>
      <w:rPr>
        <w:rFonts w:ascii="Wingdings" w:hAnsi="Wingdings"/>
      </w:rPr>
    </w:lvl>
    <w:lvl w:ilvl="3" w:tplc="CA1653B4">
      <w:start w:val="1"/>
      <w:numFmt w:val="bullet"/>
      <w:lvlText w:val=""/>
      <w:lvlJc w:val="left"/>
      <w:pPr>
        <w:tabs>
          <w:tab w:val="num" w:pos="2880"/>
        </w:tabs>
        <w:ind w:left="2880" w:hanging="360"/>
      </w:pPr>
      <w:rPr>
        <w:rFonts w:ascii="Symbol" w:hAnsi="Symbol"/>
      </w:rPr>
    </w:lvl>
    <w:lvl w:ilvl="4" w:tplc="793456E0">
      <w:start w:val="1"/>
      <w:numFmt w:val="bullet"/>
      <w:lvlText w:val="o"/>
      <w:lvlJc w:val="left"/>
      <w:pPr>
        <w:tabs>
          <w:tab w:val="num" w:pos="3600"/>
        </w:tabs>
        <w:ind w:left="3600" w:hanging="360"/>
      </w:pPr>
      <w:rPr>
        <w:rFonts w:ascii="Courier New" w:hAnsi="Courier New"/>
      </w:rPr>
    </w:lvl>
    <w:lvl w:ilvl="5" w:tplc="28DCDC4C">
      <w:start w:val="1"/>
      <w:numFmt w:val="bullet"/>
      <w:lvlText w:val=""/>
      <w:lvlJc w:val="left"/>
      <w:pPr>
        <w:tabs>
          <w:tab w:val="num" w:pos="4320"/>
        </w:tabs>
        <w:ind w:left="4320" w:hanging="360"/>
      </w:pPr>
      <w:rPr>
        <w:rFonts w:ascii="Wingdings" w:hAnsi="Wingdings"/>
      </w:rPr>
    </w:lvl>
    <w:lvl w:ilvl="6" w:tplc="D9A2CAB0">
      <w:start w:val="1"/>
      <w:numFmt w:val="bullet"/>
      <w:lvlText w:val=""/>
      <w:lvlJc w:val="left"/>
      <w:pPr>
        <w:tabs>
          <w:tab w:val="num" w:pos="5040"/>
        </w:tabs>
        <w:ind w:left="5040" w:hanging="360"/>
      </w:pPr>
      <w:rPr>
        <w:rFonts w:ascii="Symbol" w:hAnsi="Symbol"/>
      </w:rPr>
    </w:lvl>
    <w:lvl w:ilvl="7" w:tplc="61F68612">
      <w:start w:val="1"/>
      <w:numFmt w:val="bullet"/>
      <w:lvlText w:val="o"/>
      <w:lvlJc w:val="left"/>
      <w:pPr>
        <w:tabs>
          <w:tab w:val="num" w:pos="5760"/>
        </w:tabs>
        <w:ind w:left="5760" w:hanging="360"/>
      </w:pPr>
      <w:rPr>
        <w:rFonts w:ascii="Courier New" w:hAnsi="Courier New"/>
      </w:rPr>
    </w:lvl>
    <w:lvl w:ilvl="8" w:tplc="D8CEE8A6">
      <w:start w:val="1"/>
      <w:numFmt w:val="bullet"/>
      <w:lvlText w:val=""/>
      <w:lvlJc w:val="left"/>
      <w:pPr>
        <w:tabs>
          <w:tab w:val="num" w:pos="6480"/>
        </w:tabs>
        <w:ind w:left="6480" w:hanging="360"/>
      </w:pPr>
      <w:rPr>
        <w:rFonts w:ascii="Wingdings" w:hAnsi="Wingdings"/>
      </w:rPr>
    </w:lvl>
  </w:abstractNum>
  <w:abstractNum w:abstractNumId="44" w15:restartNumberingAfterBreak="0">
    <w:nsid w:val="7DF627E1"/>
    <w:multiLevelType w:val="hybridMultilevel"/>
    <w:tmpl w:val="7DF627E1"/>
    <w:lvl w:ilvl="0" w:tplc="85BE51B6">
      <w:start w:val="1"/>
      <w:numFmt w:val="bullet"/>
      <w:lvlText w:val=""/>
      <w:lvlJc w:val="left"/>
      <w:pPr>
        <w:tabs>
          <w:tab w:val="num" w:pos="720"/>
        </w:tabs>
        <w:ind w:left="720" w:hanging="360"/>
      </w:pPr>
      <w:rPr>
        <w:rFonts w:ascii="Symbol" w:hAnsi="Symbol"/>
      </w:rPr>
    </w:lvl>
    <w:lvl w:ilvl="1" w:tplc="3600FF8E">
      <w:start w:val="1"/>
      <w:numFmt w:val="bullet"/>
      <w:lvlText w:val="o"/>
      <w:lvlJc w:val="left"/>
      <w:pPr>
        <w:tabs>
          <w:tab w:val="num" w:pos="1440"/>
        </w:tabs>
        <w:ind w:left="1440" w:hanging="360"/>
      </w:pPr>
      <w:rPr>
        <w:rFonts w:ascii="Courier New" w:hAnsi="Courier New"/>
      </w:rPr>
    </w:lvl>
    <w:lvl w:ilvl="2" w:tplc="8E42093A">
      <w:start w:val="1"/>
      <w:numFmt w:val="bullet"/>
      <w:lvlText w:val=""/>
      <w:lvlJc w:val="left"/>
      <w:pPr>
        <w:tabs>
          <w:tab w:val="num" w:pos="2160"/>
        </w:tabs>
        <w:ind w:left="2160" w:hanging="360"/>
      </w:pPr>
      <w:rPr>
        <w:rFonts w:ascii="Wingdings" w:hAnsi="Wingdings"/>
      </w:rPr>
    </w:lvl>
    <w:lvl w:ilvl="3" w:tplc="3794870A">
      <w:start w:val="1"/>
      <w:numFmt w:val="bullet"/>
      <w:lvlText w:val=""/>
      <w:lvlJc w:val="left"/>
      <w:pPr>
        <w:tabs>
          <w:tab w:val="num" w:pos="2880"/>
        </w:tabs>
        <w:ind w:left="2880" w:hanging="360"/>
      </w:pPr>
      <w:rPr>
        <w:rFonts w:ascii="Symbol" w:hAnsi="Symbol"/>
      </w:rPr>
    </w:lvl>
    <w:lvl w:ilvl="4" w:tplc="045208F4">
      <w:start w:val="1"/>
      <w:numFmt w:val="bullet"/>
      <w:lvlText w:val="o"/>
      <w:lvlJc w:val="left"/>
      <w:pPr>
        <w:tabs>
          <w:tab w:val="num" w:pos="3600"/>
        </w:tabs>
        <w:ind w:left="3600" w:hanging="360"/>
      </w:pPr>
      <w:rPr>
        <w:rFonts w:ascii="Courier New" w:hAnsi="Courier New"/>
      </w:rPr>
    </w:lvl>
    <w:lvl w:ilvl="5" w:tplc="CF9C43C2">
      <w:start w:val="1"/>
      <w:numFmt w:val="bullet"/>
      <w:lvlText w:val=""/>
      <w:lvlJc w:val="left"/>
      <w:pPr>
        <w:tabs>
          <w:tab w:val="num" w:pos="4320"/>
        </w:tabs>
        <w:ind w:left="4320" w:hanging="360"/>
      </w:pPr>
      <w:rPr>
        <w:rFonts w:ascii="Wingdings" w:hAnsi="Wingdings"/>
      </w:rPr>
    </w:lvl>
    <w:lvl w:ilvl="6" w:tplc="B838DC8C">
      <w:start w:val="1"/>
      <w:numFmt w:val="bullet"/>
      <w:lvlText w:val=""/>
      <w:lvlJc w:val="left"/>
      <w:pPr>
        <w:tabs>
          <w:tab w:val="num" w:pos="5040"/>
        </w:tabs>
        <w:ind w:left="5040" w:hanging="360"/>
      </w:pPr>
      <w:rPr>
        <w:rFonts w:ascii="Symbol" w:hAnsi="Symbol"/>
      </w:rPr>
    </w:lvl>
    <w:lvl w:ilvl="7" w:tplc="8B2EE7C0">
      <w:start w:val="1"/>
      <w:numFmt w:val="bullet"/>
      <w:lvlText w:val="o"/>
      <w:lvlJc w:val="left"/>
      <w:pPr>
        <w:tabs>
          <w:tab w:val="num" w:pos="5760"/>
        </w:tabs>
        <w:ind w:left="5760" w:hanging="360"/>
      </w:pPr>
      <w:rPr>
        <w:rFonts w:ascii="Courier New" w:hAnsi="Courier New"/>
      </w:rPr>
    </w:lvl>
    <w:lvl w:ilvl="8" w:tplc="481E34E0">
      <w:start w:val="1"/>
      <w:numFmt w:val="bullet"/>
      <w:lvlText w:val=""/>
      <w:lvlJc w:val="left"/>
      <w:pPr>
        <w:tabs>
          <w:tab w:val="num" w:pos="6480"/>
        </w:tabs>
        <w:ind w:left="6480" w:hanging="360"/>
      </w:pPr>
      <w:rPr>
        <w:rFonts w:ascii="Wingdings" w:hAnsi="Wingdings"/>
      </w:rPr>
    </w:lvl>
  </w:abstractNum>
  <w:abstractNum w:abstractNumId="45" w15:restartNumberingAfterBreak="0">
    <w:nsid w:val="7DF627E2"/>
    <w:multiLevelType w:val="hybridMultilevel"/>
    <w:tmpl w:val="7DF627E2"/>
    <w:lvl w:ilvl="0" w:tplc="3EC09E8A">
      <w:start w:val="1"/>
      <w:numFmt w:val="bullet"/>
      <w:lvlText w:val=""/>
      <w:lvlJc w:val="left"/>
      <w:pPr>
        <w:tabs>
          <w:tab w:val="num" w:pos="720"/>
        </w:tabs>
        <w:ind w:left="720" w:hanging="360"/>
      </w:pPr>
      <w:rPr>
        <w:rFonts w:ascii="Symbol" w:hAnsi="Symbol"/>
      </w:rPr>
    </w:lvl>
    <w:lvl w:ilvl="1" w:tplc="88024A36">
      <w:start w:val="1"/>
      <w:numFmt w:val="bullet"/>
      <w:lvlText w:val="o"/>
      <w:lvlJc w:val="left"/>
      <w:pPr>
        <w:tabs>
          <w:tab w:val="num" w:pos="1440"/>
        </w:tabs>
        <w:ind w:left="1440" w:hanging="360"/>
      </w:pPr>
      <w:rPr>
        <w:rFonts w:ascii="Courier New" w:hAnsi="Courier New"/>
      </w:rPr>
    </w:lvl>
    <w:lvl w:ilvl="2" w:tplc="7E225198">
      <w:start w:val="1"/>
      <w:numFmt w:val="bullet"/>
      <w:lvlText w:val=""/>
      <w:lvlJc w:val="left"/>
      <w:pPr>
        <w:tabs>
          <w:tab w:val="num" w:pos="2160"/>
        </w:tabs>
        <w:ind w:left="2160" w:hanging="360"/>
      </w:pPr>
      <w:rPr>
        <w:rFonts w:ascii="Wingdings" w:hAnsi="Wingdings"/>
      </w:rPr>
    </w:lvl>
    <w:lvl w:ilvl="3" w:tplc="C442B3BE">
      <w:start w:val="1"/>
      <w:numFmt w:val="bullet"/>
      <w:lvlText w:val=""/>
      <w:lvlJc w:val="left"/>
      <w:pPr>
        <w:tabs>
          <w:tab w:val="num" w:pos="2880"/>
        </w:tabs>
        <w:ind w:left="2880" w:hanging="360"/>
      </w:pPr>
      <w:rPr>
        <w:rFonts w:ascii="Symbol" w:hAnsi="Symbol"/>
      </w:rPr>
    </w:lvl>
    <w:lvl w:ilvl="4" w:tplc="0FB609BA">
      <w:start w:val="1"/>
      <w:numFmt w:val="bullet"/>
      <w:lvlText w:val="o"/>
      <w:lvlJc w:val="left"/>
      <w:pPr>
        <w:tabs>
          <w:tab w:val="num" w:pos="3600"/>
        </w:tabs>
        <w:ind w:left="3600" w:hanging="360"/>
      </w:pPr>
      <w:rPr>
        <w:rFonts w:ascii="Courier New" w:hAnsi="Courier New"/>
      </w:rPr>
    </w:lvl>
    <w:lvl w:ilvl="5" w:tplc="7004B5AE">
      <w:start w:val="1"/>
      <w:numFmt w:val="bullet"/>
      <w:lvlText w:val=""/>
      <w:lvlJc w:val="left"/>
      <w:pPr>
        <w:tabs>
          <w:tab w:val="num" w:pos="4320"/>
        </w:tabs>
        <w:ind w:left="4320" w:hanging="360"/>
      </w:pPr>
      <w:rPr>
        <w:rFonts w:ascii="Wingdings" w:hAnsi="Wingdings"/>
      </w:rPr>
    </w:lvl>
    <w:lvl w:ilvl="6" w:tplc="55308A5A">
      <w:start w:val="1"/>
      <w:numFmt w:val="bullet"/>
      <w:lvlText w:val=""/>
      <w:lvlJc w:val="left"/>
      <w:pPr>
        <w:tabs>
          <w:tab w:val="num" w:pos="5040"/>
        </w:tabs>
        <w:ind w:left="5040" w:hanging="360"/>
      </w:pPr>
      <w:rPr>
        <w:rFonts w:ascii="Symbol" w:hAnsi="Symbol"/>
      </w:rPr>
    </w:lvl>
    <w:lvl w:ilvl="7" w:tplc="1D28E9C8">
      <w:start w:val="1"/>
      <w:numFmt w:val="bullet"/>
      <w:lvlText w:val="o"/>
      <w:lvlJc w:val="left"/>
      <w:pPr>
        <w:tabs>
          <w:tab w:val="num" w:pos="5760"/>
        </w:tabs>
        <w:ind w:left="5760" w:hanging="360"/>
      </w:pPr>
      <w:rPr>
        <w:rFonts w:ascii="Courier New" w:hAnsi="Courier New"/>
      </w:rPr>
    </w:lvl>
    <w:lvl w:ilvl="8" w:tplc="1CB81B12">
      <w:start w:val="1"/>
      <w:numFmt w:val="bullet"/>
      <w:lvlText w:val=""/>
      <w:lvlJc w:val="left"/>
      <w:pPr>
        <w:tabs>
          <w:tab w:val="num" w:pos="6480"/>
        </w:tabs>
        <w:ind w:left="6480" w:hanging="360"/>
      </w:pPr>
      <w:rPr>
        <w:rFonts w:ascii="Wingdings" w:hAnsi="Wingdings"/>
      </w:rPr>
    </w:lvl>
  </w:abstractNum>
  <w:abstractNum w:abstractNumId="46" w15:restartNumberingAfterBreak="0">
    <w:nsid w:val="7DF627E3"/>
    <w:multiLevelType w:val="multilevel"/>
    <w:tmpl w:val="7DF627E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DF627E4"/>
    <w:multiLevelType w:val="multilevel"/>
    <w:tmpl w:val="7DF627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DF627E5"/>
    <w:multiLevelType w:val="multilevel"/>
    <w:tmpl w:val="7DF627E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DF627E6"/>
    <w:multiLevelType w:val="multilevel"/>
    <w:tmpl w:val="7DF627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DF627E7"/>
    <w:multiLevelType w:val="multilevel"/>
    <w:tmpl w:val="7DF627E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DF627E8"/>
    <w:multiLevelType w:val="multilevel"/>
    <w:tmpl w:val="7DF627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DF627E9"/>
    <w:multiLevelType w:val="hybridMultilevel"/>
    <w:tmpl w:val="7DF627E9"/>
    <w:lvl w:ilvl="0" w:tplc="0C2C6452">
      <w:start w:val="1"/>
      <w:numFmt w:val="bullet"/>
      <w:lvlText w:val=""/>
      <w:lvlJc w:val="left"/>
      <w:pPr>
        <w:tabs>
          <w:tab w:val="num" w:pos="720"/>
        </w:tabs>
        <w:ind w:left="720" w:hanging="360"/>
      </w:pPr>
      <w:rPr>
        <w:rFonts w:ascii="Symbol" w:hAnsi="Symbol"/>
      </w:rPr>
    </w:lvl>
    <w:lvl w:ilvl="1" w:tplc="2E668C0C">
      <w:start w:val="1"/>
      <w:numFmt w:val="bullet"/>
      <w:lvlText w:val="o"/>
      <w:lvlJc w:val="left"/>
      <w:pPr>
        <w:tabs>
          <w:tab w:val="num" w:pos="1440"/>
        </w:tabs>
        <w:ind w:left="1440" w:hanging="360"/>
      </w:pPr>
      <w:rPr>
        <w:rFonts w:ascii="Courier New" w:hAnsi="Courier New"/>
      </w:rPr>
    </w:lvl>
    <w:lvl w:ilvl="2" w:tplc="3E8AA81C">
      <w:start w:val="1"/>
      <w:numFmt w:val="bullet"/>
      <w:lvlText w:val=""/>
      <w:lvlJc w:val="left"/>
      <w:pPr>
        <w:tabs>
          <w:tab w:val="num" w:pos="2160"/>
        </w:tabs>
        <w:ind w:left="2160" w:hanging="360"/>
      </w:pPr>
      <w:rPr>
        <w:rFonts w:ascii="Wingdings" w:hAnsi="Wingdings"/>
      </w:rPr>
    </w:lvl>
    <w:lvl w:ilvl="3" w:tplc="B7A8179A">
      <w:start w:val="1"/>
      <w:numFmt w:val="bullet"/>
      <w:lvlText w:val=""/>
      <w:lvlJc w:val="left"/>
      <w:pPr>
        <w:tabs>
          <w:tab w:val="num" w:pos="2880"/>
        </w:tabs>
        <w:ind w:left="2880" w:hanging="360"/>
      </w:pPr>
      <w:rPr>
        <w:rFonts w:ascii="Symbol" w:hAnsi="Symbol"/>
      </w:rPr>
    </w:lvl>
    <w:lvl w:ilvl="4" w:tplc="D6F88CE8">
      <w:start w:val="1"/>
      <w:numFmt w:val="bullet"/>
      <w:lvlText w:val="o"/>
      <w:lvlJc w:val="left"/>
      <w:pPr>
        <w:tabs>
          <w:tab w:val="num" w:pos="3600"/>
        </w:tabs>
        <w:ind w:left="3600" w:hanging="360"/>
      </w:pPr>
      <w:rPr>
        <w:rFonts w:ascii="Courier New" w:hAnsi="Courier New"/>
      </w:rPr>
    </w:lvl>
    <w:lvl w:ilvl="5" w:tplc="4A6464EA">
      <w:start w:val="1"/>
      <w:numFmt w:val="bullet"/>
      <w:lvlText w:val=""/>
      <w:lvlJc w:val="left"/>
      <w:pPr>
        <w:tabs>
          <w:tab w:val="num" w:pos="4320"/>
        </w:tabs>
        <w:ind w:left="4320" w:hanging="360"/>
      </w:pPr>
      <w:rPr>
        <w:rFonts w:ascii="Wingdings" w:hAnsi="Wingdings"/>
      </w:rPr>
    </w:lvl>
    <w:lvl w:ilvl="6" w:tplc="C14C10DA">
      <w:start w:val="1"/>
      <w:numFmt w:val="bullet"/>
      <w:lvlText w:val=""/>
      <w:lvlJc w:val="left"/>
      <w:pPr>
        <w:tabs>
          <w:tab w:val="num" w:pos="5040"/>
        </w:tabs>
        <w:ind w:left="5040" w:hanging="360"/>
      </w:pPr>
      <w:rPr>
        <w:rFonts w:ascii="Symbol" w:hAnsi="Symbol"/>
      </w:rPr>
    </w:lvl>
    <w:lvl w:ilvl="7" w:tplc="E4B0CD98">
      <w:start w:val="1"/>
      <w:numFmt w:val="bullet"/>
      <w:lvlText w:val="o"/>
      <w:lvlJc w:val="left"/>
      <w:pPr>
        <w:tabs>
          <w:tab w:val="num" w:pos="5760"/>
        </w:tabs>
        <w:ind w:left="5760" w:hanging="360"/>
      </w:pPr>
      <w:rPr>
        <w:rFonts w:ascii="Courier New" w:hAnsi="Courier New"/>
      </w:rPr>
    </w:lvl>
    <w:lvl w:ilvl="8" w:tplc="D8362016">
      <w:start w:val="1"/>
      <w:numFmt w:val="bullet"/>
      <w:lvlText w:val=""/>
      <w:lvlJc w:val="left"/>
      <w:pPr>
        <w:tabs>
          <w:tab w:val="num" w:pos="6480"/>
        </w:tabs>
        <w:ind w:left="6480" w:hanging="360"/>
      </w:pPr>
      <w:rPr>
        <w:rFonts w:ascii="Wingdings" w:hAnsi="Wingdings"/>
      </w:rPr>
    </w:lvl>
  </w:abstractNum>
  <w:abstractNum w:abstractNumId="53" w15:restartNumberingAfterBreak="0">
    <w:nsid w:val="7DF627EA"/>
    <w:multiLevelType w:val="hybridMultilevel"/>
    <w:tmpl w:val="7DF627EA"/>
    <w:lvl w:ilvl="0" w:tplc="00C264D2">
      <w:start w:val="1"/>
      <w:numFmt w:val="bullet"/>
      <w:lvlText w:val=""/>
      <w:lvlJc w:val="left"/>
      <w:pPr>
        <w:tabs>
          <w:tab w:val="num" w:pos="720"/>
        </w:tabs>
        <w:ind w:left="720" w:hanging="360"/>
      </w:pPr>
      <w:rPr>
        <w:rFonts w:ascii="Symbol" w:hAnsi="Symbol"/>
      </w:rPr>
    </w:lvl>
    <w:lvl w:ilvl="1" w:tplc="3B022AAE">
      <w:start w:val="1"/>
      <w:numFmt w:val="bullet"/>
      <w:lvlText w:val="o"/>
      <w:lvlJc w:val="left"/>
      <w:pPr>
        <w:tabs>
          <w:tab w:val="num" w:pos="1440"/>
        </w:tabs>
        <w:ind w:left="1440" w:hanging="360"/>
      </w:pPr>
      <w:rPr>
        <w:rFonts w:ascii="Courier New" w:hAnsi="Courier New"/>
      </w:rPr>
    </w:lvl>
    <w:lvl w:ilvl="2" w:tplc="DFDA4594">
      <w:start w:val="1"/>
      <w:numFmt w:val="bullet"/>
      <w:lvlText w:val=""/>
      <w:lvlJc w:val="left"/>
      <w:pPr>
        <w:tabs>
          <w:tab w:val="num" w:pos="2160"/>
        </w:tabs>
        <w:ind w:left="2160" w:hanging="360"/>
      </w:pPr>
      <w:rPr>
        <w:rFonts w:ascii="Wingdings" w:hAnsi="Wingdings"/>
      </w:rPr>
    </w:lvl>
    <w:lvl w:ilvl="3" w:tplc="CF52F4D0">
      <w:start w:val="1"/>
      <w:numFmt w:val="bullet"/>
      <w:lvlText w:val=""/>
      <w:lvlJc w:val="left"/>
      <w:pPr>
        <w:tabs>
          <w:tab w:val="num" w:pos="2880"/>
        </w:tabs>
        <w:ind w:left="2880" w:hanging="360"/>
      </w:pPr>
      <w:rPr>
        <w:rFonts w:ascii="Symbol" w:hAnsi="Symbol"/>
      </w:rPr>
    </w:lvl>
    <w:lvl w:ilvl="4" w:tplc="56AED17A">
      <w:start w:val="1"/>
      <w:numFmt w:val="bullet"/>
      <w:lvlText w:val="o"/>
      <w:lvlJc w:val="left"/>
      <w:pPr>
        <w:tabs>
          <w:tab w:val="num" w:pos="3600"/>
        </w:tabs>
        <w:ind w:left="3600" w:hanging="360"/>
      </w:pPr>
      <w:rPr>
        <w:rFonts w:ascii="Courier New" w:hAnsi="Courier New"/>
      </w:rPr>
    </w:lvl>
    <w:lvl w:ilvl="5" w:tplc="E7F2E682">
      <w:start w:val="1"/>
      <w:numFmt w:val="bullet"/>
      <w:lvlText w:val=""/>
      <w:lvlJc w:val="left"/>
      <w:pPr>
        <w:tabs>
          <w:tab w:val="num" w:pos="4320"/>
        </w:tabs>
        <w:ind w:left="4320" w:hanging="360"/>
      </w:pPr>
      <w:rPr>
        <w:rFonts w:ascii="Wingdings" w:hAnsi="Wingdings"/>
      </w:rPr>
    </w:lvl>
    <w:lvl w:ilvl="6" w:tplc="AD728574">
      <w:start w:val="1"/>
      <w:numFmt w:val="bullet"/>
      <w:lvlText w:val=""/>
      <w:lvlJc w:val="left"/>
      <w:pPr>
        <w:tabs>
          <w:tab w:val="num" w:pos="5040"/>
        </w:tabs>
        <w:ind w:left="5040" w:hanging="360"/>
      </w:pPr>
      <w:rPr>
        <w:rFonts w:ascii="Symbol" w:hAnsi="Symbol"/>
      </w:rPr>
    </w:lvl>
    <w:lvl w:ilvl="7" w:tplc="11C8AC62">
      <w:start w:val="1"/>
      <w:numFmt w:val="bullet"/>
      <w:lvlText w:val="o"/>
      <w:lvlJc w:val="left"/>
      <w:pPr>
        <w:tabs>
          <w:tab w:val="num" w:pos="5760"/>
        </w:tabs>
        <w:ind w:left="5760" w:hanging="360"/>
      </w:pPr>
      <w:rPr>
        <w:rFonts w:ascii="Courier New" w:hAnsi="Courier New"/>
      </w:rPr>
    </w:lvl>
    <w:lvl w:ilvl="8" w:tplc="9A0A0D4A">
      <w:start w:val="1"/>
      <w:numFmt w:val="bullet"/>
      <w:lvlText w:val=""/>
      <w:lvlJc w:val="left"/>
      <w:pPr>
        <w:tabs>
          <w:tab w:val="num" w:pos="6480"/>
        </w:tabs>
        <w:ind w:left="6480" w:hanging="360"/>
      </w:pPr>
      <w:rPr>
        <w:rFonts w:ascii="Wingdings" w:hAnsi="Wingdings"/>
      </w:rPr>
    </w:lvl>
  </w:abstractNum>
  <w:abstractNum w:abstractNumId="54" w15:restartNumberingAfterBreak="0">
    <w:nsid w:val="7DF627EB"/>
    <w:multiLevelType w:val="hybridMultilevel"/>
    <w:tmpl w:val="7DF627EB"/>
    <w:lvl w:ilvl="0" w:tplc="B316EE16">
      <w:start w:val="1"/>
      <w:numFmt w:val="bullet"/>
      <w:lvlText w:val=""/>
      <w:lvlJc w:val="left"/>
      <w:pPr>
        <w:tabs>
          <w:tab w:val="num" w:pos="720"/>
        </w:tabs>
        <w:ind w:left="720" w:hanging="360"/>
      </w:pPr>
      <w:rPr>
        <w:rFonts w:ascii="Symbol" w:hAnsi="Symbol"/>
      </w:rPr>
    </w:lvl>
    <w:lvl w:ilvl="1" w:tplc="412A46D6">
      <w:start w:val="1"/>
      <w:numFmt w:val="bullet"/>
      <w:lvlText w:val="o"/>
      <w:lvlJc w:val="left"/>
      <w:pPr>
        <w:tabs>
          <w:tab w:val="num" w:pos="1440"/>
        </w:tabs>
        <w:ind w:left="1440" w:hanging="360"/>
      </w:pPr>
      <w:rPr>
        <w:rFonts w:ascii="Courier New" w:hAnsi="Courier New"/>
      </w:rPr>
    </w:lvl>
    <w:lvl w:ilvl="2" w:tplc="E362B944">
      <w:start w:val="1"/>
      <w:numFmt w:val="bullet"/>
      <w:lvlText w:val=""/>
      <w:lvlJc w:val="left"/>
      <w:pPr>
        <w:tabs>
          <w:tab w:val="num" w:pos="2160"/>
        </w:tabs>
        <w:ind w:left="2160" w:hanging="360"/>
      </w:pPr>
      <w:rPr>
        <w:rFonts w:ascii="Wingdings" w:hAnsi="Wingdings"/>
      </w:rPr>
    </w:lvl>
    <w:lvl w:ilvl="3" w:tplc="01C07D78">
      <w:start w:val="1"/>
      <w:numFmt w:val="bullet"/>
      <w:lvlText w:val=""/>
      <w:lvlJc w:val="left"/>
      <w:pPr>
        <w:tabs>
          <w:tab w:val="num" w:pos="2880"/>
        </w:tabs>
        <w:ind w:left="2880" w:hanging="360"/>
      </w:pPr>
      <w:rPr>
        <w:rFonts w:ascii="Symbol" w:hAnsi="Symbol"/>
      </w:rPr>
    </w:lvl>
    <w:lvl w:ilvl="4" w:tplc="C310B354">
      <w:start w:val="1"/>
      <w:numFmt w:val="bullet"/>
      <w:lvlText w:val="o"/>
      <w:lvlJc w:val="left"/>
      <w:pPr>
        <w:tabs>
          <w:tab w:val="num" w:pos="3600"/>
        </w:tabs>
        <w:ind w:left="3600" w:hanging="360"/>
      </w:pPr>
      <w:rPr>
        <w:rFonts w:ascii="Courier New" w:hAnsi="Courier New"/>
      </w:rPr>
    </w:lvl>
    <w:lvl w:ilvl="5" w:tplc="1FA09F12">
      <w:start w:val="1"/>
      <w:numFmt w:val="bullet"/>
      <w:lvlText w:val=""/>
      <w:lvlJc w:val="left"/>
      <w:pPr>
        <w:tabs>
          <w:tab w:val="num" w:pos="4320"/>
        </w:tabs>
        <w:ind w:left="4320" w:hanging="360"/>
      </w:pPr>
      <w:rPr>
        <w:rFonts w:ascii="Wingdings" w:hAnsi="Wingdings"/>
      </w:rPr>
    </w:lvl>
    <w:lvl w:ilvl="6" w:tplc="22046FB0">
      <w:start w:val="1"/>
      <w:numFmt w:val="bullet"/>
      <w:lvlText w:val=""/>
      <w:lvlJc w:val="left"/>
      <w:pPr>
        <w:tabs>
          <w:tab w:val="num" w:pos="5040"/>
        </w:tabs>
        <w:ind w:left="5040" w:hanging="360"/>
      </w:pPr>
      <w:rPr>
        <w:rFonts w:ascii="Symbol" w:hAnsi="Symbol"/>
      </w:rPr>
    </w:lvl>
    <w:lvl w:ilvl="7" w:tplc="194E0FEE">
      <w:start w:val="1"/>
      <w:numFmt w:val="bullet"/>
      <w:lvlText w:val="o"/>
      <w:lvlJc w:val="left"/>
      <w:pPr>
        <w:tabs>
          <w:tab w:val="num" w:pos="5760"/>
        </w:tabs>
        <w:ind w:left="5760" w:hanging="360"/>
      </w:pPr>
      <w:rPr>
        <w:rFonts w:ascii="Courier New" w:hAnsi="Courier New"/>
      </w:rPr>
    </w:lvl>
    <w:lvl w:ilvl="8" w:tplc="7FE28A10">
      <w:start w:val="1"/>
      <w:numFmt w:val="bullet"/>
      <w:lvlText w:val=""/>
      <w:lvlJc w:val="left"/>
      <w:pPr>
        <w:tabs>
          <w:tab w:val="num" w:pos="6480"/>
        </w:tabs>
        <w:ind w:left="6480" w:hanging="360"/>
      </w:pPr>
      <w:rPr>
        <w:rFonts w:ascii="Wingdings" w:hAnsi="Wingdings"/>
      </w:rPr>
    </w:lvl>
  </w:abstractNum>
  <w:abstractNum w:abstractNumId="55" w15:restartNumberingAfterBreak="0">
    <w:nsid w:val="7DF627EC"/>
    <w:multiLevelType w:val="hybridMultilevel"/>
    <w:tmpl w:val="7DF627EC"/>
    <w:lvl w:ilvl="0" w:tplc="3E4C404A">
      <w:start w:val="1"/>
      <w:numFmt w:val="bullet"/>
      <w:lvlText w:val=""/>
      <w:lvlJc w:val="left"/>
      <w:pPr>
        <w:tabs>
          <w:tab w:val="num" w:pos="720"/>
        </w:tabs>
        <w:ind w:left="720" w:hanging="360"/>
      </w:pPr>
      <w:rPr>
        <w:rFonts w:ascii="Symbol" w:hAnsi="Symbol"/>
      </w:rPr>
    </w:lvl>
    <w:lvl w:ilvl="1" w:tplc="D340B7FC">
      <w:start w:val="1"/>
      <w:numFmt w:val="bullet"/>
      <w:lvlText w:val="o"/>
      <w:lvlJc w:val="left"/>
      <w:pPr>
        <w:tabs>
          <w:tab w:val="num" w:pos="1440"/>
        </w:tabs>
        <w:ind w:left="1440" w:hanging="360"/>
      </w:pPr>
      <w:rPr>
        <w:rFonts w:ascii="Courier New" w:hAnsi="Courier New"/>
      </w:rPr>
    </w:lvl>
    <w:lvl w:ilvl="2" w:tplc="DD522DE6">
      <w:start w:val="1"/>
      <w:numFmt w:val="bullet"/>
      <w:lvlText w:val=""/>
      <w:lvlJc w:val="left"/>
      <w:pPr>
        <w:tabs>
          <w:tab w:val="num" w:pos="2160"/>
        </w:tabs>
        <w:ind w:left="2160" w:hanging="360"/>
      </w:pPr>
      <w:rPr>
        <w:rFonts w:ascii="Wingdings" w:hAnsi="Wingdings"/>
      </w:rPr>
    </w:lvl>
    <w:lvl w:ilvl="3" w:tplc="5988414E">
      <w:start w:val="1"/>
      <w:numFmt w:val="bullet"/>
      <w:lvlText w:val=""/>
      <w:lvlJc w:val="left"/>
      <w:pPr>
        <w:tabs>
          <w:tab w:val="num" w:pos="2880"/>
        </w:tabs>
        <w:ind w:left="2880" w:hanging="360"/>
      </w:pPr>
      <w:rPr>
        <w:rFonts w:ascii="Symbol" w:hAnsi="Symbol"/>
      </w:rPr>
    </w:lvl>
    <w:lvl w:ilvl="4" w:tplc="B13AA798">
      <w:start w:val="1"/>
      <w:numFmt w:val="bullet"/>
      <w:lvlText w:val="o"/>
      <w:lvlJc w:val="left"/>
      <w:pPr>
        <w:tabs>
          <w:tab w:val="num" w:pos="3600"/>
        </w:tabs>
        <w:ind w:left="3600" w:hanging="360"/>
      </w:pPr>
      <w:rPr>
        <w:rFonts w:ascii="Courier New" w:hAnsi="Courier New"/>
      </w:rPr>
    </w:lvl>
    <w:lvl w:ilvl="5" w:tplc="F1CA8D38">
      <w:start w:val="1"/>
      <w:numFmt w:val="bullet"/>
      <w:lvlText w:val=""/>
      <w:lvlJc w:val="left"/>
      <w:pPr>
        <w:tabs>
          <w:tab w:val="num" w:pos="4320"/>
        </w:tabs>
        <w:ind w:left="4320" w:hanging="360"/>
      </w:pPr>
      <w:rPr>
        <w:rFonts w:ascii="Wingdings" w:hAnsi="Wingdings"/>
      </w:rPr>
    </w:lvl>
    <w:lvl w:ilvl="6" w:tplc="29225220">
      <w:start w:val="1"/>
      <w:numFmt w:val="bullet"/>
      <w:lvlText w:val=""/>
      <w:lvlJc w:val="left"/>
      <w:pPr>
        <w:tabs>
          <w:tab w:val="num" w:pos="5040"/>
        </w:tabs>
        <w:ind w:left="5040" w:hanging="360"/>
      </w:pPr>
      <w:rPr>
        <w:rFonts w:ascii="Symbol" w:hAnsi="Symbol"/>
      </w:rPr>
    </w:lvl>
    <w:lvl w:ilvl="7" w:tplc="01E86B70">
      <w:start w:val="1"/>
      <w:numFmt w:val="bullet"/>
      <w:lvlText w:val="o"/>
      <w:lvlJc w:val="left"/>
      <w:pPr>
        <w:tabs>
          <w:tab w:val="num" w:pos="5760"/>
        </w:tabs>
        <w:ind w:left="5760" w:hanging="360"/>
      </w:pPr>
      <w:rPr>
        <w:rFonts w:ascii="Courier New" w:hAnsi="Courier New"/>
      </w:rPr>
    </w:lvl>
    <w:lvl w:ilvl="8" w:tplc="0E704F5C">
      <w:start w:val="1"/>
      <w:numFmt w:val="bullet"/>
      <w:lvlText w:val=""/>
      <w:lvlJc w:val="left"/>
      <w:pPr>
        <w:tabs>
          <w:tab w:val="num" w:pos="6480"/>
        </w:tabs>
        <w:ind w:left="6480" w:hanging="360"/>
      </w:pPr>
      <w:rPr>
        <w:rFonts w:ascii="Wingdings" w:hAnsi="Wingdings"/>
      </w:rPr>
    </w:lvl>
  </w:abstractNum>
  <w:abstractNum w:abstractNumId="56" w15:restartNumberingAfterBreak="0">
    <w:nsid w:val="7DF627ED"/>
    <w:multiLevelType w:val="hybridMultilevel"/>
    <w:tmpl w:val="7DF627ED"/>
    <w:lvl w:ilvl="0" w:tplc="F7FC072E">
      <w:start w:val="1"/>
      <w:numFmt w:val="bullet"/>
      <w:lvlText w:val=""/>
      <w:lvlJc w:val="left"/>
      <w:pPr>
        <w:tabs>
          <w:tab w:val="num" w:pos="720"/>
        </w:tabs>
        <w:ind w:left="720" w:hanging="360"/>
      </w:pPr>
      <w:rPr>
        <w:rFonts w:ascii="Symbol" w:hAnsi="Symbol"/>
      </w:rPr>
    </w:lvl>
    <w:lvl w:ilvl="1" w:tplc="D0C6ED4C">
      <w:start w:val="1"/>
      <w:numFmt w:val="bullet"/>
      <w:lvlText w:val="o"/>
      <w:lvlJc w:val="left"/>
      <w:pPr>
        <w:tabs>
          <w:tab w:val="num" w:pos="1440"/>
        </w:tabs>
        <w:ind w:left="1440" w:hanging="360"/>
      </w:pPr>
      <w:rPr>
        <w:rFonts w:ascii="Courier New" w:hAnsi="Courier New"/>
      </w:rPr>
    </w:lvl>
    <w:lvl w:ilvl="2" w:tplc="06761A9E">
      <w:start w:val="1"/>
      <w:numFmt w:val="bullet"/>
      <w:lvlText w:val=""/>
      <w:lvlJc w:val="left"/>
      <w:pPr>
        <w:tabs>
          <w:tab w:val="num" w:pos="2160"/>
        </w:tabs>
        <w:ind w:left="2160" w:hanging="360"/>
      </w:pPr>
      <w:rPr>
        <w:rFonts w:ascii="Wingdings" w:hAnsi="Wingdings"/>
      </w:rPr>
    </w:lvl>
    <w:lvl w:ilvl="3" w:tplc="A3D80CDC">
      <w:start w:val="1"/>
      <w:numFmt w:val="bullet"/>
      <w:lvlText w:val=""/>
      <w:lvlJc w:val="left"/>
      <w:pPr>
        <w:tabs>
          <w:tab w:val="num" w:pos="2880"/>
        </w:tabs>
        <w:ind w:left="2880" w:hanging="360"/>
      </w:pPr>
      <w:rPr>
        <w:rFonts w:ascii="Symbol" w:hAnsi="Symbol"/>
      </w:rPr>
    </w:lvl>
    <w:lvl w:ilvl="4" w:tplc="A32E852C">
      <w:start w:val="1"/>
      <w:numFmt w:val="bullet"/>
      <w:lvlText w:val="o"/>
      <w:lvlJc w:val="left"/>
      <w:pPr>
        <w:tabs>
          <w:tab w:val="num" w:pos="3600"/>
        </w:tabs>
        <w:ind w:left="3600" w:hanging="360"/>
      </w:pPr>
      <w:rPr>
        <w:rFonts w:ascii="Courier New" w:hAnsi="Courier New"/>
      </w:rPr>
    </w:lvl>
    <w:lvl w:ilvl="5" w:tplc="925AF29E">
      <w:start w:val="1"/>
      <w:numFmt w:val="bullet"/>
      <w:lvlText w:val=""/>
      <w:lvlJc w:val="left"/>
      <w:pPr>
        <w:tabs>
          <w:tab w:val="num" w:pos="4320"/>
        </w:tabs>
        <w:ind w:left="4320" w:hanging="360"/>
      </w:pPr>
      <w:rPr>
        <w:rFonts w:ascii="Wingdings" w:hAnsi="Wingdings"/>
      </w:rPr>
    </w:lvl>
    <w:lvl w:ilvl="6" w:tplc="45BA58A8">
      <w:start w:val="1"/>
      <w:numFmt w:val="bullet"/>
      <w:lvlText w:val=""/>
      <w:lvlJc w:val="left"/>
      <w:pPr>
        <w:tabs>
          <w:tab w:val="num" w:pos="5040"/>
        </w:tabs>
        <w:ind w:left="5040" w:hanging="360"/>
      </w:pPr>
      <w:rPr>
        <w:rFonts w:ascii="Symbol" w:hAnsi="Symbol"/>
      </w:rPr>
    </w:lvl>
    <w:lvl w:ilvl="7" w:tplc="79924672">
      <w:start w:val="1"/>
      <w:numFmt w:val="bullet"/>
      <w:lvlText w:val="o"/>
      <w:lvlJc w:val="left"/>
      <w:pPr>
        <w:tabs>
          <w:tab w:val="num" w:pos="5760"/>
        </w:tabs>
        <w:ind w:left="5760" w:hanging="360"/>
      </w:pPr>
      <w:rPr>
        <w:rFonts w:ascii="Courier New" w:hAnsi="Courier New"/>
      </w:rPr>
    </w:lvl>
    <w:lvl w:ilvl="8" w:tplc="1574817A">
      <w:start w:val="1"/>
      <w:numFmt w:val="bullet"/>
      <w:lvlText w:val=""/>
      <w:lvlJc w:val="left"/>
      <w:pPr>
        <w:tabs>
          <w:tab w:val="num" w:pos="6480"/>
        </w:tabs>
        <w:ind w:left="6480" w:hanging="360"/>
      </w:pPr>
      <w:rPr>
        <w:rFonts w:ascii="Wingdings" w:hAnsi="Wingdings"/>
      </w:rPr>
    </w:lvl>
  </w:abstractNum>
  <w:abstractNum w:abstractNumId="57" w15:restartNumberingAfterBreak="0">
    <w:nsid w:val="7DF627EE"/>
    <w:multiLevelType w:val="multilevel"/>
    <w:tmpl w:val="7DF627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DF627EF"/>
    <w:multiLevelType w:val="hybridMultilevel"/>
    <w:tmpl w:val="7DF627EF"/>
    <w:lvl w:ilvl="0" w:tplc="EFA052A6">
      <w:start w:val="1"/>
      <w:numFmt w:val="bullet"/>
      <w:lvlText w:val=""/>
      <w:lvlJc w:val="left"/>
      <w:pPr>
        <w:tabs>
          <w:tab w:val="num" w:pos="720"/>
        </w:tabs>
        <w:ind w:left="720" w:hanging="360"/>
      </w:pPr>
      <w:rPr>
        <w:rFonts w:ascii="Symbol" w:hAnsi="Symbol"/>
      </w:rPr>
    </w:lvl>
    <w:lvl w:ilvl="1" w:tplc="18A00562">
      <w:start w:val="1"/>
      <w:numFmt w:val="bullet"/>
      <w:lvlText w:val="o"/>
      <w:lvlJc w:val="left"/>
      <w:pPr>
        <w:tabs>
          <w:tab w:val="num" w:pos="1440"/>
        </w:tabs>
        <w:ind w:left="1440" w:hanging="360"/>
      </w:pPr>
      <w:rPr>
        <w:rFonts w:ascii="Courier New" w:hAnsi="Courier New"/>
      </w:rPr>
    </w:lvl>
    <w:lvl w:ilvl="2" w:tplc="EBFCD548">
      <w:start w:val="1"/>
      <w:numFmt w:val="bullet"/>
      <w:lvlText w:val=""/>
      <w:lvlJc w:val="left"/>
      <w:pPr>
        <w:tabs>
          <w:tab w:val="num" w:pos="2160"/>
        </w:tabs>
        <w:ind w:left="2160" w:hanging="360"/>
      </w:pPr>
      <w:rPr>
        <w:rFonts w:ascii="Wingdings" w:hAnsi="Wingdings"/>
      </w:rPr>
    </w:lvl>
    <w:lvl w:ilvl="3" w:tplc="C2C46240">
      <w:start w:val="1"/>
      <w:numFmt w:val="bullet"/>
      <w:lvlText w:val=""/>
      <w:lvlJc w:val="left"/>
      <w:pPr>
        <w:tabs>
          <w:tab w:val="num" w:pos="2880"/>
        </w:tabs>
        <w:ind w:left="2880" w:hanging="360"/>
      </w:pPr>
      <w:rPr>
        <w:rFonts w:ascii="Symbol" w:hAnsi="Symbol"/>
      </w:rPr>
    </w:lvl>
    <w:lvl w:ilvl="4" w:tplc="95545236">
      <w:start w:val="1"/>
      <w:numFmt w:val="bullet"/>
      <w:lvlText w:val="o"/>
      <w:lvlJc w:val="left"/>
      <w:pPr>
        <w:tabs>
          <w:tab w:val="num" w:pos="3600"/>
        </w:tabs>
        <w:ind w:left="3600" w:hanging="360"/>
      </w:pPr>
      <w:rPr>
        <w:rFonts w:ascii="Courier New" w:hAnsi="Courier New"/>
      </w:rPr>
    </w:lvl>
    <w:lvl w:ilvl="5" w:tplc="47169A50">
      <w:start w:val="1"/>
      <w:numFmt w:val="bullet"/>
      <w:lvlText w:val=""/>
      <w:lvlJc w:val="left"/>
      <w:pPr>
        <w:tabs>
          <w:tab w:val="num" w:pos="4320"/>
        </w:tabs>
        <w:ind w:left="4320" w:hanging="360"/>
      </w:pPr>
      <w:rPr>
        <w:rFonts w:ascii="Wingdings" w:hAnsi="Wingdings"/>
      </w:rPr>
    </w:lvl>
    <w:lvl w:ilvl="6" w:tplc="5844A00E">
      <w:start w:val="1"/>
      <w:numFmt w:val="bullet"/>
      <w:lvlText w:val=""/>
      <w:lvlJc w:val="left"/>
      <w:pPr>
        <w:tabs>
          <w:tab w:val="num" w:pos="5040"/>
        </w:tabs>
        <w:ind w:left="5040" w:hanging="360"/>
      </w:pPr>
      <w:rPr>
        <w:rFonts w:ascii="Symbol" w:hAnsi="Symbol"/>
      </w:rPr>
    </w:lvl>
    <w:lvl w:ilvl="7" w:tplc="A1CA38AA">
      <w:start w:val="1"/>
      <w:numFmt w:val="bullet"/>
      <w:lvlText w:val="o"/>
      <w:lvlJc w:val="left"/>
      <w:pPr>
        <w:tabs>
          <w:tab w:val="num" w:pos="5760"/>
        </w:tabs>
        <w:ind w:left="5760" w:hanging="360"/>
      </w:pPr>
      <w:rPr>
        <w:rFonts w:ascii="Courier New" w:hAnsi="Courier New"/>
      </w:rPr>
    </w:lvl>
    <w:lvl w:ilvl="8" w:tplc="4CB4FC66">
      <w:start w:val="1"/>
      <w:numFmt w:val="bullet"/>
      <w:lvlText w:val=""/>
      <w:lvlJc w:val="left"/>
      <w:pPr>
        <w:tabs>
          <w:tab w:val="num" w:pos="6480"/>
        </w:tabs>
        <w:ind w:left="6480" w:hanging="360"/>
      </w:pPr>
      <w:rPr>
        <w:rFonts w:ascii="Wingdings" w:hAnsi="Wingdings"/>
      </w:rPr>
    </w:lvl>
  </w:abstractNum>
  <w:abstractNum w:abstractNumId="59" w15:restartNumberingAfterBreak="0">
    <w:nsid w:val="7DF627F0"/>
    <w:multiLevelType w:val="multilevel"/>
    <w:tmpl w:val="7DF627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DF627F1"/>
    <w:multiLevelType w:val="hybridMultilevel"/>
    <w:tmpl w:val="7DF627F1"/>
    <w:lvl w:ilvl="0" w:tplc="04021ED0">
      <w:start w:val="1"/>
      <w:numFmt w:val="bullet"/>
      <w:lvlText w:val=""/>
      <w:lvlJc w:val="left"/>
      <w:pPr>
        <w:tabs>
          <w:tab w:val="num" w:pos="720"/>
        </w:tabs>
        <w:ind w:left="720" w:hanging="360"/>
      </w:pPr>
      <w:rPr>
        <w:rFonts w:ascii="Symbol" w:hAnsi="Symbol"/>
      </w:rPr>
    </w:lvl>
    <w:lvl w:ilvl="1" w:tplc="80800FF8">
      <w:start w:val="1"/>
      <w:numFmt w:val="bullet"/>
      <w:lvlText w:val="o"/>
      <w:lvlJc w:val="left"/>
      <w:pPr>
        <w:tabs>
          <w:tab w:val="num" w:pos="1440"/>
        </w:tabs>
        <w:ind w:left="1440" w:hanging="360"/>
      </w:pPr>
      <w:rPr>
        <w:rFonts w:ascii="Courier New" w:hAnsi="Courier New"/>
      </w:rPr>
    </w:lvl>
    <w:lvl w:ilvl="2" w:tplc="DBB8D822">
      <w:start w:val="1"/>
      <w:numFmt w:val="bullet"/>
      <w:lvlText w:val=""/>
      <w:lvlJc w:val="left"/>
      <w:pPr>
        <w:tabs>
          <w:tab w:val="num" w:pos="2160"/>
        </w:tabs>
        <w:ind w:left="2160" w:hanging="360"/>
      </w:pPr>
      <w:rPr>
        <w:rFonts w:ascii="Wingdings" w:hAnsi="Wingdings"/>
      </w:rPr>
    </w:lvl>
    <w:lvl w:ilvl="3" w:tplc="3CD89F60">
      <w:start w:val="1"/>
      <w:numFmt w:val="bullet"/>
      <w:lvlText w:val=""/>
      <w:lvlJc w:val="left"/>
      <w:pPr>
        <w:tabs>
          <w:tab w:val="num" w:pos="2880"/>
        </w:tabs>
        <w:ind w:left="2880" w:hanging="360"/>
      </w:pPr>
      <w:rPr>
        <w:rFonts w:ascii="Symbol" w:hAnsi="Symbol"/>
      </w:rPr>
    </w:lvl>
    <w:lvl w:ilvl="4" w:tplc="A62E9BFE">
      <w:start w:val="1"/>
      <w:numFmt w:val="bullet"/>
      <w:lvlText w:val="o"/>
      <w:lvlJc w:val="left"/>
      <w:pPr>
        <w:tabs>
          <w:tab w:val="num" w:pos="3600"/>
        </w:tabs>
        <w:ind w:left="3600" w:hanging="360"/>
      </w:pPr>
      <w:rPr>
        <w:rFonts w:ascii="Courier New" w:hAnsi="Courier New"/>
      </w:rPr>
    </w:lvl>
    <w:lvl w:ilvl="5" w:tplc="0ED0A86E">
      <w:start w:val="1"/>
      <w:numFmt w:val="bullet"/>
      <w:lvlText w:val=""/>
      <w:lvlJc w:val="left"/>
      <w:pPr>
        <w:tabs>
          <w:tab w:val="num" w:pos="4320"/>
        </w:tabs>
        <w:ind w:left="4320" w:hanging="360"/>
      </w:pPr>
      <w:rPr>
        <w:rFonts w:ascii="Wingdings" w:hAnsi="Wingdings"/>
      </w:rPr>
    </w:lvl>
    <w:lvl w:ilvl="6" w:tplc="08481D3A">
      <w:start w:val="1"/>
      <w:numFmt w:val="bullet"/>
      <w:lvlText w:val=""/>
      <w:lvlJc w:val="left"/>
      <w:pPr>
        <w:tabs>
          <w:tab w:val="num" w:pos="5040"/>
        </w:tabs>
        <w:ind w:left="5040" w:hanging="360"/>
      </w:pPr>
      <w:rPr>
        <w:rFonts w:ascii="Symbol" w:hAnsi="Symbol"/>
      </w:rPr>
    </w:lvl>
    <w:lvl w:ilvl="7" w:tplc="B3C4F03A">
      <w:start w:val="1"/>
      <w:numFmt w:val="bullet"/>
      <w:lvlText w:val="o"/>
      <w:lvlJc w:val="left"/>
      <w:pPr>
        <w:tabs>
          <w:tab w:val="num" w:pos="5760"/>
        </w:tabs>
        <w:ind w:left="5760" w:hanging="360"/>
      </w:pPr>
      <w:rPr>
        <w:rFonts w:ascii="Courier New" w:hAnsi="Courier New"/>
      </w:rPr>
    </w:lvl>
    <w:lvl w:ilvl="8" w:tplc="7A045AE8">
      <w:start w:val="1"/>
      <w:numFmt w:val="bullet"/>
      <w:lvlText w:val=""/>
      <w:lvlJc w:val="left"/>
      <w:pPr>
        <w:tabs>
          <w:tab w:val="num" w:pos="6480"/>
        </w:tabs>
        <w:ind w:left="6480" w:hanging="360"/>
      </w:pPr>
      <w:rPr>
        <w:rFonts w:ascii="Wingdings" w:hAnsi="Wingdings"/>
      </w:rPr>
    </w:lvl>
  </w:abstractNum>
  <w:abstractNum w:abstractNumId="61" w15:restartNumberingAfterBreak="0">
    <w:nsid w:val="7DF627F2"/>
    <w:multiLevelType w:val="multilevel"/>
    <w:tmpl w:val="7DF627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DF627F3"/>
    <w:multiLevelType w:val="hybridMultilevel"/>
    <w:tmpl w:val="7DF627F3"/>
    <w:lvl w:ilvl="0" w:tplc="2CD43836">
      <w:start w:val="1"/>
      <w:numFmt w:val="bullet"/>
      <w:lvlText w:val=""/>
      <w:lvlJc w:val="left"/>
      <w:pPr>
        <w:tabs>
          <w:tab w:val="num" w:pos="720"/>
        </w:tabs>
        <w:ind w:left="720" w:hanging="360"/>
      </w:pPr>
      <w:rPr>
        <w:rFonts w:ascii="Symbol" w:hAnsi="Symbol"/>
      </w:rPr>
    </w:lvl>
    <w:lvl w:ilvl="1" w:tplc="DB143144">
      <w:start w:val="1"/>
      <w:numFmt w:val="bullet"/>
      <w:lvlText w:val="o"/>
      <w:lvlJc w:val="left"/>
      <w:pPr>
        <w:tabs>
          <w:tab w:val="num" w:pos="1440"/>
        </w:tabs>
        <w:ind w:left="1440" w:hanging="360"/>
      </w:pPr>
      <w:rPr>
        <w:rFonts w:ascii="Courier New" w:hAnsi="Courier New"/>
      </w:rPr>
    </w:lvl>
    <w:lvl w:ilvl="2" w:tplc="463A6C30">
      <w:start w:val="1"/>
      <w:numFmt w:val="bullet"/>
      <w:lvlText w:val=""/>
      <w:lvlJc w:val="left"/>
      <w:pPr>
        <w:tabs>
          <w:tab w:val="num" w:pos="2160"/>
        </w:tabs>
        <w:ind w:left="2160" w:hanging="360"/>
      </w:pPr>
      <w:rPr>
        <w:rFonts w:ascii="Wingdings" w:hAnsi="Wingdings"/>
      </w:rPr>
    </w:lvl>
    <w:lvl w:ilvl="3" w:tplc="C5EA1FA2">
      <w:start w:val="1"/>
      <w:numFmt w:val="bullet"/>
      <w:lvlText w:val=""/>
      <w:lvlJc w:val="left"/>
      <w:pPr>
        <w:tabs>
          <w:tab w:val="num" w:pos="2880"/>
        </w:tabs>
        <w:ind w:left="2880" w:hanging="360"/>
      </w:pPr>
      <w:rPr>
        <w:rFonts w:ascii="Symbol" w:hAnsi="Symbol"/>
      </w:rPr>
    </w:lvl>
    <w:lvl w:ilvl="4" w:tplc="EFDA34A8">
      <w:start w:val="1"/>
      <w:numFmt w:val="bullet"/>
      <w:lvlText w:val="o"/>
      <w:lvlJc w:val="left"/>
      <w:pPr>
        <w:tabs>
          <w:tab w:val="num" w:pos="3600"/>
        </w:tabs>
        <w:ind w:left="3600" w:hanging="360"/>
      </w:pPr>
      <w:rPr>
        <w:rFonts w:ascii="Courier New" w:hAnsi="Courier New"/>
      </w:rPr>
    </w:lvl>
    <w:lvl w:ilvl="5" w:tplc="65AABCC2">
      <w:start w:val="1"/>
      <w:numFmt w:val="bullet"/>
      <w:lvlText w:val=""/>
      <w:lvlJc w:val="left"/>
      <w:pPr>
        <w:tabs>
          <w:tab w:val="num" w:pos="4320"/>
        </w:tabs>
        <w:ind w:left="4320" w:hanging="360"/>
      </w:pPr>
      <w:rPr>
        <w:rFonts w:ascii="Wingdings" w:hAnsi="Wingdings"/>
      </w:rPr>
    </w:lvl>
    <w:lvl w:ilvl="6" w:tplc="D63A0EE4">
      <w:start w:val="1"/>
      <w:numFmt w:val="bullet"/>
      <w:lvlText w:val=""/>
      <w:lvlJc w:val="left"/>
      <w:pPr>
        <w:tabs>
          <w:tab w:val="num" w:pos="5040"/>
        </w:tabs>
        <w:ind w:left="5040" w:hanging="360"/>
      </w:pPr>
      <w:rPr>
        <w:rFonts w:ascii="Symbol" w:hAnsi="Symbol"/>
      </w:rPr>
    </w:lvl>
    <w:lvl w:ilvl="7" w:tplc="BF7EFC46">
      <w:start w:val="1"/>
      <w:numFmt w:val="bullet"/>
      <w:lvlText w:val="o"/>
      <w:lvlJc w:val="left"/>
      <w:pPr>
        <w:tabs>
          <w:tab w:val="num" w:pos="5760"/>
        </w:tabs>
        <w:ind w:left="5760" w:hanging="360"/>
      </w:pPr>
      <w:rPr>
        <w:rFonts w:ascii="Courier New" w:hAnsi="Courier New"/>
      </w:rPr>
    </w:lvl>
    <w:lvl w:ilvl="8" w:tplc="BEAC8654">
      <w:start w:val="1"/>
      <w:numFmt w:val="bullet"/>
      <w:lvlText w:val=""/>
      <w:lvlJc w:val="left"/>
      <w:pPr>
        <w:tabs>
          <w:tab w:val="num" w:pos="6480"/>
        </w:tabs>
        <w:ind w:left="6480" w:hanging="360"/>
      </w:pPr>
      <w:rPr>
        <w:rFonts w:ascii="Wingdings" w:hAnsi="Wingdings"/>
      </w:rPr>
    </w:lvl>
  </w:abstractNum>
  <w:abstractNum w:abstractNumId="63" w15:restartNumberingAfterBreak="0">
    <w:nsid w:val="7DF627F4"/>
    <w:multiLevelType w:val="hybridMultilevel"/>
    <w:tmpl w:val="7DF627F4"/>
    <w:lvl w:ilvl="0" w:tplc="3440CD56">
      <w:start w:val="1"/>
      <w:numFmt w:val="bullet"/>
      <w:lvlText w:val=""/>
      <w:lvlJc w:val="left"/>
      <w:pPr>
        <w:tabs>
          <w:tab w:val="num" w:pos="720"/>
        </w:tabs>
        <w:ind w:left="720" w:hanging="360"/>
      </w:pPr>
      <w:rPr>
        <w:rFonts w:ascii="Symbol" w:hAnsi="Symbol"/>
      </w:rPr>
    </w:lvl>
    <w:lvl w:ilvl="1" w:tplc="1966D240">
      <w:start w:val="1"/>
      <w:numFmt w:val="bullet"/>
      <w:lvlText w:val="o"/>
      <w:lvlJc w:val="left"/>
      <w:pPr>
        <w:tabs>
          <w:tab w:val="num" w:pos="1440"/>
        </w:tabs>
        <w:ind w:left="1440" w:hanging="360"/>
      </w:pPr>
      <w:rPr>
        <w:rFonts w:ascii="Courier New" w:hAnsi="Courier New"/>
      </w:rPr>
    </w:lvl>
    <w:lvl w:ilvl="2" w:tplc="7BD874C6">
      <w:start w:val="1"/>
      <w:numFmt w:val="bullet"/>
      <w:lvlText w:val=""/>
      <w:lvlJc w:val="left"/>
      <w:pPr>
        <w:tabs>
          <w:tab w:val="num" w:pos="2160"/>
        </w:tabs>
        <w:ind w:left="2160" w:hanging="360"/>
      </w:pPr>
      <w:rPr>
        <w:rFonts w:ascii="Wingdings" w:hAnsi="Wingdings"/>
      </w:rPr>
    </w:lvl>
    <w:lvl w:ilvl="3" w:tplc="5E80B51C">
      <w:start w:val="1"/>
      <w:numFmt w:val="bullet"/>
      <w:lvlText w:val=""/>
      <w:lvlJc w:val="left"/>
      <w:pPr>
        <w:tabs>
          <w:tab w:val="num" w:pos="2880"/>
        </w:tabs>
        <w:ind w:left="2880" w:hanging="360"/>
      </w:pPr>
      <w:rPr>
        <w:rFonts w:ascii="Symbol" w:hAnsi="Symbol"/>
      </w:rPr>
    </w:lvl>
    <w:lvl w:ilvl="4" w:tplc="91A619A8">
      <w:start w:val="1"/>
      <w:numFmt w:val="bullet"/>
      <w:lvlText w:val="o"/>
      <w:lvlJc w:val="left"/>
      <w:pPr>
        <w:tabs>
          <w:tab w:val="num" w:pos="3600"/>
        </w:tabs>
        <w:ind w:left="3600" w:hanging="360"/>
      </w:pPr>
      <w:rPr>
        <w:rFonts w:ascii="Courier New" w:hAnsi="Courier New"/>
      </w:rPr>
    </w:lvl>
    <w:lvl w:ilvl="5" w:tplc="C4DA93C6">
      <w:start w:val="1"/>
      <w:numFmt w:val="bullet"/>
      <w:lvlText w:val=""/>
      <w:lvlJc w:val="left"/>
      <w:pPr>
        <w:tabs>
          <w:tab w:val="num" w:pos="4320"/>
        </w:tabs>
        <w:ind w:left="4320" w:hanging="360"/>
      </w:pPr>
      <w:rPr>
        <w:rFonts w:ascii="Wingdings" w:hAnsi="Wingdings"/>
      </w:rPr>
    </w:lvl>
    <w:lvl w:ilvl="6" w:tplc="8BAAA010">
      <w:start w:val="1"/>
      <w:numFmt w:val="bullet"/>
      <w:lvlText w:val=""/>
      <w:lvlJc w:val="left"/>
      <w:pPr>
        <w:tabs>
          <w:tab w:val="num" w:pos="5040"/>
        </w:tabs>
        <w:ind w:left="5040" w:hanging="360"/>
      </w:pPr>
      <w:rPr>
        <w:rFonts w:ascii="Symbol" w:hAnsi="Symbol"/>
      </w:rPr>
    </w:lvl>
    <w:lvl w:ilvl="7" w:tplc="163AF15E">
      <w:start w:val="1"/>
      <w:numFmt w:val="bullet"/>
      <w:lvlText w:val="o"/>
      <w:lvlJc w:val="left"/>
      <w:pPr>
        <w:tabs>
          <w:tab w:val="num" w:pos="5760"/>
        </w:tabs>
        <w:ind w:left="5760" w:hanging="360"/>
      </w:pPr>
      <w:rPr>
        <w:rFonts w:ascii="Courier New" w:hAnsi="Courier New"/>
      </w:rPr>
    </w:lvl>
    <w:lvl w:ilvl="8" w:tplc="5C40570E">
      <w:start w:val="1"/>
      <w:numFmt w:val="bullet"/>
      <w:lvlText w:val=""/>
      <w:lvlJc w:val="left"/>
      <w:pPr>
        <w:tabs>
          <w:tab w:val="num" w:pos="6480"/>
        </w:tabs>
        <w:ind w:left="6480" w:hanging="360"/>
      </w:pPr>
      <w:rPr>
        <w:rFonts w:ascii="Wingdings" w:hAnsi="Wingdings"/>
      </w:rPr>
    </w:lvl>
  </w:abstractNum>
  <w:abstractNum w:abstractNumId="64" w15:restartNumberingAfterBreak="0">
    <w:nsid w:val="7DF627F5"/>
    <w:multiLevelType w:val="hybridMultilevel"/>
    <w:tmpl w:val="7DF627F5"/>
    <w:lvl w:ilvl="0" w:tplc="AC966846">
      <w:start w:val="1"/>
      <w:numFmt w:val="bullet"/>
      <w:lvlText w:val=""/>
      <w:lvlJc w:val="left"/>
      <w:pPr>
        <w:tabs>
          <w:tab w:val="num" w:pos="720"/>
        </w:tabs>
        <w:ind w:left="720" w:hanging="360"/>
      </w:pPr>
      <w:rPr>
        <w:rFonts w:ascii="Symbol" w:hAnsi="Symbol"/>
      </w:rPr>
    </w:lvl>
    <w:lvl w:ilvl="1" w:tplc="E2D6CE10">
      <w:start w:val="1"/>
      <w:numFmt w:val="bullet"/>
      <w:lvlText w:val="o"/>
      <w:lvlJc w:val="left"/>
      <w:pPr>
        <w:tabs>
          <w:tab w:val="num" w:pos="1440"/>
        </w:tabs>
        <w:ind w:left="1440" w:hanging="360"/>
      </w:pPr>
      <w:rPr>
        <w:rFonts w:ascii="Courier New" w:hAnsi="Courier New"/>
      </w:rPr>
    </w:lvl>
    <w:lvl w:ilvl="2" w:tplc="BC1E5D92">
      <w:start w:val="1"/>
      <w:numFmt w:val="bullet"/>
      <w:lvlText w:val=""/>
      <w:lvlJc w:val="left"/>
      <w:pPr>
        <w:tabs>
          <w:tab w:val="num" w:pos="2160"/>
        </w:tabs>
        <w:ind w:left="2160" w:hanging="360"/>
      </w:pPr>
      <w:rPr>
        <w:rFonts w:ascii="Wingdings" w:hAnsi="Wingdings"/>
      </w:rPr>
    </w:lvl>
    <w:lvl w:ilvl="3" w:tplc="421812EA">
      <w:start w:val="1"/>
      <w:numFmt w:val="bullet"/>
      <w:lvlText w:val=""/>
      <w:lvlJc w:val="left"/>
      <w:pPr>
        <w:tabs>
          <w:tab w:val="num" w:pos="2880"/>
        </w:tabs>
        <w:ind w:left="2880" w:hanging="360"/>
      </w:pPr>
      <w:rPr>
        <w:rFonts w:ascii="Symbol" w:hAnsi="Symbol"/>
      </w:rPr>
    </w:lvl>
    <w:lvl w:ilvl="4" w:tplc="F1141CD2">
      <w:start w:val="1"/>
      <w:numFmt w:val="bullet"/>
      <w:lvlText w:val="o"/>
      <w:lvlJc w:val="left"/>
      <w:pPr>
        <w:tabs>
          <w:tab w:val="num" w:pos="3600"/>
        </w:tabs>
        <w:ind w:left="3600" w:hanging="360"/>
      </w:pPr>
      <w:rPr>
        <w:rFonts w:ascii="Courier New" w:hAnsi="Courier New"/>
      </w:rPr>
    </w:lvl>
    <w:lvl w:ilvl="5" w:tplc="04FC909E">
      <w:start w:val="1"/>
      <w:numFmt w:val="bullet"/>
      <w:lvlText w:val=""/>
      <w:lvlJc w:val="left"/>
      <w:pPr>
        <w:tabs>
          <w:tab w:val="num" w:pos="4320"/>
        </w:tabs>
        <w:ind w:left="4320" w:hanging="360"/>
      </w:pPr>
      <w:rPr>
        <w:rFonts w:ascii="Wingdings" w:hAnsi="Wingdings"/>
      </w:rPr>
    </w:lvl>
    <w:lvl w:ilvl="6" w:tplc="8F88DFD8">
      <w:start w:val="1"/>
      <w:numFmt w:val="bullet"/>
      <w:lvlText w:val=""/>
      <w:lvlJc w:val="left"/>
      <w:pPr>
        <w:tabs>
          <w:tab w:val="num" w:pos="5040"/>
        </w:tabs>
        <w:ind w:left="5040" w:hanging="360"/>
      </w:pPr>
      <w:rPr>
        <w:rFonts w:ascii="Symbol" w:hAnsi="Symbol"/>
      </w:rPr>
    </w:lvl>
    <w:lvl w:ilvl="7" w:tplc="2248A2CC">
      <w:start w:val="1"/>
      <w:numFmt w:val="bullet"/>
      <w:lvlText w:val="o"/>
      <w:lvlJc w:val="left"/>
      <w:pPr>
        <w:tabs>
          <w:tab w:val="num" w:pos="5760"/>
        </w:tabs>
        <w:ind w:left="5760" w:hanging="360"/>
      </w:pPr>
      <w:rPr>
        <w:rFonts w:ascii="Courier New" w:hAnsi="Courier New"/>
      </w:rPr>
    </w:lvl>
    <w:lvl w:ilvl="8" w:tplc="F3803EB6">
      <w:start w:val="1"/>
      <w:numFmt w:val="bullet"/>
      <w:lvlText w:val=""/>
      <w:lvlJc w:val="left"/>
      <w:pPr>
        <w:tabs>
          <w:tab w:val="num" w:pos="6480"/>
        </w:tabs>
        <w:ind w:left="6480" w:hanging="360"/>
      </w:pPr>
      <w:rPr>
        <w:rFonts w:ascii="Wingdings" w:hAnsi="Wingdings"/>
      </w:rPr>
    </w:lvl>
  </w:abstractNum>
  <w:abstractNum w:abstractNumId="65" w15:restartNumberingAfterBreak="0">
    <w:nsid w:val="7DF627F6"/>
    <w:multiLevelType w:val="hybridMultilevel"/>
    <w:tmpl w:val="7DF627F6"/>
    <w:lvl w:ilvl="0" w:tplc="2940DE88">
      <w:start w:val="1"/>
      <w:numFmt w:val="bullet"/>
      <w:lvlText w:val=""/>
      <w:lvlJc w:val="left"/>
      <w:pPr>
        <w:tabs>
          <w:tab w:val="num" w:pos="720"/>
        </w:tabs>
        <w:ind w:left="720" w:hanging="360"/>
      </w:pPr>
      <w:rPr>
        <w:rFonts w:ascii="Symbol" w:hAnsi="Symbol"/>
      </w:rPr>
    </w:lvl>
    <w:lvl w:ilvl="1" w:tplc="81A64F92">
      <w:start w:val="1"/>
      <w:numFmt w:val="bullet"/>
      <w:lvlText w:val="o"/>
      <w:lvlJc w:val="left"/>
      <w:pPr>
        <w:tabs>
          <w:tab w:val="num" w:pos="1440"/>
        </w:tabs>
        <w:ind w:left="1440" w:hanging="360"/>
      </w:pPr>
      <w:rPr>
        <w:rFonts w:ascii="Courier New" w:hAnsi="Courier New"/>
      </w:rPr>
    </w:lvl>
    <w:lvl w:ilvl="2" w:tplc="230836C0">
      <w:start w:val="1"/>
      <w:numFmt w:val="bullet"/>
      <w:lvlText w:val=""/>
      <w:lvlJc w:val="left"/>
      <w:pPr>
        <w:tabs>
          <w:tab w:val="num" w:pos="2160"/>
        </w:tabs>
        <w:ind w:left="2160" w:hanging="360"/>
      </w:pPr>
      <w:rPr>
        <w:rFonts w:ascii="Wingdings" w:hAnsi="Wingdings"/>
      </w:rPr>
    </w:lvl>
    <w:lvl w:ilvl="3" w:tplc="C7FEED9E">
      <w:start w:val="1"/>
      <w:numFmt w:val="bullet"/>
      <w:lvlText w:val=""/>
      <w:lvlJc w:val="left"/>
      <w:pPr>
        <w:tabs>
          <w:tab w:val="num" w:pos="2880"/>
        </w:tabs>
        <w:ind w:left="2880" w:hanging="360"/>
      </w:pPr>
      <w:rPr>
        <w:rFonts w:ascii="Symbol" w:hAnsi="Symbol"/>
      </w:rPr>
    </w:lvl>
    <w:lvl w:ilvl="4" w:tplc="6A8AB79A">
      <w:start w:val="1"/>
      <w:numFmt w:val="bullet"/>
      <w:lvlText w:val="o"/>
      <w:lvlJc w:val="left"/>
      <w:pPr>
        <w:tabs>
          <w:tab w:val="num" w:pos="3600"/>
        </w:tabs>
        <w:ind w:left="3600" w:hanging="360"/>
      </w:pPr>
      <w:rPr>
        <w:rFonts w:ascii="Courier New" w:hAnsi="Courier New"/>
      </w:rPr>
    </w:lvl>
    <w:lvl w:ilvl="5" w:tplc="3926B0D6">
      <w:start w:val="1"/>
      <w:numFmt w:val="bullet"/>
      <w:lvlText w:val=""/>
      <w:lvlJc w:val="left"/>
      <w:pPr>
        <w:tabs>
          <w:tab w:val="num" w:pos="4320"/>
        </w:tabs>
        <w:ind w:left="4320" w:hanging="360"/>
      </w:pPr>
      <w:rPr>
        <w:rFonts w:ascii="Wingdings" w:hAnsi="Wingdings"/>
      </w:rPr>
    </w:lvl>
    <w:lvl w:ilvl="6" w:tplc="99827854">
      <w:start w:val="1"/>
      <w:numFmt w:val="bullet"/>
      <w:lvlText w:val=""/>
      <w:lvlJc w:val="left"/>
      <w:pPr>
        <w:tabs>
          <w:tab w:val="num" w:pos="5040"/>
        </w:tabs>
        <w:ind w:left="5040" w:hanging="360"/>
      </w:pPr>
      <w:rPr>
        <w:rFonts w:ascii="Symbol" w:hAnsi="Symbol"/>
      </w:rPr>
    </w:lvl>
    <w:lvl w:ilvl="7" w:tplc="99FA91E4">
      <w:start w:val="1"/>
      <w:numFmt w:val="bullet"/>
      <w:lvlText w:val="o"/>
      <w:lvlJc w:val="left"/>
      <w:pPr>
        <w:tabs>
          <w:tab w:val="num" w:pos="5760"/>
        </w:tabs>
        <w:ind w:left="5760" w:hanging="360"/>
      </w:pPr>
      <w:rPr>
        <w:rFonts w:ascii="Courier New" w:hAnsi="Courier New"/>
      </w:rPr>
    </w:lvl>
    <w:lvl w:ilvl="8" w:tplc="5246A6C0">
      <w:start w:val="1"/>
      <w:numFmt w:val="bullet"/>
      <w:lvlText w:val=""/>
      <w:lvlJc w:val="left"/>
      <w:pPr>
        <w:tabs>
          <w:tab w:val="num" w:pos="6480"/>
        </w:tabs>
        <w:ind w:left="6480" w:hanging="360"/>
      </w:pPr>
      <w:rPr>
        <w:rFonts w:ascii="Wingdings" w:hAnsi="Wingdings"/>
      </w:rPr>
    </w:lvl>
  </w:abstractNum>
  <w:abstractNum w:abstractNumId="66" w15:restartNumberingAfterBreak="0">
    <w:nsid w:val="7DF627F7"/>
    <w:multiLevelType w:val="hybridMultilevel"/>
    <w:tmpl w:val="7DF627F7"/>
    <w:lvl w:ilvl="0" w:tplc="E642F8FC">
      <w:start w:val="1"/>
      <w:numFmt w:val="bullet"/>
      <w:lvlText w:val=""/>
      <w:lvlJc w:val="left"/>
      <w:pPr>
        <w:tabs>
          <w:tab w:val="num" w:pos="720"/>
        </w:tabs>
        <w:ind w:left="720" w:hanging="360"/>
      </w:pPr>
      <w:rPr>
        <w:rFonts w:ascii="Symbol" w:hAnsi="Symbol"/>
      </w:rPr>
    </w:lvl>
    <w:lvl w:ilvl="1" w:tplc="675E193E">
      <w:start w:val="1"/>
      <w:numFmt w:val="bullet"/>
      <w:lvlText w:val="o"/>
      <w:lvlJc w:val="left"/>
      <w:pPr>
        <w:tabs>
          <w:tab w:val="num" w:pos="1440"/>
        </w:tabs>
        <w:ind w:left="1440" w:hanging="360"/>
      </w:pPr>
      <w:rPr>
        <w:rFonts w:ascii="Courier New" w:hAnsi="Courier New"/>
      </w:rPr>
    </w:lvl>
    <w:lvl w:ilvl="2" w:tplc="ABBA7E0A">
      <w:start w:val="1"/>
      <w:numFmt w:val="bullet"/>
      <w:lvlText w:val=""/>
      <w:lvlJc w:val="left"/>
      <w:pPr>
        <w:tabs>
          <w:tab w:val="num" w:pos="2160"/>
        </w:tabs>
        <w:ind w:left="2160" w:hanging="360"/>
      </w:pPr>
      <w:rPr>
        <w:rFonts w:ascii="Wingdings" w:hAnsi="Wingdings"/>
      </w:rPr>
    </w:lvl>
    <w:lvl w:ilvl="3" w:tplc="B502A3E6">
      <w:start w:val="1"/>
      <w:numFmt w:val="bullet"/>
      <w:lvlText w:val=""/>
      <w:lvlJc w:val="left"/>
      <w:pPr>
        <w:tabs>
          <w:tab w:val="num" w:pos="2880"/>
        </w:tabs>
        <w:ind w:left="2880" w:hanging="360"/>
      </w:pPr>
      <w:rPr>
        <w:rFonts w:ascii="Symbol" w:hAnsi="Symbol"/>
      </w:rPr>
    </w:lvl>
    <w:lvl w:ilvl="4" w:tplc="5BF2CB5E">
      <w:start w:val="1"/>
      <w:numFmt w:val="bullet"/>
      <w:lvlText w:val="o"/>
      <w:lvlJc w:val="left"/>
      <w:pPr>
        <w:tabs>
          <w:tab w:val="num" w:pos="3600"/>
        </w:tabs>
        <w:ind w:left="3600" w:hanging="360"/>
      </w:pPr>
      <w:rPr>
        <w:rFonts w:ascii="Courier New" w:hAnsi="Courier New"/>
      </w:rPr>
    </w:lvl>
    <w:lvl w:ilvl="5" w:tplc="59B4E210">
      <w:start w:val="1"/>
      <w:numFmt w:val="bullet"/>
      <w:lvlText w:val=""/>
      <w:lvlJc w:val="left"/>
      <w:pPr>
        <w:tabs>
          <w:tab w:val="num" w:pos="4320"/>
        </w:tabs>
        <w:ind w:left="4320" w:hanging="360"/>
      </w:pPr>
      <w:rPr>
        <w:rFonts w:ascii="Wingdings" w:hAnsi="Wingdings"/>
      </w:rPr>
    </w:lvl>
    <w:lvl w:ilvl="6" w:tplc="FDDC9D26">
      <w:start w:val="1"/>
      <w:numFmt w:val="bullet"/>
      <w:lvlText w:val=""/>
      <w:lvlJc w:val="left"/>
      <w:pPr>
        <w:tabs>
          <w:tab w:val="num" w:pos="5040"/>
        </w:tabs>
        <w:ind w:left="5040" w:hanging="360"/>
      </w:pPr>
      <w:rPr>
        <w:rFonts w:ascii="Symbol" w:hAnsi="Symbol"/>
      </w:rPr>
    </w:lvl>
    <w:lvl w:ilvl="7" w:tplc="664E2148">
      <w:start w:val="1"/>
      <w:numFmt w:val="bullet"/>
      <w:lvlText w:val="o"/>
      <w:lvlJc w:val="left"/>
      <w:pPr>
        <w:tabs>
          <w:tab w:val="num" w:pos="5760"/>
        </w:tabs>
        <w:ind w:left="5760" w:hanging="360"/>
      </w:pPr>
      <w:rPr>
        <w:rFonts w:ascii="Courier New" w:hAnsi="Courier New"/>
      </w:rPr>
    </w:lvl>
    <w:lvl w:ilvl="8" w:tplc="4F8657DA">
      <w:start w:val="1"/>
      <w:numFmt w:val="bullet"/>
      <w:lvlText w:val=""/>
      <w:lvlJc w:val="left"/>
      <w:pPr>
        <w:tabs>
          <w:tab w:val="num" w:pos="6480"/>
        </w:tabs>
        <w:ind w:left="6480" w:hanging="360"/>
      </w:pPr>
      <w:rPr>
        <w:rFonts w:ascii="Wingdings" w:hAnsi="Wingdings"/>
      </w:rPr>
    </w:lvl>
  </w:abstractNum>
  <w:abstractNum w:abstractNumId="67" w15:restartNumberingAfterBreak="0">
    <w:nsid w:val="7DF627F8"/>
    <w:multiLevelType w:val="multilevel"/>
    <w:tmpl w:val="7DF627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DF627F9"/>
    <w:multiLevelType w:val="multilevel"/>
    <w:tmpl w:val="7DF627F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DF627FA"/>
    <w:multiLevelType w:val="multilevel"/>
    <w:tmpl w:val="7DF627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DF627FB"/>
    <w:multiLevelType w:val="multilevel"/>
    <w:tmpl w:val="7DF627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DF627FC"/>
    <w:multiLevelType w:val="hybridMultilevel"/>
    <w:tmpl w:val="7DF627FC"/>
    <w:lvl w:ilvl="0" w:tplc="6A72F670">
      <w:start w:val="1"/>
      <w:numFmt w:val="bullet"/>
      <w:lvlText w:val=""/>
      <w:lvlJc w:val="left"/>
      <w:pPr>
        <w:tabs>
          <w:tab w:val="num" w:pos="720"/>
        </w:tabs>
        <w:ind w:left="720" w:hanging="360"/>
      </w:pPr>
      <w:rPr>
        <w:rFonts w:ascii="Symbol" w:hAnsi="Symbol"/>
      </w:rPr>
    </w:lvl>
    <w:lvl w:ilvl="1" w:tplc="C99CE0EA">
      <w:start w:val="1"/>
      <w:numFmt w:val="bullet"/>
      <w:lvlText w:val="o"/>
      <w:lvlJc w:val="left"/>
      <w:pPr>
        <w:tabs>
          <w:tab w:val="num" w:pos="1440"/>
        </w:tabs>
        <w:ind w:left="1440" w:hanging="360"/>
      </w:pPr>
      <w:rPr>
        <w:rFonts w:ascii="Courier New" w:hAnsi="Courier New"/>
      </w:rPr>
    </w:lvl>
    <w:lvl w:ilvl="2" w:tplc="30C2DBB2">
      <w:start w:val="1"/>
      <w:numFmt w:val="bullet"/>
      <w:lvlText w:val=""/>
      <w:lvlJc w:val="left"/>
      <w:pPr>
        <w:tabs>
          <w:tab w:val="num" w:pos="2160"/>
        </w:tabs>
        <w:ind w:left="2160" w:hanging="360"/>
      </w:pPr>
      <w:rPr>
        <w:rFonts w:ascii="Wingdings" w:hAnsi="Wingdings"/>
      </w:rPr>
    </w:lvl>
    <w:lvl w:ilvl="3" w:tplc="C8FCDF28">
      <w:start w:val="1"/>
      <w:numFmt w:val="bullet"/>
      <w:lvlText w:val=""/>
      <w:lvlJc w:val="left"/>
      <w:pPr>
        <w:tabs>
          <w:tab w:val="num" w:pos="2880"/>
        </w:tabs>
        <w:ind w:left="2880" w:hanging="360"/>
      </w:pPr>
      <w:rPr>
        <w:rFonts w:ascii="Symbol" w:hAnsi="Symbol"/>
      </w:rPr>
    </w:lvl>
    <w:lvl w:ilvl="4" w:tplc="9EA83ED2">
      <w:start w:val="1"/>
      <w:numFmt w:val="bullet"/>
      <w:lvlText w:val="o"/>
      <w:lvlJc w:val="left"/>
      <w:pPr>
        <w:tabs>
          <w:tab w:val="num" w:pos="3600"/>
        </w:tabs>
        <w:ind w:left="3600" w:hanging="360"/>
      </w:pPr>
      <w:rPr>
        <w:rFonts w:ascii="Courier New" w:hAnsi="Courier New"/>
      </w:rPr>
    </w:lvl>
    <w:lvl w:ilvl="5" w:tplc="78B8BBA4">
      <w:start w:val="1"/>
      <w:numFmt w:val="bullet"/>
      <w:lvlText w:val=""/>
      <w:lvlJc w:val="left"/>
      <w:pPr>
        <w:tabs>
          <w:tab w:val="num" w:pos="4320"/>
        </w:tabs>
        <w:ind w:left="4320" w:hanging="360"/>
      </w:pPr>
      <w:rPr>
        <w:rFonts w:ascii="Wingdings" w:hAnsi="Wingdings"/>
      </w:rPr>
    </w:lvl>
    <w:lvl w:ilvl="6" w:tplc="1054DADE">
      <w:start w:val="1"/>
      <w:numFmt w:val="bullet"/>
      <w:lvlText w:val=""/>
      <w:lvlJc w:val="left"/>
      <w:pPr>
        <w:tabs>
          <w:tab w:val="num" w:pos="5040"/>
        </w:tabs>
        <w:ind w:left="5040" w:hanging="360"/>
      </w:pPr>
      <w:rPr>
        <w:rFonts w:ascii="Symbol" w:hAnsi="Symbol"/>
      </w:rPr>
    </w:lvl>
    <w:lvl w:ilvl="7" w:tplc="04AA693E">
      <w:start w:val="1"/>
      <w:numFmt w:val="bullet"/>
      <w:lvlText w:val="o"/>
      <w:lvlJc w:val="left"/>
      <w:pPr>
        <w:tabs>
          <w:tab w:val="num" w:pos="5760"/>
        </w:tabs>
        <w:ind w:left="5760" w:hanging="360"/>
      </w:pPr>
      <w:rPr>
        <w:rFonts w:ascii="Courier New" w:hAnsi="Courier New"/>
      </w:rPr>
    </w:lvl>
    <w:lvl w:ilvl="8" w:tplc="F65848FC">
      <w:start w:val="1"/>
      <w:numFmt w:val="bullet"/>
      <w:lvlText w:val=""/>
      <w:lvlJc w:val="left"/>
      <w:pPr>
        <w:tabs>
          <w:tab w:val="num" w:pos="6480"/>
        </w:tabs>
        <w:ind w:left="6480" w:hanging="360"/>
      </w:pPr>
      <w:rPr>
        <w:rFonts w:ascii="Wingdings" w:hAnsi="Wingdings"/>
      </w:rPr>
    </w:lvl>
  </w:abstractNum>
  <w:abstractNum w:abstractNumId="72" w15:restartNumberingAfterBreak="0">
    <w:nsid w:val="7DF627FD"/>
    <w:multiLevelType w:val="hybridMultilevel"/>
    <w:tmpl w:val="7DF627FD"/>
    <w:lvl w:ilvl="0" w:tplc="7ED8AA7A">
      <w:start w:val="1"/>
      <w:numFmt w:val="bullet"/>
      <w:lvlText w:val=""/>
      <w:lvlJc w:val="left"/>
      <w:pPr>
        <w:tabs>
          <w:tab w:val="num" w:pos="720"/>
        </w:tabs>
        <w:ind w:left="720" w:hanging="360"/>
      </w:pPr>
      <w:rPr>
        <w:rFonts w:ascii="Symbol" w:hAnsi="Symbol"/>
      </w:rPr>
    </w:lvl>
    <w:lvl w:ilvl="1" w:tplc="8F62073A">
      <w:start w:val="1"/>
      <w:numFmt w:val="bullet"/>
      <w:lvlText w:val="o"/>
      <w:lvlJc w:val="left"/>
      <w:pPr>
        <w:tabs>
          <w:tab w:val="num" w:pos="1440"/>
        </w:tabs>
        <w:ind w:left="1440" w:hanging="360"/>
      </w:pPr>
      <w:rPr>
        <w:rFonts w:ascii="Courier New" w:hAnsi="Courier New"/>
      </w:rPr>
    </w:lvl>
    <w:lvl w:ilvl="2" w:tplc="B00C38F2">
      <w:start w:val="1"/>
      <w:numFmt w:val="bullet"/>
      <w:lvlText w:val=""/>
      <w:lvlJc w:val="left"/>
      <w:pPr>
        <w:tabs>
          <w:tab w:val="num" w:pos="2160"/>
        </w:tabs>
        <w:ind w:left="2160" w:hanging="360"/>
      </w:pPr>
      <w:rPr>
        <w:rFonts w:ascii="Wingdings" w:hAnsi="Wingdings"/>
      </w:rPr>
    </w:lvl>
    <w:lvl w:ilvl="3" w:tplc="0D0A76D0">
      <w:start w:val="1"/>
      <w:numFmt w:val="bullet"/>
      <w:lvlText w:val=""/>
      <w:lvlJc w:val="left"/>
      <w:pPr>
        <w:tabs>
          <w:tab w:val="num" w:pos="2880"/>
        </w:tabs>
        <w:ind w:left="2880" w:hanging="360"/>
      </w:pPr>
      <w:rPr>
        <w:rFonts w:ascii="Symbol" w:hAnsi="Symbol"/>
      </w:rPr>
    </w:lvl>
    <w:lvl w:ilvl="4" w:tplc="859643A0">
      <w:start w:val="1"/>
      <w:numFmt w:val="bullet"/>
      <w:lvlText w:val="o"/>
      <w:lvlJc w:val="left"/>
      <w:pPr>
        <w:tabs>
          <w:tab w:val="num" w:pos="3600"/>
        </w:tabs>
        <w:ind w:left="3600" w:hanging="360"/>
      </w:pPr>
      <w:rPr>
        <w:rFonts w:ascii="Courier New" w:hAnsi="Courier New"/>
      </w:rPr>
    </w:lvl>
    <w:lvl w:ilvl="5" w:tplc="B4D249FE">
      <w:start w:val="1"/>
      <w:numFmt w:val="bullet"/>
      <w:lvlText w:val=""/>
      <w:lvlJc w:val="left"/>
      <w:pPr>
        <w:tabs>
          <w:tab w:val="num" w:pos="4320"/>
        </w:tabs>
        <w:ind w:left="4320" w:hanging="360"/>
      </w:pPr>
      <w:rPr>
        <w:rFonts w:ascii="Wingdings" w:hAnsi="Wingdings"/>
      </w:rPr>
    </w:lvl>
    <w:lvl w:ilvl="6" w:tplc="E490F5AC">
      <w:start w:val="1"/>
      <w:numFmt w:val="bullet"/>
      <w:lvlText w:val=""/>
      <w:lvlJc w:val="left"/>
      <w:pPr>
        <w:tabs>
          <w:tab w:val="num" w:pos="5040"/>
        </w:tabs>
        <w:ind w:left="5040" w:hanging="360"/>
      </w:pPr>
      <w:rPr>
        <w:rFonts w:ascii="Symbol" w:hAnsi="Symbol"/>
      </w:rPr>
    </w:lvl>
    <w:lvl w:ilvl="7" w:tplc="7D64DC5A">
      <w:start w:val="1"/>
      <w:numFmt w:val="bullet"/>
      <w:lvlText w:val="o"/>
      <w:lvlJc w:val="left"/>
      <w:pPr>
        <w:tabs>
          <w:tab w:val="num" w:pos="5760"/>
        </w:tabs>
        <w:ind w:left="5760" w:hanging="360"/>
      </w:pPr>
      <w:rPr>
        <w:rFonts w:ascii="Courier New" w:hAnsi="Courier New"/>
      </w:rPr>
    </w:lvl>
    <w:lvl w:ilvl="8" w:tplc="2C5A0796">
      <w:start w:val="1"/>
      <w:numFmt w:val="bullet"/>
      <w:lvlText w:val=""/>
      <w:lvlJc w:val="left"/>
      <w:pPr>
        <w:tabs>
          <w:tab w:val="num" w:pos="6480"/>
        </w:tabs>
        <w:ind w:left="6480" w:hanging="360"/>
      </w:pPr>
      <w:rPr>
        <w:rFonts w:ascii="Wingdings" w:hAnsi="Wingdings"/>
      </w:rPr>
    </w:lvl>
  </w:abstractNum>
  <w:abstractNum w:abstractNumId="73" w15:restartNumberingAfterBreak="0">
    <w:nsid w:val="7DF627FE"/>
    <w:multiLevelType w:val="multilevel"/>
    <w:tmpl w:val="7DF627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DF627FF"/>
    <w:multiLevelType w:val="hybridMultilevel"/>
    <w:tmpl w:val="7DF627FF"/>
    <w:lvl w:ilvl="0" w:tplc="F5046446">
      <w:start w:val="1"/>
      <w:numFmt w:val="bullet"/>
      <w:lvlText w:val=""/>
      <w:lvlJc w:val="left"/>
      <w:pPr>
        <w:tabs>
          <w:tab w:val="num" w:pos="720"/>
        </w:tabs>
        <w:ind w:left="720" w:hanging="360"/>
      </w:pPr>
      <w:rPr>
        <w:rFonts w:ascii="Symbol" w:hAnsi="Symbol"/>
      </w:rPr>
    </w:lvl>
    <w:lvl w:ilvl="1" w:tplc="2E468614">
      <w:start w:val="1"/>
      <w:numFmt w:val="bullet"/>
      <w:lvlText w:val="o"/>
      <w:lvlJc w:val="left"/>
      <w:pPr>
        <w:tabs>
          <w:tab w:val="num" w:pos="1440"/>
        </w:tabs>
        <w:ind w:left="1440" w:hanging="360"/>
      </w:pPr>
      <w:rPr>
        <w:rFonts w:ascii="Courier New" w:hAnsi="Courier New"/>
      </w:rPr>
    </w:lvl>
    <w:lvl w:ilvl="2" w:tplc="30D6015A">
      <w:start w:val="1"/>
      <w:numFmt w:val="bullet"/>
      <w:lvlText w:val=""/>
      <w:lvlJc w:val="left"/>
      <w:pPr>
        <w:tabs>
          <w:tab w:val="num" w:pos="2160"/>
        </w:tabs>
        <w:ind w:left="2160" w:hanging="360"/>
      </w:pPr>
      <w:rPr>
        <w:rFonts w:ascii="Wingdings" w:hAnsi="Wingdings"/>
      </w:rPr>
    </w:lvl>
    <w:lvl w:ilvl="3" w:tplc="5BB8090C">
      <w:start w:val="1"/>
      <w:numFmt w:val="bullet"/>
      <w:lvlText w:val=""/>
      <w:lvlJc w:val="left"/>
      <w:pPr>
        <w:tabs>
          <w:tab w:val="num" w:pos="2880"/>
        </w:tabs>
        <w:ind w:left="2880" w:hanging="360"/>
      </w:pPr>
      <w:rPr>
        <w:rFonts w:ascii="Symbol" w:hAnsi="Symbol"/>
      </w:rPr>
    </w:lvl>
    <w:lvl w:ilvl="4" w:tplc="4A3436A6">
      <w:start w:val="1"/>
      <w:numFmt w:val="bullet"/>
      <w:lvlText w:val="o"/>
      <w:lvlJc w:val="left"/>
      <w:pPr>
        <w:tabs>
          <w:tab w:val="num" w:pos="3600"/>
        </w:tabs>
        <w:ind w:left="3600" w:hanging="360"/>
      </w:pPr>
      <w:rPr>
        <w:rFonts w:ascii="Courier New" w:hAnsi="Courier New"/>
      </w:rPr>
    </w:lvl>
    <w:lvl w:ilvl="5" w:tplc="EB90A448">
      <w:start w:val="1"/>
      <w:numFmt w:val="bullet"/>
      <w:lvlText w:val=""/>
      <w:lvlJc w:val="left"/>
      <w:pPr>
        <w:tabs>
          <w:tab w:val="num" w:pos="4320"/>
        </w:tabs>
        <w:ind w:left="4320" w:hanging="360"/>
      </w:pPr>
      <w:rPr>
        <w:rFonts w:ascii="Wingdings" w:hAnsi="Wingdings"/>
      </w:rPr>
    </w:lvl>
    <w:lvl w:ilvl="6" w:tplc="FE74728C">
      <w:start w:val="1"/>
      <w:numFmt w:val="bullet"/>
      <w:lvlText w:val=""/>
      <w:lvlJc w:val="left"/>
      <w:pPr>
        <w:tabs>
          <w:tab w:val="num" w:pos="5040"/>
        </w:tabs>
        <w:ind w:left="5040" w:hanging="360"/>
      </w:pPr>
      <w:rPr>
        <w:rFonts w:ascii="Symbol" w:hAnsi="Symbol"/>
      </w:rPr>
    </w:lvl>
    <w:lvl w:ilvl="7" w:tplc="C6DC89D0">
      <w:start w:val="1"/>
      <w:numFmt w:val="bullet"/>
      <w:lvlText w:val="o"/>
      <w:lvlJc w:val="left"/>
      <w:pPr>
        <w:tabs>
          <w:tab w:val="num" w:pos="5760"/>
        </w:tabs>
        <w:ind w:left="5760" w:hanging="360"/>
      </w:pPr>
      <w:rPr>
        <w:rFonts w:ascii="Courier New" w:hAnsi="Courier New"/>
      </w:rPr>
    </w:lvl>
    <w:lvl w:ilvl="8" w:tplc="888022E4">
      <w:start w:val="1"/>
      <w:numFmt w:val="bullet"/>
      <w:lvlText w:val=""/>
      <w:lvlJc w:val="left"/>
      <w:pPr>
        <w:tabs>
          <w:tab w:val="num" w:pos="6480"/>
        </w:tabs>
        <w:ind w:left="6480" w:hanging="360"/>
      </w:pPr>
      <w:rPr>
        <w:rFonts w:ascii="Wingdings" w:hAnsi="Wingdings"/>
      </w:rPr>
    </w:lvl>
  </w:abstractNum>
  <w:abstractNum w:abstractNumId="75" w15:restartNumberingAfterBreak="0">
    <w:nsid w:val="7DF62800"/>
    <w:multiLevelType w:val="hybridMultilevel"/>
    <w:tmpl w:val="7DF62800"/>
    <w:lvl w:ilvl="0" w:tplc="C69CE4CC">
      <w:start w:val="1"/>
      <w:numFmt w:val="bullet"/>
      <w:lvlText w:val=""/>
      <w:lvlJc w:val="left"/>
      <w:pPr>
        <w:tabs>
          <w:tab w:val="num" w:pos="720"/>
        </w:tabs>
        <w:ind w:left="720" w:hanging="360"/>
      </w:pPr>
      <w:rPr>
        <w:rFonts w:ascii="Symbol" w:hAnsi="Symbol"/>
      </w:rPr>
    </w:lvl>
    <w:lvl w:ilvl="1" w:tplc="EA763526">
      <w:start w:val="1"/>
      <w:numFmt w:val="bullet"/>
      <w:lvlText w:val="o"/>
      <w:lvlJc w:val="left"/>
      <w:pPr>
        <w:tabs>
          <w:tab w:val="num" w:pos="1440"/>
        </w:tabs>
        <w:ind w:left="1440" w:hanging="360"/>
      </w:pPr>
      <w:rPr>
        <w:rFonts w:ascii="Courier New" w:hAnsi="Courier New"/>
      </w:rPr>
    </w:lvl>
    <w:lvl w:ilvl="2" w:tplc="6526F6B4">
      <w:start w:val="1"/>
      <w:numFmt w:val="bullet"/>
      <w:lvlText w:val=""/>
      <w:lvlJc w:val="left"/>
      <w:pPr>
        <w:tabs>
          <w:tab w:val="num" w:pos="2160"/>
        </w:tabs>
        <w:ind w:left="2160" w:hanging="360"/>
      </w:pPr>
      <w:rPr>
        <w:rFonts w:ascii="Wingdings" w:hAnsi="Wingdings"/>
      </w:rPr>
    </w:lvl>
    <w:lvl w:ilvl="3" w:tplc="1BA4AB1E">
      <w:start w:val="1"/>
      <w:numFmt w:val="bullet"/>
      <w:lvlText w:val=""/>
      <w:lvlJc w:val="left"/>
      <w:pPr>
        <w:tabs>
          <w:tab w:val="num" w:pos="2880"/>
        </w:tabs>
        <w:ind w:left="2880" w:hanging="360"/>
      </w:pPr>
      <w:rPr>
        <w:rFonts w:ascii="Symbol" w:hAnsi="Symbol"/>
      </w:rPr>
    </w:lvl>
    <w:lvl w:ilvl="4" w:tplc="1DEC37C2">
      <w:start w:val="1"/>
      <w:numFmt w:val="bullet"/>
      <w:lvlText w:val="o"/>
      <w:lvlJc w:val="left"/>
      <w:pPr>
        <w:tabs>
          <w:tab w:val="num" w:pos="3600"/>
        </w:tabs>
        <w:ind w:left="3600" w:hanging="360"/>
      </w:pPr>
      <w:rPr>
        <w:rFonts w:ascii="Courier New" w:hAnsi="Courier New"/>
      </w:rPr>
    </w:lvl>
    <w:lvl w:ilvl="5" w:tplc="9168A58A">
      <w:start w:val="1"/>
      <w:numFmt w:val="bullet"/>
      <w:lvlText w:val=""/>
      <w:lvlJc w:val="left"/>
      <w:pPr>
        <w:tabs>
          <w:tab w:val="num" w:pos="4320"/>
        </w:tabs>
        <w:ind w:left="4320" w:hanging="360"/>
      </w:pPr>
      <w:rPr>
        <w:rFonts w:ascii="Wingdings" w:hAnsi="Wingdings"/>
      </w:rPr>
    </w:lvl>
    <w:lvl w:ilvl="6" w:tplc="3E2C8AC8">
      <w:start w:val="1"/>
      <w:numFmt w:val="bullet"/>
      <w:lvlText w:val=""/>
      <w:lvlJc w:val="left"/>
      <w:pPr>
        <w:tabs>
          <w:tab w:val="num" w:pos="5040"/>
        </w:tabs>
        <w:ind w:left="5040" w:hanging="360"/>
      </w:pPr>
      <w:rPr>
        <w:rFonts w:ascii="Symbol" w:hAnsi="Symbol"/>
      </w:rPr>
    </w:lvl>
    <w:lvl w:ilvl="7" w:tplc="8590538C">
      <w:start w:val="1"/>
      <w:numFmt w:val="bullet"/>
      <w:lvlText w:val="o"/>
      <w:lvlJc w:val="left"/>
      <w:pPr>
        <w:tabs>
          <w:tab w:val="num" w:pos="5760"/>
        </w:tabs>
        <w:ind w:left="5760" w:hanging="360"/>
      </w:pPr>
      <w:rPr>
        <w:rFonts w:ascii="Courier New" w:hAnsi="Courier New"/>
      </w:rPr>
    </w:lvl>
    <w:lvl w:ilvl="8" w:tplc="A294A9DE">
      <w:start w:val="1"/>
      <w:numFmt w:val="bullet"/>
      <w:lvlText w:val=""/>
      <w:lvlJc w:val="left"/>
      <w:pPr>
        <w:tabs>
          <w:tab w:val="num" w:pos="6480"/>
        </w:tabs>
        <w:ind w:left="6480" w:hanging="360"/>
      </w:pPr>
      <w:rPr>
        <w:rFonts w:ascii="Wingdings" w:hAnsi="Wingdings"/>
      </w:rPr>
    </w:lvl>
  </w:abstractNum>
  <w:abstractNum w:abstractNumId="76" w15:restartNumberingAfterBreak="0">
    <w:nsid w:val="7DF62801"/>
    <w:multiLevelType w:val="hybridMultilevel"/>
    <w:tmpl w:val="7DF62801"/>
    <w:lvl w:ilvl="0" w:tplc="1C4C16A4">
      <w:start w:val="1"/>
      <w:numFmt w:val="bullet"/>
      <w:lvlText w:val=""/>
      <w:lvlJc w:val="left"/>
      <w:pPr>
        <w:tabs>
          <w:tab w:val="num" w:pos="720"/>
        </w:tabs>
        <w:ind w:left="720" w:hanging="360"/>
      </w:pPr>
      <w:rPr>
        <w:rFonts w:ascii="Symbol" w:hAnsi="Symbol"/>
      </w:rPr>
    </w:lvl>
    <w:lvl w:ilvl="1" w:tplc="112631A6">
      <w:start w:val="1"/>
      <w:numFmt w:val="bullet"/>
      <w:lvlText w:val="o"/>
      <w:lvlJc w:val="left"/>
      <w:pPr>
        <w:tabs>
          <w:tab w:val="num" w:pos="1440"/>
        </w:tabs>
        <w:ind w:left="1440" w:hanging="360"/>
      </w:pPr>
      <w:rPr>
        <w:rFonts w:ascii="Courier New" w:hAnsi="Courier New"/>
      </w:rPr>
    </w:lvl>
    <w:lvl w:ilvl="2" w:tplc="FCD07BEE">
      <w:start w:val="1"/>
      <w:numFmt w:val="bullet"/>
      <w:lvlText w:val=""/>
      <w:lvlJc w:val="left"/>
      <w:pPr>
        <w:tabs>
          <w:tab w:val="num" w:pos="2160"/>
        </w:tabs>
        <w:ind w:left="2160" w:hanging="360"/>
      </w:pPr>
      <w:rPr>
        <w:rFonts w:ascii="Wingdings" w:hAnsi="Wingdings"/>
      </w:rPr>
    </w:lvl>
    <w:lvl w:ilvl="3" w:tplc="D0D29FD8">
      <w:start w:val="1"/>
      <w:numFmt w:val="bullet"/>
      <w:lvlText w:val=""/>
      <w:lvlJc w:val="left"/>
      <w:pPr>
        <w:tabs>
          <w:tab w:val="num" w:pos="2880"/>
        </w:tabs>
        <w:ind w:left="2880" w:hanging="360"/>
      </w:pPr>
      <w:rPr>
        <w:rFonts w:ascii="Symbol" w:hAnsi="Symbol"/>
      </w:rPr>
    </w:lvl>
    <w:lvl w:ilvl="4" w:tplc="B2389B5E">
      <w:start w:val="1"/>
      <w:numFmt w:val="bullet"/>
      <w:lvlText w:val="o"/>
      <w:lvlJc w:val="left"/>
      <w:pPr>
        <w:tabs>
          <w:tab w:val="num" w:pos="3600"/>
        </w:tabs>
        <w:ind w:left="3600" w:hanging="360"/>
      </w:pPr>
      <w:rPr>
        <w:rFonts w:ascii="Courier New" w:hAnsi="Courier New"/>
      </w:rPr>
    </w:lvl>
    <w:lvl w:ilvl="5" w:tplc="CFB4CCA8">
      <w:start w:val="1"/>
      <w:numFmt w:val="bullet"/>
      <w:lvlText w:val=""/>
      <w:lvlJc w:val="left"/>
      <w:pPr>
        <w:tabs>
          <w:tab w:val="num" w:pos="4320"/>
        </w:tabs>
        <w:ind w:left="4320" w:hanging="360"/>
      </w:pPr>
      <w:rPr>
        <w:rFonts w:ascii="Wingdings" w:hAnsi="Wingdings"/>
      </w:rPr>
    </w:lvl>
    <w:lvl w:ilvl="6" w:tplc="E9EA7512">
      <w:start w:val="1"/>
      <w:numFmt w:val="bullet"/>
      <w:lvlText w:val=""/>
      <w:lvlJc w:val="left"/>
      <w:pPr>
        <w:tabs>
          <w:tab w:val="num" w:pos="5040"/>
        </w:tabs>
        <w:ind w:left="5040" w:hanging="360"/>
      </w:pPr>
      <w:rPr>
        <w:rFonts w:ascii="Symbol" w:hAnsi="Symbol"/>
      </w:rPr>
    </w:lvl>
    <w:lvl w:ilvl="7" w:tplc="ACFA9FC2">
      <w:start w:val="1"/>
      <w:numFmt w:val="bullet"/>
      <w:lvlText w:val="o"/>
      <w:lvlJc w:val="left"/>
      <w:pPr>
        <w:tabs>
          <w:tab w:val="num" w:pos="5760"/>
        </w:tabs>
        <w:ind w:left="5760" w:hanging="360"/>
      </w:pPr>
      <w:rPr>
        <w:rFonts w:ascii="Courier New" w:hAnsi="Courier New"/>
      </w:rPr>
    </w:lvl>
    <w:lvl w:ilvl="8" w:tplc="853CEF3E">
      <w:start w:val="1"/>
      <w:numFmt w:val="bullet"/>
      <w:lvlText w:val=""/>
      <w:lvlJc w:val="left"/>
      <w:pPr>
        <w:tabs>
          <w:tab w:val="num" w:pos="6480"/>
        </w:tabs>
        <w:ind w:left="6480" w:hanging="360"/>
      </w:pPr>
      <w:rPr>
        <w:rFonts w:ascii="Wingdings" w:hAnsi="Wingdings"/>
      </w:rPr>
    </w:lvl>
  </w:abstractNum>
  <w:abstractNum w:abstractNumId="77" w15:restartNumberingAfterBreak="0">
    <w:nsid w:val="7DF62802"/>
    <w:multiLevelType w:val="hybridMultilevel"/>
    <w:tmpl w:val="7DF62802"/>
    <w:lvl w:ilvl="0" w:tplc="C41AC7BE">
      <w:start w:val="1"/>
      <w:numFmt w:val="bullet"/>
      <w:lvlText w:val=""/>
      <w:lvlJc w:val="left"/>
      <w:pPr>
        <w:tabs>
          <w:tab w:val="num" w:pos="720"/>
        </w:tabs>
        <w:ind w:left="720" w:hanging="360"/>
      </w:pPr>
      <w:rPr>
        <w:rFonts w:ascii="Symbol" w:hAnsi="Symbol"/>
      </w:rPr>
    </w:lvl>
    <w:lvl w:ilvl="1" w:tplc="4A8C389C">
      <w:start w:val="1"/>
      <w:numFmt w:val="bullet"/>
      <w:lvlText w:val="o"/>
      <w:lvlJc w:val="left"/>
      <w:pPr>
        <w:tabs>
          <w:tab w:val="num" w:pos="1440"/>
        </w:tabs>
        <w:ind w:left="1440" w:hanging="360"/>
      </w:pPr>
      <w:rPr>
        <w:rFonts w:ascii="Courier New" w:hAnsi="Courier New"/>
      </w:rPr>
    </w:lvl>
    <w:lvl w:ilvl="2" w:tplc="1E588CFE">
      <w:start w:val="1"/>
      <w:numFmt w:val="bullet"/>
      <w:lvlText w:val=""/>
      <w:lvlJc w:val="left"/>
      <w:pPr>
        <w:tabs>
          <w:tab w:val="num" w:pos="2160"/>
        </w:tabs>
        <w:ind w:left="2160" w:hanging="360"/>
      </w:pPr>
      <w:rPr>
        <w:rFonts w:ascii="Wingdings" w:hAnsi="Wingdings"/>
      </w:rPr>
    </w:lvl>
    <w:lvl w:ilvl="3" w:tplc="4DDC8608">
      <w:start w:val="1"/>
      <w:numFmt w:val="bullet"/>
      <w:lvlText w:val=""/>
      <w:lvlJc w:val="left"/>
      <w:pPr>
        <w:tabs>
          <w:tab w:val="num" w:pos="2880"/>
        </w:tabs>
        <w:ind w:left="2880" w:hanging="360"/>
      </w:pPr>
      <w:rPr>
        <w:rFonts w:ascii="Symbol" w:hAnsi="Symbol"/>
      </w:rPr>
    </w:lvl>
    <w:lvl w:ilvl="4" w:tplc="7D78DC32">
      <w:start w:val="1"/>
      <w:numFmt w:val="bullet"/>
      <w:lvlText w:val="o"/>
      <w:lvlJc w:val="left"/>
      <w:pPr>
        <w:tabs>
          <w:tab w:val="num" w:pos="3600"/>
        </w:tabs>
        <w:ind w:left="3600" w:hanging="360"/>
      </w:pPr>
      <w:rPr>
        <w:rFonts w:ascii="Courier New" w:hAnsi="Courier New"/>
      </w:rPr>
    </w:lvl>
    <w:lvl w:ilvl="5" w:tplc="FD24163A">
      <w:start w:val="1"/>
      <w:numFmt w:val="bullet"/>
      <w:lvlText w:val=""/>
      <w:lvlJc w:val="left"/>
      <w:pPr>
        <w:tabs>
          <w:tab w:val="num" w:pos="4320"/>
        </w:tabs>
        <w:ind w:left="4320" w:hanging="360"/>
      </w:pPr>
      <w:rPr>
        <w:rFonts w:ascii="Wingdings" w:hAnsi="Wingdings"/>
      </w:rPr>
    </w:lvl>
    <w:lvl w:ilvl="6" w:tplc="2DB28694">
      <w:start w:val="1"/>
      <w:numFmt w:val="bullet"/>
      <w:lvlText w:val=""/>
      <w:lvlJc w:val="left"/>
      <w:pPr>
        <w:tabs>
          <w:tab w:val="num" w:pos="5040"/>
        </w:tabs>
        <w:ind w:left="5040" w:hanging="360"/>
      </w:pPr>
      <w:rPr>
        <w:rFonts w:ascii="Symbol" w:hAnsi="Symbol"/>
      </w:rPr>
    </w:lvl>
    <w:lvl w:ilvl="7" w:tplc="4C944F56">
      <w:start w:val="1"/>
      <w:numFmt w:val="bullet"/>
      <w:lvlText w:val="o"/>
      <w:lvlJc w:val="left"/>
      <w:pPr>
        <w:tabs>
          <w:tab w:val="num" w:pos="5760"/>
        </w:tabs>
        <w:ind w:left="5760" w:hanging="360"/>
      </w:pPr>
      <w:rPr>
        <w:rFonts w:ascii="Courier New" w:hAnsi="Courier New"/>
      </w:rPr>
    </w:lvl>
    <w:lvl w:ilvl="8" w:tplc="16C86572">
      <w:start w:val="1"/>
      <w:numFmt w:val="bullet"/>
      <w:lvlText w:val=""/>
      <w:lvlJc w:val="left"/>
      <w:pPr>
        <w:tabs>
          <w:tab w:val="num" w:pos="6480"/>
        </w:tabs>
        <w:ind w:left="6480" w:hanging="360"/>
      </w:pPr>
      <w:rPr>
        <w:rFonts w:ascii="Wingdings" w:hAnsi="Wingdings"/>
      </w:rPr>
    </w:lvl>
  </w:abstractNum>
  <w:abstractNum w:abstractNumId="78" w15:restartNumberingAfterBreak="0">
    <w:nsid w:val="7DF62803"/>
    <w:multiLevelType w:val="hybridMultilevel"/>
    <w:tmpl w:val="7DF62803"/>
    <w:lvl w:ilvl="0" w:tplc="FB0CBF5C">
      <w:start w:val="1"/>
      <w:numFmt w:val="bullet"/>
      <w:lvlText w:val=""/>
      <w:lvlJc w:val="left"/>
      <w:pPr>
        <w:tabs>
          <w:tab w:val="num" w:pos="720"/>
        </w:tabs>
        <w:ind w:left="720" w:hanging="360"/>
      </w:pPr>
      <w:rPr>
        <w:rFonts w:ascii="Symbol" w:hAnsi="Symbol"/>
      </w:rPr>
    </w:lvl>
    <w:lvl w:ilvl="1" w:tplc="B7084A54">
      <w:start w:val="1"/>
      <w:numFmt w:val="bullet"/>
      <w:lvlText w:val="o"/>
      <w:lvlJc w:val="left"/>
      <w:pPr>
        <w:tabs>
          <w:tab w:val="num" w:pos="1440"/>
        </w:tabs>
        <w:ind w:left="1440" w:hanging="360"/>
      </w:pPr>
      <w:rPr>
        <w:rFonts w:ascii="Courier New" w:hAnsi="Courier New"/>
      </w:rPr>
    </w:lvl>
    <w:lvl w:ilvl="2" w:tplc="0C30FEC6">
      <w:start w:val="1"/>
      <w:numFmt w:val="bullet"/>
      <w:lvlText w:val=""/>
      <w:lvlJc w:val="left"/>
      <w:pPr>
        <w:tabs>
          <w:tab w:val="num" w:pos="2160"/>
        </w:tabs>
        <w:ind w:left="2160" w:hanging="360"/>
      </w:pPr>
      <w:rPr>
        <w:rFonts w:ascii="Wingdings" w:hAnsi="Wingdings"/>
      </w:rPr>
    </w:lvl>
    <w:lvl w:ilvl="3" w:tplc="B0EAA36E">
      <w:start w:val="1"/>
      <w:numFmt w:val="bullet"/>
      <w:lvlText w:val=""/>
      <w:lvlJc w:val="left"/>
      <w:pPr>
        <w:tabs>
          <w:tab w:val="num" w:pos="2880"/>
        </w:tabs>
        <w:ind w:left="2880" w:hanging="360"/>
      </w:pPr>
      <w:rPr>
        <w:rFonts w:ascii="Symbol" w:hAnsi="Symbol"/>
      </w:rPr>
    </w:lvl>
    <w:lvl w:ilvl="4" w:tplc="5D169DC6">
      <w:start w:val="1"/>
      <w:numFmt w:val="bullet"/>
      <w:lvlText w:val="o"/>
      <w:lvlJc w:val="left"/>
      <w:pPr>
        <w:tabs>
          <w:tab w:val="num" w:pos="3600"/>
        </w:tabs>
        <w:ind w:left="3600" w:hanging="360"/>
      </w:pPr>
      <w:rPr>
        <w:rFonts w:ascii="Courier New" w:hAnsi="Courier New"/>
      </w:rPr>
    </w:lvl>
    <w:lvl w:ilvl="5" w:tplc="1AB4F47E">
      <w:start w:val="1"/>
      <w:numFmt w:val="bullet"/>
      <w:lvlText w:val=""/>
      <w:lvlJc w:val="left"/>
      <w:pPr>
        <w:tabs>
          <w:tab w:val="num" w:pos="4320"/>
        </w:tabs>
        <w:ind w:left="4320" w:hanging="360"/>
      </w:pPr>
      <w:rPr>
        <w:rFonts w:ascii="Wingdings" w:hAnsi="Wingdings"/>
      </w:rPr>
    </w:lvl>
    <w:lvl w:ilvl="6" w:tplc="100E31FA">
      <w:start w:val="1"/>
      <w:numFmt w:val="bullet"/>
      <w:lvlText w:val=""/>
      <w:lvlJc w:val="left"/>
      <w:pPr>
        <w:tabs>
          <w:tab w:val="num" w:pos="5040"/>
        </w:tabs>
        <w:ind w:left="5040" w:hanging="360"/>
      </w:pPr>
      <w:rPr>
        <w:rFonts w:ascii="Symbol" w:hAnsi="Symbol"/>
      </w:rPr>
    </w:lvl>
    <w:lvl w:ilvl="7" w:tplc="B0DC8638">
      <w:start w:val="1"/>
      <w:numFmt w:val="bullet"/>
      <w:lvlText w:val="o"/>
      <w:lvlJc w:val="left"/>
      <w:pPr>
        <w:tabs>
          <w:tab w:val="num" w:pos="5760"/>
        </w:tabs>
        <w:ind w:left="5760" w:hanging="360"/>
      </w:pPr>
      <w:rPr>
        <w:rFonts w:ascii="Courier New" w:hAnsi="Courier New"/>
      </w:rPr>
    </w:lvl>
    <w:lvl w:ilvl="8" w:tplc="7DC09020">
      <w:start w:val="1"/>
      <w:numFmt w:val="bullet"/>
      <w:lvlText w:val=""/>
      <w:lvlJc w:val="left"/>
      <w:pPr>
        <w:tabs>
          <w:tab w:val="num" w:pos="6480"/>
        </w:tabs>
        <w:ind w:left="6480" w:hanging="360"/>
      </w:pPr>
      <w:rPr>
        <w:rFonts w:ascii="Wingdings" w:hAnsi="Wingdings"/>
      </w:rPr>
    </w:lvl>
  </w:abstractNum>
  <w:abstractNum w:abstractNumId="79" w15:restartNumberingAfterBreak="0">
    <w:nsid w:val="7DF62804"/>
    <w:multiLevelType w:val="multilevel"/>
    <w:tmpl w:val="7DF628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DF62805"/>
    <w:multiLevelType w:val="hybridMultilevel"/>
    <w:tmpl w:val="7DF62805"/>
    <w:lvl w:ilvl="0" w:tplc="43F22868">
      <w:start w:val="1"/>
      <w:numFmt w:val="bullet"/>
      <w:lvlText w:val=""/>
      <w:lvlJc w:val="left"/>
      <w:pPr>
        <w:tabs>
          <w:tab w:val="num" w:pos="720"/>
        </w:tabs>
        <w:ind w:left="720" w:hanging="360"/>
      </w:pPr>
      <w:rPr>
        <w:rFonts w:ascii="Symbol" w:hAnsi="Symbol"/>
      </w:rPr>
    </w:lvl>
    <w:lvl w:ilvl="1" w:tplc="807481D8">
      <w:start w:val="1"/>
      <w:numFmt w:val="bullet"/>
      <w:lvlText w:val="o"/>
      <w:lvlJc w:val="left"/>
      <w:pPr>
        <w:tabs>
          <w:tab w:val="num" w:pos="1440"/>
        </w:tabs>
        <w:ind w:left="1440" w:hanging="360"/>
      </w:pPr>
      <w:rPr>
        <w:rFonts w:ascii="Courier New" w:hAnsi="Courier New"/>
      </w:rPr>
    </w:lvl>
    <w:lvl w:ilvl="2" w:tplc="AFA0318E">
      <w:start w:val="1"/>
      <w:numFmt w:val="bullet"/>
      <w:lvlText w:val=""/>
      <w:lvlJc w:val="left"/>
      <w:pPr>
        <w:tabs>
          <w:tab w:val="num" w:pos="2160"/>
        </w:tabs>
        <w:ind w:left="2160" w:hanging="360"/>
      </w:pPr>
      <w:rPr>
        <w:rFonts w:ascii="Wingdings" w:hAnsi="Wingdings"/>
      </w:rPr>
    </w:lvl>
    <w:lvl w:ilvl="3" w:tplc="7E7A9FDC">
      <w:start w:val="1"/>
      <w:numFmt w:val="bullet"/>
      <w:lvlText w:val=""/>
      <w:lvlJc w:val="left"/>
      <w:pPr>
        <w:tabs>
          <w:tab w:val="num" w:pos="2880"/>
        </w:tabs>
        <w:ind w:left="2880" w:hanging="360"/>
      </w:pPr>
      <w:rPr>
        <w:rFonts w:ascii="Symbol" w:hAnsi="Symbol"/>
      </w:rPr>
    </w:lvl>
    <w:lvl w:ilvl="4" w:tplc="2F00A2D0">
      <w:start w:val="1"/>
      <w:numFmt w:val="bullet"/>
      <w:lvlText w:val="o"/>
      <w:lvlJc w:val="left"/>
      <w:pPr>
        <w:tabs>
          <w:tab w:val="num" w:pos="3600"/>
        </w:tabs>
        <w:ind w:left="3600" w:hanging="360"/>
      </w:pPr>
      <w:rPr>
        <w:rFonts w:ascii="Courier New" w:hAnsi="Courier New"/>
      </w:rPr>
    </w:lvl>
    <w:lvl w:ilvl="5" w:tplc="809EC020">
      <w:start w:val="1"/>
      <w:numFmt w:val="bullet"/>
      <w:lvlText w:val=""/>
      <w:lvlJc w:val="left"/>
      <w:pPr>
        <w:tabs>
          <w:tab w:val="num" w:pos="4320"/>
        </w:tabs>
        <w:ind w:left="4320" w:hanging="360"/>
      </w:pPr>
      <w:rPr>
        <w:rFonts w:ascii="Wingdings" w:hAnsi="Wingdings"/>
      </w:rPr>
    </w:lvl>
    <w:lvl w:ilvl="6" w:tplc="231E9402">
      <w:start w:val="1"/>
      <w:numFmt w:val="bullet"/>
      <w:lvlText w:val=""/>
      <w:lvlJc w:val="left"/>
      <w:pPr>
        <w:tabs>
          <w:tab w:val="num" w:pos="5040"/>
        </w:tabs>
        <w:ind w:left="5040" w:hanging="360"/>
      </w:pPr>
      <w:rPr>
        <w:rFonts w:ascii="Symbol" w:hAnsi="Symbol"/>
      </w:rPr>
    </w:lvl>
    <w:lvl w:ilvl="7" w:tplc="73563018">
      <w:start w:val="1"/>
      <w:numFmt w:val="bullet"/>
      <w:lvlText w:val="o"/>
      <w:lvlJc w:val="left"/>
      <w:pPr>
        <w:tabs>
          <w:tab w:val="num" w:pos="5760"/>
        </w:tabs>
        <w:ind w:left="5760" w:hanging="360"/>
      </w:pPr>
      <w:rPr>
        <w:rFonts w:ascii="Courier New" w:hAnsi="Courier New"/>
      </w:rPr>
    </w:lvl>
    <w:lvl w:ilvl="8" w:tplc="74661230">
      <w:start w:val="1"/>
      <w:numFmt w:val="bullet"/>
      <w:lvlText w:val=""/>
      <w:lvlJc w:val="left"/>
      <w:pPr>
        <w:tabs>
          <w:tab w:val="num" w:pos="6480"/>
        </w:tabs>
        <w:ind w:left="6480" w:hanging="360"/>
      </w:pPr>
      <w:rPr>
        <w:rFonts w:ascii="Wingdings" w:hAnsi="Wingdings"/>
      </w:rPr>
    </w:lvl>
  </w:abstractNum>
  <w:abstractNum w:abstractNumId="81" w15:restartNumberingAfterBreak="0">
    <w:nsid w:val="7DF62806"/>
    <w:multiLevelType w:val="hybridMultilevel"/>
    <w:tmpl w:val="7DF62806"/>
    <w:lvl w:ilvl="0" w:tplc="26FAC660">
      <w:start w:val="1"/>
      <w:numFmt w:val="bullet"/>
      <w:lvlText w:val=""/>
      <w:lvlJc w:val="left"/>
      <w:pPr>
        <w:tabs>
          <w:tab w:val="num" w:pos="720"/>
        </w:tabs>
        <w:ind w:left="720" w:hanging="360"/>
      </w:pPr>
      <w:rPr>
        <w:rFonts w:ascii="Symbol" w:hAnsi="Symbol"/>
      </w:rPr>
    </w:lvl>
    <w:lvl w:ilvl="1" w:tplc="FA2E6834">
      <w:start w:val="1"/>
      <w:numFmt w:val="bullet"/>
      <w:lvlText w:val="o"/>
      <w:lvlJc w:val="left"/>
      <w:pPr>
        <w:tabs>
          <w:tab w:val="num" w:pos="1440"/>
        </w:tabs>
        <w:ind w:left="1440" w:hanging="360"/>
      </w:pPr>
      <w:rPr>
        <w:rFonts w:ascii="Courier New" w:hAnsi="Courier New"/>
      </w:rPr>
    </w:lvl>
    <w:lvl w:ilvl="2" w:tplc="23EA0D48">
      <w:start w:val="1"/>
      <w:numFmt w:val="bullet"/>
      <w:lvlText w:val=""/>
      <w:lvlJc w:val="left"/>
      <w:pPr>
        <w:tabs>
          <w:tab w:val="num" w:pos="2160"/>
        </w:tabs>
        <w:ind w:left="2160" w:hanging="360"/>
      </w:pPr>
      <w:rPr>
        <w:rFonts w:ascii="Wingdings" w:hAnsi="Wingdings"/>
      </w:rPr>
    </w:lvl>
    <w:lvl w:ilvl="3" w:tplc="EA323CD2">
      <w:start w:val="1"/>
      <w:numFmt w:val="bullet"/>
      <w:lvlText w:val=""/>
      <w:lvlJc w:val="left"/>
      <w:pPr>
        <w:tabs>
          <w:tab w:val="num" w:pos="2880"/>
        </w:tabs>
        <w:ind w:left="2880" w:hanging="360"/>
      </w:pPr>
      <w:rPr>
        <w:rFonts w:ascii="Symbol" w:hAnsi="Symbol"/>
      </w:rPr>
    </w:lvl>
    <w:lvl w:ilvl="4" w:tplc="D68A1CCA">
      <w:start w:val="1"/>
      <w:numFmt w:val="bullet"/>
      <w:lvlText w:val="o"/>
      <w:lvlJc w:val="left"/>
      <w:pPr>
        <w:tabs>
          <w:tab w:val="num" w:pos="3600"/>
        </w:tabs>
        <w:ind w:left="3600" w:hanging="360"/>
      </w:pPr>
      <w:rPr>
        <w:rFonts w:ascii="Courier New" w:hAnsi="Courier New"/>
      </w:rPr>
    </w:lvl>
    <w:lvl w:ilvl="5" w:tplc="E056DAD6">
      <w:start w:val="1"/>
      <w:numFmt w:val="bullet"/>
      <w:lvlText w:val=""/>
      <w:lvlJc w:val="left"/>
      <w:pPr>
        <w:tabs>
          <w:tab w:val="num" w:pos="4320"/>
        </w:tabs>
        <w:ind w:left="4320" w:hanging="360"/>
      </w:pPr>
      <w:rPr>
        <w:rFonts w:ascii="Wingdings" w:hAnsi="Wingdings"/>
      </w:rPr>
    </w:lvl>
    <w:lvl w:ilvl="6" w:tplc="07E679A6">
      <w:start w:val="1"/>
      <w:numFmt w:val="bullet"/>
      <w:lvlText w:val=""/>
      <w:lvlJc w:val="left"/>
      <w:pPr>
        <w:tabs>
          <w:tab w:val="num" w:pos="5040"/>
        </w:tabs>
        <w:ind w:left="5040" w:hanging="360"/>
      </w:pPr>
      <w:rPr>
        <w:rFonts w:ascii="Symbol" w:hAnsi="Symbol"/>
      </w:rPr>
    </w:lvl>
    <w:lvl w:ilvl="7" w:tplc="752229EE">
      <w:start w:val="1"/>
      <w:numFmt w:val="bullet"/>
      <w:lvlText w:val="o"/>
      <w:lvlJc w:val="left"/>
      <w:pPr>
        <w:tabs>
          <w:tab w:val="num" w:pos="5760"/>
        </w:tabs>
        <w:ind w:left="5760" w:hanging="360"/>
      </w:pPr>
      <w:rPr>
        <w:rFonts w:ascii="Courier New" w:hAnsi="Courier New"/>
      </w:rPr>
    </w:lvl>
    <w:lvl w:ilvl="8" w:tplc="038A323A">
      <w:start w:val="1"/>
      <w:numFmt w:val="bullet"/>
      <w:lvlText w:val=""/>
      <w:lvlJc w:val="left"/>
      <w:pPr>
        <w:tabs>
          <w:tab w:val="num" w:pos="6480"/>
        </w:tabs>
        <w:ind w:left="6480" w:hanging="360"/>
      </w:pPr>
      <w:rPr>
        <w:rFonts w:ascii="Wingdings" w:hAnsi="Wingdings"/>
      </w:rPr>
    </w:lvl>
  </w:abstractNum>
  <w:abstractNum w:abstractNumId="82" w15:restartNumberingAfterBreak="0">
    <w:nsid w:val="7DF62807"/>
    <w:multiLevelType w:val="multilevel"/>
    <w:tmpl w:val="7DF628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DF62808"/>
    <w:multiLevelType w:val="multilevel"/>
    <w:tmpl w:val="7DF628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DF62809"/>
    <w:multiLevelType w:val="multilevel"/>
    <w:tmpl w:val="7DF628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DF6280A"/>
    <w:multiLevelType w:val="hybridMultilevel"/>
    <w:tmpl w:val="7DF6280A"/>
    <w:lvl w:ilvl="0" w:tplc="7EA6345E">
      <w:start w:val="1"/>
      <w:numFmt w:val="bullet"/>
      <w:lvlText w:val=""/>
      <w:lvlJc w:val="left"/>
      <w:pPr>
        <w:tabs>
          <w:tab w:val="num" w:pos="720"/>
        </w:tabs>
        <w:ind w:left="720" w:hanging="360"/>
      </w:pPr>
      <w:rPr>
        <w:rFonts w:ascii="Symbol" w:hAnsi="Symbol"/>
      </w:rPr>
    </w:lvl>
    <w:lvl w:ilvl="1" w:tplc="805A98CC">
      <w:start w:val="1"/>
      <w:numFmt w:val="bullet"/>
      <w:lvlText w:val="o"/>
      <w:lvlJc w:val="left"/>
      <w:pPr>
        <w:tabs>
          <w:tab w:val="num" w:pos="1440"/>
        </w:tabs>
        <w:ind w:left="1440" w:hanging="360"/>
      </w:pPr>
      <w:rPr>
        <w:rFonts w:ascii="Courier New" w:hAnsi="Courier New"/>
      </w:rPr>
    </w:lvl>
    <w:lvl w:ilvl="2" w:tplc="3E9A125E">
      <w:start w:val="1"/>
      <w:numFmt w:val="bullet"/>
      <w:lvlText w:val=""/>
      <w:lvlJc w:val="left"/>
      <w:pPr>
        <w:tabs>
          <w:tab w:val="num" w:pos="2160"/>
        </w:tabs>
        <w:ind w:left="2160" w:hanging="360"/>
      </w:pPr>
      <w:rPr>
        <w:rFonts w:ascii="Wingdings" w:hAnsi="Wingdings"/>
      </w:rPr>
    </w:lvl>
    <w:lvl w:ilvl="3" w:tplc="E5627A4A">
      <w:start w:val="1"/>
      <w:numFmt w:val="bullet"/>
      <w:lvlText w:val=""/>
      <w:lvlJc w:val="left"/>
      <w:pPr>
        <w:tabs>
          <w:tab w:val="num" w:pos="2880"/>
        </w:tabs>
        <w:ind w:left="2880" w:hanging="360"/>
      </w:pPr>
      <w:rPr>
        <w:rFonts w:ascii="Symbol" w:hAnsi="Symbol"/>
      </w:rPr>
    </w:lvl>
    <w:lvl w:ilvl="4" w:tplc="D81A1EDA">
      <w:start w:val="1"/>
      <w:numFmt w:val="bullet"/>
      <w:lvlText w:val="o"/>
      <w:lvlJc w:val="left"/>
      <w:pPr>
        <w:tabs>
          <w:tab w:val="num" w:pos="3600"/>
        </w:tabs>
        <w:ind w:left="3600" w:hanging="360"/>
      </w:pPr>
      <w:rPr>
        <w:rFonts w:ascii="Courier New" w:hAnsi="Courier New"/>
      </w:rPr>
    </w:lvl>
    <w:lvl w:ilvl="5" w:tplc="124669EC">
      <w:start w:val="1"/>
      <w:numFmt w:val="bullet"/>
      <w:lvlText w:val=""/>
      <w:lvlJc w:val="left"/>
      <w:pPr>
        <w:tabs>
          <w:tab w:val="num" w:pos="4320"/>
        </w:tabs>
        <w:ind w:left="4320" w:hanging="360"/>
      </w:pPr>
      <w:rPr>
        <w:rFonts w:ascii="Wingdings" w:hAnsi="Wingdings"/>
      </w:rPr>
    </w:lvl>
    <w:lvl w:ilvl="6" w:tplc="17BE56A4">
      <w:start w:val="1"/>
      <w:numFmt w:val="bullet"/>
      <w:lvlText w:val=""/>
      <w:lvlJc w:val="left"/>
      <w:pPr>
        <w:tabs>
          <w:tab w:val="num" w:pos="5040"/>
        </w:tabs>
        <w:ind w:left="5040" w:hanging="360"/>
      </w:pPr>
      <w:rPr>
        <w:rFonts w:ascii="Symbol" w:hAnsi="Symbol"/>
      </w:rPr>
    </w:lvl>
    <w:lvl w:ilvl="7" w:tplc="679C22E4">
      <w:start w:val="1"/>
      <w:numFmt w:val="bullet"/>
      <w:lvlText w:val="o"/>
      <w:lvlJc w:val="left"/>
      <w:pPr>
        <w:tabs>
          <w:tab w:val="num" w:pos="5760"/>
        </w:tabs>
        <w:ind w:left="5760" w:hanging="360"/>
      </w:pPr>
      <w:rPr>
        <w:rFonts w:ascii="Courier New" w:hAnsi="Courier New"/>
      </w:rPr>
    </w:lvl>
    <w:lvl w:ilvl="8" w:tplc="FDC403CC">
      <w:start w:val="1"/>
      <w:numFmt w:val="bullet"/>
      <w:lvlText w:val=""/>
      <w:lvlJc w:val="left"/>
      <w:pPr>
        <w:tabs>
          <w:tab w:val="num" w:pos="6480"/>
        </w:tabs>
        <w:ind w:left="6480" w:hanging="360"/>
      </w:pPr>
      <w:rPr>
        <w:rFonts w:ascii="Wingdings" w:hAnsi="Wingdings"/>
      </w:rPr>
    </w:lvl>
  </w:abstractNum>
  <w:abstractNum w:abstractNumId="86" w15:restartNumberingAfterBreak="0">
    <w:nsid w:val="7DF6280B"/>
    <w:multiLevelType w:val="hybridMultilevel"/>
    <w:tmpl w:val="7DF6280B"/>
    <w:lvl w:ilvl="0" w:tplc="AD8EB2AE">
      <w:start w:val="1"/>
      <w:numFmt w:val="bullet"/>
      <w:lvlText w:val=""/>
      <w:lvlJc w:val="left"/>
      <w:pPr>
        <w:tabs>
          <w:tab w:val="num" w:pos="720"/>
        </w:tabs>
        <w:ind w:left="720" w:hanging="360"/>
      </w:pPr>
      <w:rPr>
        <w:rFonts w:ascii="Symbol" w:hAnsi="Symbol"/>
      </w:rPr>
    </w:lvl>
    <w:lvl w:ilvl="1" w:tplc="46B4D30E">
      <w:start w:val="1"/>
      <w:numFmt w:val="bullet"/>
      <w:lvlText w:val="o"/>
      <w:lvlJc w:val="left"/>
      <w:pPr>
        <w:tabs>
          <w:tab w:val="num" w:pos="1440"/>
        </w:tabs>
        <w:ind w:left="1440" w:hanging="360"/>
      </w:pPr>
      <w:rPr>
        <w:rFonts w:ascii="Courier New" w:hAnsi="Courier New"/>
      </w:rPr>
    </w:lvl>
    <w:lvl w:ilvl="2" w:tplc="56C2E7BC">
      <w:start w:val="1"/>
      <w:numFmt w:val="bullet"/>
      <w:lvlText w:val=""/>
      <w:lvlJc w:val="left"/>
      <w:pPr>
        <w:tabs>
          <w:tab w:val="num" w:pos="2160"/>
        </w:tabs>
        <w:ind w:left="2160" w:hanging="360"/>
      </w:pPr>
      <w:rPr>
        <w:rFonts w:ascii="Wingdings" w:hAnsi="Wingdings"/>
      </w:rPr>
    </w:lvl>
    <w:lvl w:ilvl="3" w:tplc="AF247602">
      <w:start w:val="1"/>
      <w:numFmt w:val="bullet"/>
      <w:lvlText w:val=""/>
      <w:lvlJc w:val="left"/>
      <w:pPr>
        <w:tabs>
          <w:tab w:val="num" w:pos="2880"/>
        </w:tabs>
        <w:ind w:left="2880" w:hanging="360"/>
      </w:pPr>
      <w:rPr>
        <w:rFonts w:ascii="Symbol" w:hAnsi="Symbol"/>
      </w:rPr>
    </w:lvl>
    <w:lvl w:ilvl="4" w:tplc="962807F6">
      <w:start w:val="1"/>
      <w:numFmt w:val="bullet"/>
      <w:lvlText w:val="o"/>
      <w:lvlJc w:val="left"/>
      <w:pPr>
        <w:tabs>
          <w:tab w:val="num" w:pos="3600"/>
        </w:tabs>
        <w:ind w:left="3600" w:hanging="360"/>
      </w:pPr>
      <w:rPr>
        <w:rFonts w:ascii="Courier New" w:hAnsi="Courier New"/>
      </w:rPr>
    </w:lvl>
    <w:lvl w:ilvl="5" w:tplc="ABD6C610">
      <w:start w:val="1"/>
      <w:numFmt w:val="bullet"/>
      <w:lvlText w:val=""/>
      <w:lvlJc w:val="left"/>
      <w:pPr>
        <w:tabs>
          <w:tab w:val="num" w:pos="4320"/>
        </w:tabs>
        <w:ind w:left="4320" w:hanging="360"/>
      </w:pPr>
      <w:rPr>
        <w:rFonts w:ascii="Wingdings" w:hAnsi="Wingdings"/>
      </w:rPr>
    </w:lvl>
    <w:lvl w:ilvl="6" w:tplc="E380351A">
      <w:start w:val="1"/>
      <w:numFmt w:val="bullet"/>
      <w:lvlText w:val=""/>
      <w:lvlJc w:val="left"/>
      <w:pPr>
        <w:tabs>
          <w:tab w:val="num" w:pos="5040"/>
        </w:tabs>
        <w:ind w:left="5040" w:hanging="360"/>
      </w:pPr>
      <w:rPr>
        <w:rFonts w:ascii="Symbol" w:hAnsi="Symbol"/>
      </w:rPr>
    </w:lvl>
    <w:lvl w:ilvl="7" w:tplc="6EAAEEFA">
      <w:start w:val="1"/>
      <w:numFmt w:val="bullet"/>
      <w:lvlText w:val="o"/>
      <w:lvlJc w:val="left"/>
      <w:pPr>
        <w:tabs>
          <w:tab w:val="num" w:pos="5760"/>
        </w:tabs>
        <w:ind w:left="5760" w:hanging="360"/>
      </w:pPr>
      <w:rPr>
        <w:rFonts w:ascii="Courier New" w:hAnsi="Courier New"/>
      </w:rPr>
    </w:lvl>
    <w:lvl w:ilvl="8" w:tplc="A0568BEA">
      <w:start w:val="1"/>
      <w:numFmt w:val="bullet"/>
      <w:lvlText w:val=""/>
      <w:lvlJc w:val="left"/>
      <w:pPr>
        <w:tabs>
          <w:tab w:val="num" w:pos="6480"/>
        </w:tabs>
        <w:ind w:left="6480" w:hanging="360"/>
      </w:pPr>
      <w:rPr>
        <w:rFonts w:ascii="Wingdings" w:hAnsi="Wingdings"/>
      </w:rPr>
    </w:lvl>
  </w:abstractNum>
  <w:abstractNum w:abstractNumId="87" w15:restartNumberingAfterBreak="0">
    <w:nsid w:val="7DF6280C"/>
    <w:multiLevelType w:val="hybridMultilevel"/>
    <w:tmpl w:val="7DF6280C"/>
    <w:lvl w:ilvl="0" w:tplc="9F46E6C2">
      <w:start w:val="1"/>
      <w:numFmt w:val="bullet"/>
      <w:lvlText w:val=""/>
      <w:lvlJc w:val="left"/>
      <w:pPr>
        <w:tabs>
          <w:tab w:val="num" w:pos="720"/>
        </w:tabs>
        <w:ind w:left="720" w:hanging="360"/>
      </w:pPr>
      <w:rPr>
        <w:rFonts w:ascii="Symbol" w:hAnsi="Symbol"/>
      </w:rPr>
    </w:lvl>
    <w:lvl w:ilvl="1" w:tplc="67FA3816">
      <w:start w:val="1"/>
      <w:numFmt w:val="bullet"/>
      <w:lvlText w:val="o"/>
      <w:lvlJc w:val="left"/>
      <w:pPr>
        <w:tabs>
          <w:tab w:val="num" w:pos="1440"/>
        </w:tabs>
        <w:ind w:left="1440" w:hanging="360"/>
      </w:pPr>
      <w:rPr>
        <w:rFonts w:ascii="Courier New" w:hAnsi="Courier New"/>
      </w:rPr>
    </w:lvl>
    <w:lvl w:ilvl="2" w:tplc="280A5F3C">
      <w:start w:val="1"/>
      <w:numFmt w:val="bullet"/>
      <w:lvlText w:val=""/>
      <w:lvlJc w:val="left"/>
      <w:pPr>
        <w:tabs>
          <w:tab w:val="num" w:pos="2160"/>
        </w:tabs>
        <w:ind w:left="2160" w:hanging="360"/>
      </w:pPr>
      <w:rPr>
        <w:rFonts w:ascii="Wingdings" w:hAnsi="Wingdings"/>
      </w:rPr>
    </w:lvl>
    <w:lvl w:ilvl="3" w:tplc="EED04D94">
      <w:start w:val="1"/>
      <w:numFmt w:val="bullet"/>
      <w:lvlText w:val=""/>
      <w:lvlJc w:val="left"/>
      <w:pPr>
        <w:tabs>
          <w:tab w:val="num" w:pos="2880"/>
        </w:tabs>
        <w:ind w:left="2880" w:hanging="360"/>
      </w:pPr>
      <w:rPr>
        <w:rFonts w:ascii="Symbol" w:hAnsi="Symbol"/>
      </w:rPr>
    </w:lvl>
    <w:lvl w:ilvl="4" w:tplc="A0E6FE66">
      <w:start w:val="1"/>
      <w:numFmt w:val="bullet"/>
      <w:lvlText w:val="o"/>
      <w:lvlJc w:val="left"/>
      <w:pPr>
        <w:tabs>
          <w:tab w:val="num" w:pos="3600"/>
        </w:tabs>
        <w:ind w:left="3600" w:hanging="360"/>
      </w:pPr>
      <w:rPr>
        <w:rFonts w:ascii="Courier New" w:hAnsi="Courier New"/>
      </w:rPr>
    </w:lvl>
    <w:lvl w:ilvl="5" w:tplc="15A48CA0">
      <w:start w:val="1"/>
      <w:numFmt w:val="bullet"/>
      <w:lvlText w:val=""/>
      <w:lvlJc w:val="left"/>
      <w:pPr>
        <w:tabs>
          <w:tab w:val="num" w:pos="4320"/>
        </w:tabs>
        <w:ind w:left="4320" w:hanging="360"/>
      </w:pPr>
      <w:rPr>
        <w:rFonts w:ascii="Wingdings" w:hAnsi="Wingdings"/>
      </w:rPr>
    </w:lvl>
    <w:lvl w:ilvl="6" w:tplc="50F2A630">
      <w:start w:val="1"/>
      <w:numFmt w:val="bullet"/>
      <w:lvlText w:val=""/>
      <w:lvlJc w:val="left"/>
      <w:pPr>
        <w:tabs>
          <w:tab w:val="num" w:pos="5040"/>
        </w:tabs>
        <w:ind w:left="5040" w:hanging="360"/>
      </w:pPr>
      <w:rPr>
        <w:rFonts w:ascii="Symbol" w:hAnsi="Symbol"/>
      </w:rPr>
    </w:lvl>
    <w:lvl w:ilvl="7" w:tplc="288E32AC">
      <w:start w:val="1"/>
      <w:numFmt w:val="bullet"/>
      <w:lvlText w:val="o"/>
      <w:lvlJc w:val="left"/>
      <w:pPr>
        <w:tabs>
          <w:tab w:val="num" w:pos="5760"/>
        </w:tabs>
        <w:ind w:left="5760" w:hanging="360"/>
      </w:pPr>
      <w:rPr>
        <w:rFonts w:ascii="Courier New" w:hAnsi="Courier New"/>
      </w:rPr>
    </w:lvl>
    <w:lvl w:ilvl="8" w:tplc="565EB122">
      <w:start w:val="1"/>
      <w:numFmt w:val="bullet"/>
      <w:lvlText w:val=""/>
      <w:lvlJc w:val="left"/>
      <w:pPr>
        <w:tabs>
          <w:tab w:val="num" w:pos="6480"/>
        </w:tabs>
        <w:ind w:left="6480" w:hanging="360"/>
      </w:pPr>
      <w:rPr>
        <w:rFonts w:ascii="Wingdings" w:hAnsi="Wingdings"/>
      </w:rPr>
    </w:lvl>
  </w:abstractNum>
  <w:abstractNum w:abstractNumId="88" w15:restartNumberingAfterBreak="0">
    <w:nsid w:val="7DF6280D"/>
    <w:multiLevelType w:val="hybridMultilevel"/>
    <w:tmpl w:val="7DF6280D"/>
    <w:lvl w:ilvl="0" w:tplc="A6381C4C">
      <w:start w:val="1"/>
      <w:numFmt w:val="bullet"/>
      <w:lvlText w:val=""/>
      <w:lvlJc w:val="left"/>
      <w:pPr>
        <w:tabs>
          <w:tab w:val="num" w:pos="720"/>
        </w:tabs>
        <w:ind w:left="720" w:hanging="360"/>
      </w:pPr>
      <w:rPr>
        <w:rFonts w:ascii="Symbol" w:hAnsi="Symbol"/>
      </w:rPr>
    </w:lvl>
    <w:lvl w:ilvl="1" w:tplc="F544E378">
      <w:start w:val="1"/>
      <w:numFmt w:val="bullet"/>
      <w:lvlText w:val="o"/>
      <w:lvlJc w:val="left"/>
      <w:pPr>
        <w:tabs>
          <w:tab w:val="num" w:pos="1440"/>
        </w:tabs>
        <w:ind w:left="1440" w:hanging="360"/>
      </w:pPr>
      <w:rPr>
        <w:rFonts w:ascii="Courier New" w:hAnsi="Courier New"/>
      </w:rPr>
    </w:lvl>
    <w:lvl w:ilvl="2" w:tplc="34809094">
      <w:start w:val="1"/>
      <w:numFmt w:val="bullet"/>
      <w:lvlText w:val=""/>
      <w:lvlJc w:val="left"/>
      <w:pPr>
        <w:tabs>
          <w:tab w:val="num" w:pos="2160"/>
        </w:tabs>
        <w:ind w:left="2160" w:hanging="360"/>
      </w:pPr>
      <w:rPr>
        <w:rFonts w:ascii="Wingdings" w:hAnsi="Wingdings"/>
      </w:rPr>
    </w:lvl>
    <w:lvl w:ilvl="3" w:tplc="0504C280">
      <w:start w:val="1"/>
      <w:numFmt w:val="bullet"/>
      <w:lvlText w:val=""/>
      <w:lvlJc w:val="left"/>
      <w:pPr>
        <w:tabs>
          <w:tab w:val="num" w:pos="2880"/>
        </w:tabs>
        <w:ind w:left="2880" w:hanging="360"/>
      </w:pPr>
      <w:rPr>
        <w:rFonts w:ascii="Symbol" w:hAnsi="Symbol"/>
      </w:rPr>
    </w:lvl>
    <w:lvl w:ilvl="4" w:tplc="1CCE7B8A">
      <w:start w:val="1"/>
      <w:numFmt w:val="bullet"/>
      <w:lvlText w:val="o"/>
      <w:lvlJc w:val="left"/>
      <w:pPr>
        <w:tabs>
          <w:tab w:val="num" w:pos="3600"/>
        </w:tabs>
        <w:ind w:left="3600" w:hanging="360"/>
      </w:pPr>
      <w:rPr>
        <w:rFonts w:ascii="Courier New" w:hAnsi="Courier New"/>
      </w:rPr>
    </w:lvl>
    <w:lvl w:ilvl="5" w:tplc="C3ECC704">
      <w:start w:val="1"/>
      <w:numFmt w:val="bullet"/>
      <w:lvlText w:val=""/>
      <w:lvlJc w:val="left"/>
      <w:pPr>
        <w:tabs>
          <w:tab w:val="num" w:pos="4320"/>
        </w:tabs>
        <w:ind w:left="4320" w:hanging="360"/>
      </w:pPr>
      <w:rPr>
        <w:rFonts w:ascii="Wingdings" w:hAnsi="Wingdings"/>
      </w:rPr>
    </w:lvl>
    <w:lvl w:ilvl="6" w:tplc="9816FEC4">
      <w:start w:val="1"/>
      <w:numFmt w:val="bullet"/>
      <w:lvlText w:val=""/>
      <w:lvlJc w:val="left"/>
      <w:pPr>
        <w:tabs>
          <w:tab w:val="num" w:pos="5040"/>
        </w:tabs>
        <w:ind w:left="5040" w:hanging="360"/>
      </w:pPr>
      <w:rPr>
        <w:rFonts w:ascii="Symbol" w:hAnsi="Symbol"/>
      </w:rPr>
    </w:lvl>
    <w:lvl w:ilvl="7" w:tplc="29F60950">
      <w:start w:val="1"/>
      <w:numFmt w:val="bullet"/>
      <w:lvlText w:val="o"/>
      <w:lvlJc w:val="left"/>
      <w:pPr>
        <w:tabs>
          <w:tab w:val="num" w:pos="5760"/>
        </w:tabs>
        <w:ind w:left="5760" w:hanging="360"/>
      </w:pPr>
      <w:rPr>
        <w:rFonts w:ascii="Courier New" w:hAnsi="Courier New"/>
      </w:rPr>
    </w:lvl>
    <w:lvl w:ilvl="8" w:tplc="BE3A5032">
      <w:start w:val="1"/>
      <w:numFmt w:val="bullet"/>
      <w:lvlText w:val=""/>
      <w:lvlJc w:val="left"/>
      <w:pPr>
        <w:tabs>
          <w:tab w:val="num" w:pos="6480"/>
        </w:tabs>
        <w:ind w:left="6480" w:hanging="360"/>
      </w:pPr>
      <w:rPr>
        <w:rFonts w:ascii="Wingdings" w:hAnsi="Wingdings"/>
      </w:rPr>
    </w:lvl>
  </w:abstractNum>
  <w:abstractNum w:abstractNumId="89" w15:restartNumberingAfterBreak="0">
    <w:nsid w:val="7DF6280E"/>
    <w:multiLevelType w:val="hybridMultilevel"/>
    <w:tmpl w:val="7DF6280E"/>
    <w:lvl w:ilvl="0" w:tplc="38EC4660">
      <w:start w:val="1"/>
      <w:numFmt w:val="bullet"/>
      <w:lvlText w:val=""/>
      <w:lvlJc w:val="left"/>
      <w:pPr>
        <w:tabs>
          <w:tab w:val="num" w:pos="720"/>
        </w:tabs>
        <w:ind w:left="720" w:hanging="360"/>
      </w:pPr>
      <w:rPr>
        <w:rFonts w:ascii="Symbol" w:hAnsi="Symbol"/>
      </w:rPr>
    </w:lvl>
    <w:lvl w:ilvl="1" w:tplc="3634D7D0">
      <w:start w:val="1"/>
      <w:numFmt w:val="bullet"/>
      <w:lvlText w:val="o"/>
      <w:lvlJc w:val="left"/>
      <w:pPr>
        <w:tabs>
          <w:tab w:val="num" w:pos="1440"/>
        </w:tabs>
        <w:ind w:left="1440" w:hanging="360"/>
      </w:pPr>
      <w:rPr>
        <w:rFonts w:ascii="Courier New" w:hAnsi="Courier New"/>
      </w:rPr>
    </w:lvl>
    <w:lvl w:ilvl="2" w:tplc="CE96DB70">
      <w:start w:val="1"/>
      <w:numFmt w:val="bullet"/>
      <w:lvlText w:val=""/>
      <w:lvlJc w:val="left"/>
      <w:pPr>
        <w:tabs>
          <w:tab w:val="num" w:pos="2160"/>
        </w:tabs>
        <w:ind w:left="2160" w:hanging="360"/>
      </w:pPr>
      <w:rPr>
        <w:rFonts w:ascii="Wingdings" w:hAnsi="Wingdings"/>
      </w:rPr>
    </w:lvl>
    <w:lvl w:ilvl="3" w:tplc="DDCA37DE">
      <w:start w:val="1"/>
      <w:numFmt w:val="bullet"/>
      <w:lvlText w:val=""/>
      <w:lvlJc w:val="left"/>
      <w:pPr>
        <w:tabs>
          <w:tab w:val="num" w:pos="2880"/>
        </w:tabs>
        <w:ind w:left="2880" w:hanging="360"/>
      </w:pPr>
      <w:rPr>
        <w:rFonts w:ascii="Symbol" w:hAnsi="Symbol"/>
      </w:rPr>
    </w:lvl>
    <w:lvl w:ilvl="4" w:tplc="985459CE">
      <w:start w:val="1"/>
      <w:numFmt w:val="bullet"/>
      <w:lvlText w:val="o"/>
      <w:lvlJc w:val="left"/>
      <w:pPr>
        <w:tabs>
          <w:tab w:val="num" w:pos="3600"/>
        </w:tabs>
        <w:ind w:left="3600" w:hanging="360"/>
      </w:pPr>
      <w:rPr>
        <w:rFonts w:ascii="Courier New" w:hAnsi="Courier New"/>
      </w:rPr>
    </w:lvl>
    <w:lvl w:ilvl="5" w:tplc="8BC80BA0">
      <w:start w:val="1"/>
      <w:numFmt w:val="bullet"/>
      <w:lvlText w:val=""/>
      <w:lvlJc w:val="left"/>
      <w:pPr>
        <w:tabs>
          <w:tab w:val="num" w:pos="4320"/>
        </w:tabs>
        <w:ind w:left="4320" w:hanging="360"/>
      </w:pPr>
      <w:rPr>
        <w:rFonts w:ascii="Wingdings" w:hAnsi="Wingdings"/>
      </w:rPr>
    </w:lvl>
    <w:lvl w:ilvl="6" w:tplc="419A1FE0">
      <w:start w:val="1"/>
      <w:numFmt w:val="bullet"/>
      <w:lvlText w:val=""/>
      <w:lvlJc w:val="left"/>
      <w:pPr>
        <w:tabs>
          <w:tab w:val="num" w:pos="5040"/>
        </w:tabs>
        <w:ind w:left="5040" w:hanging="360"/>
      </w:pPr>
      <w:rPr>
        <w:rFonts w:ascii="Symbol" w:hAnsi="Symbol"/>
      </w:rPr>
    </w:lvl>
    <w:lvl w:ilvl="7" w:tplc="20FE0090">
      <w:start w:val="1"/>
      <w:numFmt w:val="bullet"/>
      <w:lvlText w:val="o"/>
      <w:lvlJc w:val="left"/>
      <w:pPr>
        <w:tabs>
          <w:tab w:val="num" w:pos="5760"/>
        </w:tabs>
        <w:ind w:left="5760" w:hanging="360"/>
      </w:pPr>
      <w:rPr>
        <w:rFonts w:ascii="Courier New" w:hAnsi="Courier New"/>
      </w:rPr>
    </w:lvl>
    <w:lvl w:ilvl="8" w:tplc="13B2E102">
      <w:start w:val="1"/>
      <w:numFmt w:val="bullet"/>
      <w:lvlText w:val=""/>
      <w:lvlJc w:val="left"/>
      <w:pPr>
        <w:tabs>
          <w:tab w:val="num" w:pos="6480"/>
        </w:tabs>
        <w:ind w:left="6480" w:hanging="360"/>
      </w:pPr>
      <w:rPr>
        <w:rFonts w:ascii="Wingdings" w:hAnsi="Wingdings"/>
      </w:rPr>
    </w:lvl>
  </w:abstractNum>
  <w:abstractNum w:abstractNumId="90" w15:restartNumberingAfterBreak="0">
    <w:nsid w:val="7DF6280F"/>
    <w:multiLevelType w:val="hybridMultilevel"/>
    <w:tmpl w:val="7DF6280F"/>
    <w:lvl w:ilvl="0" w:tplc="2A14BA0A">
      <w:start w:val="1"/>
      <w:numFmt w:val="bullet"/>
      <w:lvlText w:val=""/>
      <w:lvlJc w:val="left"/>
      <w:pPr>
        <w:tabs>
          <w:tab w:val="num" w:pos="720"/>
        </w:tabs>
        <w:ind w:left="720" w:hanging="360"/>
      </w:pPr>
      <w:rPr>
        <w:rFonts w:ascii="Symbol" w:hAnsi="Symbol"/>
      </w:rPr>
    </w:lvl>
    <w:lvl w:ilvl="1" w:tplc="B70247E8">
      <w:start w:val="1"/>
      <w:numFmt w:val="bullet"/>
      <w:lvlText w:val="o"/>
      <w:lvlJc w:val="left"/>
      <w:pPr>
        <w:tabs>
          <w:tab w:val="num" w:pos="1440"/>
        </w:tabs>
        <w:ind w:left="1440" w:hanging="360"/>
      </w:pPr>
      <w:rPr>
        <w:rFonts w:ascii="Courier New" w:hAnsi="Courier New"/>
      </w:rPr>
    </w:lvl>
    <w:lvl w:ilvl="2" w:tplc="FC9EF46A">
      <w:start w:val="1"/>
      <w:numFmt w:val="bullet"/>
      <w:lvlText w:val=""/>
      <w:lvlJc w:val="left"/>
      <w:pPr>
        <w:tabs>
          <w:tab w:val="num" w:pos="2160"/>
        </w:tabs>
        <w:ind w:left="2160" w:hanging="360"/>
      </w:pPr>
      <w:rPr>
        <w:rFonts w:ascii="Wingdings" w:hAnsi="Wingdings"/>
      </w:rPr>
    </w:lvl>
    <w:lvl w:ilvl="3" w:tplc="3FDE74EC">
      <w:start w:val="1"/>
      <w:numFmt w:val="bullet"/>
      <w:lvlText w:val=""/>
      <w:lvlJc w:val="left"/>
      <w:pPr>
        <w:tabs>
          <w:tab w:val="num" w:pos="2880"/>
        </w:tabs>
        <w:ind w:left="2880" w:hanging="360"/>
      </w:pPr>
      <w:rPr>
        <w:rFonts w:ascii="Symbol" w:hAnsi="Symbol"/>
      </w:rPr>
    </w:lvl>
    <w:lvl w:ilvl="4" w:tplc="0FA4566A">
      <w:start w:val="1"/>
      <w:numFmt w:val="bullet"/>
      <w:lvlText w:val="o"/>
      <w:lvlJc w:val="left"/>
      <w:pPr>
        <w:tabs>
          <w:tab w:val="num" w:pos="3600"/>
        </w:tabs>
        <w:ind w:left="3600" w:hanging="360"/>
      </w:pPr>
      <w:rPr>
        <w:rFonts w:ascii="Courier New" w:hAnsi="Courier New"/>
      </w:rPr>
    </w:lvl>
    <w:lvl w:ilvl="5" w:tplc="B27A6AFC">
      <w:start w:val="1"/>
      <w:numFmt w:val="bullet"/>
      <w:lvlText w:val=""/>
      <w:lvlJc w:val="left"/>
      <w:pPr>
        <w:tabs>
          <w:tab w:val="num" w:pos="4320"/>
        </w:tabs>
        <w:ind w:left="4320" w:hanging="360"/>
      </w:pPr>
      <w:rPr>
        <w:rFonts w:ascii="Wingdings" w:hAnsi="Wingdings"/>
      </w:rPr>
    </w:lvl>
    <w:lvl w:ilvl="6" w:tplc="A2E47476">
      <w:start w:val="1"/>
      <w:numFmt w:val="bullet"/>
      <w:lvlText w:val=""/>
      <w:lvlJc w:val="left"/>
      <w:pPr>
        <w:tabs>
          <w:tab w:val="num" w:pos="5040"/>
        </w:tabs>
        <w:ind w:left="5040" w:hanging="360"/>
      </w:pPr>
      <w:rPr>
        <w:rFonts w:ascii="Symbol" w:hAnsi="Symbol"/>
      </w:rPr>
    </w:lvl>
    <w:lvl w:ilvl="7" w:tplc="43FA1B64">
      <w:start w:val="1"/>
      <w:numFmt w:val="bullet"/>
      <w:lvlText w:val="o"/>
      <w:lvlJc w:val="left"/>
      <w:pPr>
        <w:tabs>
          <w:tab w:val="num" w:pos="5760"/>
        </w:tabs>
        <w:ind w:left="5760" w:hanging="360"/>
      </w:pPr>
      <w:rPr>
        <w:rFonts w:ascii="Courier New" w:hAnsi="Courier New"/>
      </w:rPr>
    </w:lvl>
    <w:lvl w:ilvl="8" w:tplc="291C8CF6">
      <w:start w:val="1"/>
      <w:numFmt w:val="bullet"/>
      <w:lvlText w:val=""/>
      <w:lvlJc w:val="left"/>
      <w:pPr>
        <w:tabs>
          <w:tab w:val="num" w:pos="6480"/>
        </w:tabs>
        <w:ind w:left="6480" w:hanging="360"/>
      </w:pPr>
      <w:rPr>
        <w:rFonts w:ascii="Wingdings" w:hAnsi="Wingdings"/>
      </w:rPr>
    </w:lvl>
  </w:abstractNum>
  <w:abstractNum w:abstractNumId="91" w15:restartNumberingAfterBreak="0">
    <w:nsid w:val="7DF62810"/>
    <w:multiLevelType w:val="hybridMultilevel"/>
    <w:tmpl w:val="7DF62810"/>
    <w:lvl w:ilvl="0" w:tplc="C5B67AC8">
      <w:start w:val="1"/>
      <w:numFmt w:val="bullet"/>
      <w:lvlText w:val=""/>
      <w:lvlJc w:val="left"/>
      <w:pPr>
        <w:tabs>
          <w:tab w:val="num" w:pos="720"/>
        </w:tabs>
        <w:ind w:left="720" w:hanging="360"/>
      </w:pPr>
      <w:rPr>
        <w:rFonts w:ascii="Symbol" w:hAnsi="Symbol"/>
      </w:rPr>
    </w:lvl>
    <w:lvl w:ilvl="1" w:tplc="BEE6F55E">
      <w:start w:val="1"/>
      <w:numFmt w:val="bullet"/>
      <w:lvlText w:val="o"/>
      <w:lvlJc w:val="left"/>
      <w:pPr>
        <w:tabs>
          <w:tab w:val="num" w:pos="1440"/>
        </w:tabs>
        <w:ind w:left="1440" w:hanging="360"/>
      </w:pPr>
      <w:rPr>
        <w:rFonts w:ascii="Courier New" w:hAnsi="Courier New"/>
      </w:rPr>
    </w:lvl>
    <w:lvl w:ilvl="2" w:tplc="A8C29A0C">
      <w:start w:val="1"/>
      <w:numFmt w:val="bullet"/>
      <w:lvlText w:val=""/>
      <w:lvlJc w:val="left"/>
      <w:pPr>
        <w:tabs>
          <w:tab w:val="num" w:pos="2160"/>
        </w:tabs>
        <w:ind w:left="2160" w:hanging="360"/>
      </w:pPr>
      <w:rPr>
        <w:rFonts w:ascii="Wingdings" w:hAnsi="Wingdings"/>
      </w:rPr>
    </w:lvl>
    <w:lvl w:ilvl="3" w:tplc="2E26C87E">
      <w:start w:val="1"/>
      <w:numFmt w:val="bullet"/>
      <w:lvlText w:val=""/>
      <w:lvlJc w:val="left"/>
      <w:pPr>
        <w:tabs>
          <w:tab w:val="num" w:pos="2880"/>
        </w:tabs>
        <w:ind w:left="2880" w:hanging="360"/>
      </w:pPr>
      <w:rPr>
        <w:rFonts w:ascii="Symbol" w:hAnsi="Symbol"/>
      </w:rPr>
    </w:lvl>
    <w:lvl w:ilvl="4" w:tplc="0EECDE50">
      <w:start w:val="1"/>
      <w:numFmt w:val="bullet"/>
      <w:lvlText w:val="o"/>
      <w:lvlJc w:val="left"/>
      <w:pPr>
        <w:tabs>
          <w:tab w:val="num" w:pos="3600"/>
        </w:tabs>
        <w:ind w:left="3600" w:hanging="360"/>
      </w:pPr>
      <w:rPr>
        <w:rFonts w:ascii="Courier New" w:hAnsi="Courier New"/>
      </w:rPr>
    </w:lvl>
    <w:lvl w:ilvl="5" w:tplc="5A8E8B18">
      <w:start w:val="1"/>
      <w:numFmt w:val="bullet"/>
      <w:lvlText w:val=""/>
      <w:lvlJc w:val="left"/>
      <w:pPr>
        <w:tabs>
          <w:tab w:val="num" w:pos="4320"/>
        </w:tabs>
        <w:ind w:left="4320" w:hanging="360"/>
      </w:pPr>
      <w:rPr>
        <w:rFonts w:ascii="Wingdings" w:hAnsi="Wingdings"/>
      </w:rPr>
    </w:lvl>
    <w:lvl w:ilvl="6" w:tplc="AD8AFBB4">
      <w:start w:val="1"/>
      <w:numFmt w:val="bullet"/>
      <w:lvlText w:val=""/>
      <w:lvlJc w:val="left"/>
      <w:pPr>
        <w:tabs>
          <w:tab w:val="num" w:pos="5040"/>
        </w:tabs>
        <w:ind w:left="5040" w:hanging="360"/>
      </w:pPr>
      <w:rPr>
        <w:rFonts w:ascii="Symbol" w:hAnsi="Symbol"/>
      </w:rPr>
    </w:lvl>
    <w:lvl w:ilvl="7" w:tplc="CCCC49B2">
      <w:start w:val="1"/>
      <w:numFmt w:val="bullet"/>
      <w:lvlText w:val="o"/>
      <w:lvlJc w:val="left"/>
      <w:pPr>
        <w:tabs>
          <w:tab w:val="num" w:pos="5760"/>
        </w:tabs>
        <w:ind w:left="5760" w:hanging="360"/>
      </w:pPr>
      <w:rPr>
        <w:rFonts w:ascii="Courier New" w:hAnsi="Courier New"/>
      </w:rPr>
    </w:lvl>
    <w:lvl w:ilvl="8" w:tplc="AB0A41B0">
      <w:start w:val="1"/>
      <w:numFmt w:val="bullet"/>
      <w:lvlText w:val=""/>
      <w:lvlJc w:val="left"/>
      <w:pPr>
        <w:tabs>
          <w:tab w:val="num" w:pos="6480"/>
        </w:tabs>
        <w:ind w:left="6480" w:hanging="360"/>
      </w:pPr>
      <w:rPr>
        <w:rFonts w:ascii="Wingdings" w:hAnsi="Wingdings"/>
      </w:rPr>
    </w:lvl>
  </w:abstractNum>
  <w:abstractNum w:abstractNumId="92" w15:restartNumberingAfterBreak="0">
    <w:nsid w:val="7DF62811"/>
    <w:multiLevelType w:val="hybridMultilevel"/>
    <w:tmpl w:val="7DF62811"/>
    <w:lvl w:ilvl="0" w:tplc="04DCD570">
      <w:start w:val="1"/>
      <w:numFmt w:val="bullet"/>
      <w:lvlText w:val=""/>
      <w:lvlJc w:val="left"/>
      <w:pPr>
        <w:tabs>
          <w:tab w:val="num" w:pos="720"/>
        </w:tabs>
        <w:ind w:left="720" w:hanging="360"/>
      </w:pPr>
      <w:rPr>
        <w:rFonts w:ascii="Symbol" w:hAnsi="Symbol"/>
      </w:rPr>
    </w:lvl>
    <w:lvl w:ilvl="1" w:tplc="E0D01C96">
      <w:start w:val="1"/>
      <w:numFmt w:val="bullet"/>
      <w:lvlText w:val="o"/>
      <w:lvlJc w:val="left"/>
      <w:pPr>
        <w:tabs>
          <w:tab w:val="num" w:pos="1440"/>
        </w:tabs>
        <w:ind w:left="1440" w:hanging="360"/>
      </w:pPr>
      <w:rPr>
        <w:rFonts w:ascii="Courier New" w:hAnsi="Courier New"/>
      </w:rPr>
    </w:lvl>
    <w:lvl w:ilvl="2" w:tplc="13CE3E22">
      <w:start w:val="1"/>
      <w:numFmt w:val="bullet"/>
      <w:lvlText w:val=""/>
      <w:lvlJc w:val="left"/>
      <w:pPr>
        <w:tabs>
          <w:tab w:val="num" w:pos="2160"/>
        </w:tabs>
        <w:ind w:left="2160" w:hanging="360"/>
      </w:pPr>
      <w:rPr>
        <w:rFonts w:ascii="Wingdings" w:hAnsi="Wingdings"/>
      </w:rPr>
    </w:lvl>
    <w:lvl w:ilvl="3" w:tplc="224E70A0">
      <w:start w:val="1"/>
      <w:numFmt w:val="bullet"/>
      <w:lvlText w:val=""/>
      <w:lvlJc w:val="left"/>
      <w:pPr>
        <w:tabs>
          <w:tab w:val="num" w:pos="2880"/>
        </w:tabs>
        <w:ind w:left="2880" w:hanging="360"/>
      </w:pPr>
      <w:rPr>
        <w:rFonts w:ascii="Symbol" w:hAnsi="Symbol"/>
      </w:rPr>
    </w:lvl>
    <w:lvl w:ilvl="4" w:tplc="3F0285C8">
      <w:start w:val="1"/>
      <w:numFmt w:val="bullet"/>
      <w:lvlText w:val="o"/>
      <w:lvlJc w:val="left"/>
      <w:pPr>
        <w:tabs>
          <w:tab w:val="num" w:pos="3600"/>
        </w:tabs>
        <w:ind w:left="3600" w:hanging="360"/>
      </w:pPr>
      <w:rPr>
        <w:rFonts w:ascii="Courier New" w:hAnsi="Courier New"/>
      </w:rPr>
    </w:lvl>
    <w:lvl w:ilvl="5" w:tplc="D5965D40">
      <w:start w:val="1"/>
      <w:numFmt w:val="bullet"/>
      <w:lvlText w:val=""/>
      <w:lvlJc w:val="left"/>
      <w:pPr>
        <w:tabs>
          <w:tab w:val="num" w:pos="4320"/>
        </w:tabs>
        <w:ind w:left="4320" w:hanging="360"/>
      </w:pPr>
      <w:rPr>
        <w:rFonts w:ascii="Wingdings" w:hAnsi="Wingdings"/>
      </w:rPr>
    </w:lvl>
    <w:lvl w:ilvl="6" w:tplc="D99480BC">
      <w:start w:val="1"/>
      <w:numFmt w:val="bullet"/>
      <w:lvlText w:val=""/>
      <w:lvlJc w:val="left"/>
      <w:pPr>
        <w:tabs>
          <w:tab w:val="num" w:pos="5040"/>
        </w:tabs>
        <w:ind w:left="5040" w:hanging="360"/>
      </w:pPr>
      <w:rPr>
        <w:rFonts w:ascii="Symbol" w:hAnsi="Symbol"/>
      </w:rPr>
    </w:lvl>
    <w:lvl w:ilvl="7" w:tplc="469EA248">
      <w:start w:val="1"/>
      <w:numFmt w:val="bullet"/>
      <w:lvlText w:val="o"/>
      <w:lvlJc w:val="left"/>
      <w:pPr>
        <w:tabs>
          <w:tab w:val="num" w:pos="5760"/>
        </w:tabs>
        <w:ind w:left="5760" w:hanging="360"/>
      </w:pPr>
      <w:rPr>
        <w:rFonts w:ascii="Courier New" w:hAnsi="Courier New"/>
      </w:rPr>
    </w:lvl>
    <w:lvl w:ilvl="8" w:tplc="12161AB2">
      <w:start w:val="1"/>
      <w:numFmt w:val="bullet"/>
      <w:lvlText w:val=""/>
      <w:lvlJc w:val="left"/>
      <w:pPr>
        <w:tabs>
          <w:tab w:val="num" w:pos="6480"/>
        </w:tabs>
        <w:ind w:left="6480" w:hanging="360"/>
      </w:pPr>
      <w:rPr>
        <w:rFonts w:ascii="Wingdings" w:hAnsi="Wingdings"/>
      </w:rPr>
    </w:lvl>
  </w:abstractNum>
  <w:abstractNum w:abstractNumId="93" w15:restartNumberingAfterBreak="0">
    <w:nsid w:val="7DF62812"/>
    <w:multiLevelType w:val="hybridMultilevel"/>
    <w:tmpl w:val="7DF62812"/>
    <w:lvl w:ilvl="0" w:tplc="B9323D7E">
      <w:start w:val="1"/>
      <w:numFmt w:val="bullet"/>
      <w:lvlText w:val=""/>
      <w:lvlJc w:val="left"/>
      <w:pPr>
        <w:tabs>
          <w:tab w:val="num" w:pos="720"/>
        </w:tabs>
        <w:ind w:left="720" w:hanging="360"/>
      </w:pPr>
      <w:rPr>
        <w:rFonts w:ascii="Symbol" w:hAnsi="Symbol"/>
      </w:rPr>
    </w:lvl>
    <w:lvl w:ilvl="1" w:tplc="8730BB76">
      <w:start w:val="1"/>
      <w:numFmt w:val="bullet"/>
      <w:lvlText w:val="o"/>
      <w:lvlJc w:val="left"/>
      <w:pPr>
        <w:tabs>
          <w:tab w:val="num" w:pos="1440"/>
        </w:tabs>
        <w:ind w:left="1440" w:hanging="360"/>
      </w:pPr>
      <w:rPr>
        <w:rFonts w:ascii="Courier New" w:hAnsi="Courier New"/>
      </w:rPr>
    </w:lvl>
    <w:lvl w:ilvl="2" w:tplc="21CC1584">
      <w:start w:val="1"/>
      <w:numFmt w:val="bullet"/>
      <w:lvlText w:val=""/>
      <w:lvlJc w:val="left"/>
      <w:pPr>
        <w:tabs>
          <w:tab w:val="num" w:pos="2160"/>
        </w:tabs>
        <w:ind w:left="2160" w:hanging="360"/>
      </w:pPr>
      <w:rPr>
        <w:rFonts w:ascii="Wingdings" w:hAnsi="Wingdings"/>
      </w:rPr>
    </w:lvl>
    <w:lvl w:ilvl="3" w:tplc="ADB460E6">
      <w:start w:val="1"/>
      <w:numFmt w:val="bullet"/>
      <w:lvlText w:val=""/>
      <w:lvlJc w:val="left"/>
      <w:pPr>
        <w:tabs>
          <w:tab w:val="num" w:pos="2880"/>
        </w:tabs>
        <w:ind w:left="2880" w:hanging="360"/>
      </w:pPr>
      <w:rPr>
        <w:rFonts w:ascii="Symbol" w:hAnsi="Symbol"/>
      </w:rPr>
    </w:lvl>
    <w:lvl w:ilvl="4" w:tplc="D1621402">
      <w:start w:val="1"/>
      <w:numFmt w:val="bullet"/>
      <w:lvlText w:val="o"/>
      <w:lvlJc w:val="left"/>
      <w:pPr>
        <w:tabs>
          <w:tab w:val="num" w:pos="3600"/>
        </w:tabs>
        <w:ind w:left="3600" w:hanging="360"/>
      </w:pPr>
      <w:rPr>
        <w:rFonts w:ascii="Courier New" w:hAnsi="Courier New"/>
      </w:rPr>
    </w:lvl>
    <w:lvl w:ilvl="5" w:tplc="FF9E026E">
      <w:start w:val="1"/>
      <w:numFmt w:val="bullet"/>
      <w:lvlText w:val=""/>
      <w:lvlJc w:val="left"/>
      <w:pPr>
        <w:tabs>
          <w:tab w:val="num" w:pos="4320"/>
        </w:tabs>
        <w:ind w:left="4320" w:hanging="360"/>
      </w:pPr>
      <w:rPr>
        <w:rFonts w:ascii="Wingdings" w:hAnsi="Wingdings"/>
      </w:rPr>
    </w:lvl>
    <w:lvl w:ilvl="6" w:tplc="9768E43A">
      <w:start w:val="1"/>
      <w:numFmt w:val="bullet"/>
      <w:lvlText w:val=""/>
      <w:lvlJc w:val="left"/>
      <w:pPr>
        <w:tabs>
          <w:tab w:val="num" w:pos="5040"/>
        </w:tabs>
        <w:ind w:left="5040" w:hanging="360"/>
      </w:pPr>
      <w:rPr>
        <w:rFonts w:ascii="Symbol" w:hAnsi="Symbol"/>
      </w:rPr>
    </w:lvl>
    <w:lvl w:ilvl="7" w:tplc="010C94D0">
      <w:start w:val="1"/>
      <w:numFmt w:val="bullet"/>
      <w:lvlText w:val="o"/>
      <w:lvlJc w:val="left"/>
      <w:pPr>
        <w:tabs>
          <w:tab w:val="num" w:pos="5760"/>
        </w:tabs>
        <w:ind w:left="5760" w:hanging="360"/>
      </w:pPr>
      <w:rPr>
        <w:rFonts w:ascii="Courier New" w:hAnsi="Courier New"/>
      </w:rPr>
    </w:lvl>
    <w:lvl w:ilvl="8" w:tplc="847E3E52">
      <w:start w:val="1"/>
      <w:numFmt w:val="bullet"/>
      <w:lvlText w:val=""/>
      <w:lvlJc w:val="left"/>
      <w:pPr>
        <w:tabs>
          <w:tab w:val="num" w:pos="6480"/>
        </w:tabs>
        <w:ind w:left="6480" w:hanging="360"/>
      </w:pPr>
      <w:rPr>
        <w:rFonts w:ascii="Wingdings" w:hAnsi="Wingdings"/>
      </w:rPr>
    </w:lvl>
  </w:abstractNum>
  <w:abstractNum w:abstractNumId="94" w15:restartNumberingAfterBreak="0">
    <w:nsid w:val="7DF62813"/>
    <w:multiLevelType w:val="hybridMultilevel"/>
    <w:tmpl w:val="7DF62813"/>
    <w:lvl w:ilvl="0" w:tplc="B920B0FC">
      <w:start w:val="1"/>
      <w:numFmt w:val="bullet"/>
      <w:lvlText w:val=""/>
      <w:lvlJc w:val="left"/>
      <w:pPr>
        <w:tabs>
          <w:tab w:val="num" w:pos="720"/>
        </w:tabs>
        <w:ind w:left="720" w:hanging="360"/>
      </w:pPr>
      <w:rPr>
        <w:rFonts w:ascii="Symbol" w:hAnsi="Symbol"/>
      </w:rPr>
    </w:lvl>
    <w:lvl w:ilvl="1" w:tplc="2B8C288A">
      <w:start w:val="1"/>
      <w:numFmt w:val="bullet"/>
      <w:lvlText w:val="o"/>
      <w:lvlJc w:val="left"/>
      <w:pPr>
        <w:tabs>
          <w:tab w:val="num" w:pos="1440"/>
        </w:tabs>
        <w:ind w:left="1440" w:hanging="360"/>
      </w:pPr>
      <w:rPr>
        <w:rFonts w:ascii="Courier New" w:hAnsi="Courier New"/>
      </w:rPr>
    </w:lvl>
    <w:lvl w:ilvl="2" w:tplc="C0981D9E">
      <w:start w:val="1"/>
      <w:numFmt w:val="bullet"/>
      <w:lvlText w:val=""/>
      <w:lvlJc w:val="left"/>
      <w:pPr>
        <w:tabs>
          <w:tab w:val="num" w:pos="2160"/>
        </w:tabs>
        <w:ind w:left="2160" w:hanging="360"/>
      </w:pPr>
      <w:rPr>
        <w:rFonts w:ascii="Wingdings" w:hAnsi="Wingdings"/>
      </w:rPr>
    </w:lvl>
    <w:lvl w:ilvl="3" w:tplc="77F0D0CA">
      <w:start w:val="1"/>
      <w:numFmt w:val="bullet"/>
      <w:lvlText w:val=""/>
      <w:lvlJc w:val="left"/>
      <w:pPr>
        <w:tabs>
          <w:tab w:val="num" w:pos="2880"/>
        </w:tabs>
        <w:ind w:left="2880" w:hanging="360"/>
      </w:pPr>
      <w:rPr>
        <w:rFonts w:ascii="Symbol" w:hAnsi="Symbol"/>
      </w:rPr>
    </w:lvl>
    <w:lvl w:ilvl="4" w:tplc="6414DC54">
      <w:start w:val="1"/>
      <w:numFmt w:val="bullet"/>
      <w:lvlText w:val="o"/>
      <w:lvlJc w:val="left"/>
      <w:pPr>
        <w:tabs>
          <w:tab w:val="num" w:pos="3600"/>
        </w:tabs>
        <w:ind w:left="3600" w:hanging="360"/>
      </w:pPr>
      <w:rPr>
        <w:rFonts w:ascii="Courier New" w:hAnsi="Courier New"/>
      </w:rPr>
    </w:lvl>
    <w:lvl w:ilvl="5" w:tplc="2898C868">
      <w:start w:val="1"/>
      <w:numFmt w:val="bullet"/>
      <w:lvlText w:val=""/>
      <w:lvlJc w:val="left"/>
      <w:pPr>
        <w:tabs>
          <w:tab w:val="num" w:pos="4320"/>
        </w:tabs>
        <w:ind w:left="4320" w:hanging="360"/>
      </w:pPr>
      <w:rPr>
        <w:rFonts w:ascii="Wingdings" w:hAnsi="Wingdings"/>
      </w:rPr>
    </w:lvl>
    <w:lvl w:ilvl="6" w:tplc="F3769526">
      <w:start w:val="1"/>
      <w:numFmt w:val="bullet"/>
      <w:lvlText w:val=""/>
      <w:lvlJc w:val="left"/>
      <w:pPr>
        <w:tabs>
          <w:tab w:val="num" w:pos="5040"/>
        </w:tabs>
        <w:ind w:left="5040" w:hanging="360"/>
      </w:pPr>
      <w:rPr>
        <w:rFonts w:ascii="Symbol" w:hAnsi="Symbol"/>
      </w:rPr>
    </w:lvl>
    <w:lvl w:ilvl="7" w:tplc="5EB01114">
      <w:start w:val="1"/>
      <w:numFmt w:val="bullet"/>
      <w:lvlText w:val="o"/>
      <w:lvlJc w:val="left"/>
      <w:pPr>
        <w:tabs>
          <w:tab w:val="num" w:pos="5760"/>
        </w:tabs>
        <w:ind w:left="5760" w:hanging="360"/>
      </w:pPr>
      <w:rPr>
        <w:rFonts w:ascii="Courier New" w:hAnsi="Courier New"/>
      </w:rPr>
    </w:lvl>
    <w:lvl w:ilvl="8" w:tplc="772C6DA4">
      <w:start w:val="1"/>
      <w:numFmt w:val="bullet"/>
      <w:lvlText w:val=""/>
      <w:lvlJc w:val="left"/>
      <w:pPr>
        <w:tabs>
          <w:tab w:val="num" w:pos="6480"/>
        </w:tabs>
        <w:ind w:left="6480" w:hanging="360"/>
      </w:pPr>
      <w:rPr>
        <w:rFonts w:ascii="Wingdings" w:hAnsi="Wingdings"/>
      </w:rPr>
    </w:lvl>
  </w:abstractNum>
  <w:abstractNum w:abstractNumId="95" w15:restartNumberingAfterBreak="0">
    <w:nsid w:val="7DF62814"/>
    <w:multiLevelType w:val="multilevel"/>
    <w:tmpl w:val="7DF628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DF62815"/>
    <w:multiLevelType w:val="multilevel"/>
    <w:tmpl w:val="7DF628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DF62816"/>
    <w:multiLevelType w:val="hybridMultilevel"/>
    <w:tmpl w:val="7DF62816"/>
    <w:lvl w:ilvl="0" w:tplc="EB7C9BDA">
      <w:start w:val="1"/>
      <w:numFmt w:val="bullet"/>
      <w:lvlText w:val=""/>
      <w:lvlJc w:val="left"/>
      <w:pPr>
        <w:tabs>
          <w:tab w:val="num" w:pos="720"/>
        </w:tabs>
        <w:ind w:left="720" w:hanging="360"/>
      </w:pPr>
      <w:rPr>
        <w:rFonts w:ascii="Symbol" w:hAnsi="Symbol"/>
      </w:rPr>
    </w:lvl>
    <w:lvl w:ilvl="1" w:tplc="853A8064">
      <w:start w:val="1"/>
      <w:numFmt w:val="bullet"/>
      <w:lvlText w:val="o"/>
      <w:lvlJc w:val="left"/>
      <w:pPr>
        <w:tabs>
          <w:tab w:val="num" w:pos="1440"/>
        </w:tabs>
        <w:ind w:left="1440" w:hanging="360"/>
      </w:pPr>
      <w:rPr>
        <w:rFonts w:ascii="Courier New" w:hAnsi="Courier New"/>
      </w:rPr>
    </w:lvl>
    <w:lvl w:ilvl="2" w:tplc="0DF6F8D0">
      <w:start w:val="1"/>
      <w:numFmt w:val="bullet"/>
      <w:lvlText w:val=""/>
      <w:lvlJc w:val="left"/>
      <w:pPr>
        <w:tabs>
          <w:tab w:val="num" w:pos="2160"/>
        </w:tabs>
        <w:ind w:left="2160" w:hanging="360"/>
      </w:pPr>
      <w:rPr>
        <w:rFonts w:ascii="Wingdings" w:hAnsi="Wingdings"/>
      </w:rPr>
    </w:lvl>
    <w:lvl w:ilvl="3" w:tplc="CE5E6226">
      <w:start w:val="1"/>
      <w:numFmt w:val="bullet"/>
      <w:lvlText w:val=""/>
      <w:lvlJc w:val="left"/>
      <w:pPr>
        <w:tabs>
          <w:tab w:val="num" w:pos="2880"/>
        </w:tabs>
        <w:ind w:left="2880" w:hanging="360"/>
      </w:pPr>
      <w:rPr>
        <w:rFonts w:ascii="Symbol" w:hAnsi="Symbol"/>
      </w:rPr>
    </w:lvl>
    <w:lvl w:ilvl="4" w:tplc="C9962F28">
      <w:start w:val="1"/>
      <w:numFmt w:val="bullet"/>
      <w:lvlText w:val="o"/>
      <w:lvlJc w:val="left"/>
      <w:pPr>
        <w:tabs>
          <w:tab w:val="num" w:pos="3600"/>
        </w:tabs>
        <w:ind w:left="3600" w:hanging="360"/>
      </w:pPr>
      <w:rPr>
        <w:rFonts w:ascii="Courier New" w:hAnsi="Courier New"/>
      </w:rPr>
    </w:lvl>
    <w:lvl w:ilvl="5" w:tplc="940E458E">
      <w:start w:val="1"/>
      <w:numFmt w:val="bullet"/>
      <w:lvlText w:val=""/>
      <w:lvlJc w:val="left"/>
      <w:pPr>
        <w:tabs>
          <w:tab w:val="num" w:pos="4320"/>
        </w:tabs>
        <w:ind w:left="4320" w:hanging="360"/>
      </w:pPr>
      <w:rPr>
        <w:rFonts w:ascii="Wingdings" w:hAnsi="Wingdings"/>
      </w:rPr>
    </w:lvl>
    <w:lvl w:ilvl="6" w:tplc="C1FA1420">
      <w:start w:val="1"/>
      <w:numFmt w:val="bullet"/>
      <w:lvlText w:val=""/>
      <w:lvlJc w:val="left"/>
      <w:pPr>
        <w:tabs>
          <w:tab w:val="num" w:pos="5040"/>
        </w:tabs>
        <w:ind w:left="5040" w:hanging="360"/>
      </w:pPr>
      <w:rPr>
        <w:rFonts w:ascii="Symbol" w:hAnsi="Symbol"/>
      </w:rPr>
    </w:lvl>
    <w:lvl w:ilvl="7" w:tplc="65200B2E">
      <w:start w:val="1"/>
      <w:numFmt w:val="bullet"/>
      <w:lvlText w:val="o"/>
      <w:lvlJc w:val="left"/>
      <w:pPr>
        <w:tabs>
          <w:tab w:val="num" w:pos="5760"/>
        </w:tabs>
        <w:ind w:left="5760" w:hanging="360"/>
      </w:pPr>
      <w:rPr>
        <w:rFonts w:ascii="Courier New" w:hAnsi="Courier New"/>
      </w:rPr>
    </w:lvl>
    <w:lvl w:ilvl="8" w:tplc="2AE889CE">
      <w:start w:val="1"/>
      <w:numFmt w:val="bullet"/>
      <w:lvlText w:val=""/>
      <w:lvlJc w:val="left"/>
      <w:pPr>
        <w:tabs>
          <w:tab w:val="num" w:pos="6480"/>
        </w:tabs>
        <w:ind w:left="6480" w:hanging="360"/>
      </w:pPr>
      <w:rPr>
        <w:rFonts w:ascii="Wingdings" w:hAnsi="Wingdings"/>
      </w:rPr>
    </w:lvl>
  </w:abstractNum>
  <w:abstractNum w:abstractNumId="98" w15:restartNumberingAfterBreak="0">
    <w:nsid w:val="7DF62817"/>
    <w:multiLevelType w:val="hybridMultilevel"/>
    <w:tmpl w:val="7DF62817"/>
    <w:lvl w:ilvl="0" w:tplc="01321FD0">
      <w:start w:val="1"/>
      <w:numFmt w:val="bullet"/>
      <w:lvlText w:val=""/>
      <w:lvlJc w:val="left"/>
      <w:pPr>
        <w:tabs>
          <w:tab w:val="num" w:pos="720"/>
        </w:tabs>
        <w:ind w:left="720" w:hanging="360"/>
      </w:pPr>
      <w:rPr>
        <w:rFonts w:ascii="Symbol" w:hAnsi="Symbol"/>
      </w:rPr>
    </w:lvl>
    <w:lvl w:ilvl="1" w:tplc="EB469690">
      <w:start w:val="1"/>
      <w:numFmt w:val="bullet"/>
      <w:lvlText w:val="o"/>
      <w:lvlJc w:val="left"/>
      <w:pPr>
        <w:tabs>
          <w:tab w:val="num" w:pos="1440"/>
        </w:tabs>
        <w:ind w:left="1440" w:hanging="360"/>
      </w:pPr>
      <w:rPr>
        <w:rFonts w:ascii="Courier New" w:hAnsi="Courier New"/>
      </w:rPr>
    </w:lvl>
    <w:lvl w:ilvl="2" w:tplc="A99C2F0E">
      <w:start w:val="1"/>
      <w:numFmt w:val="bullet"/>
      <w:lvlText w:val=""/>
      <w:lvlJc w:val="left"/>
      <w:pPr>
        <w:tabs>
          <w:tab w:val="num" w:pos="2160"/>
        </w:tabs>
        <w:ind w:left="2160" w:hanging="360"/>
      </w:pPr>
      <w:rPr>
        <w:rFonts w:ascii="Wingdings" w:hAnsi="Wingdings"/>
      </w:rPr>
    </w:lvl>
    <w:lvl w:ilvl="3" w:tplc="90546A9A">
      <w:start w:val="1"/>
      <w:numFmt w:val="bullet"/>
      <w:lvlText w:val=""/>
      <w:lvlJc w:val="left"/>
      <w:pPr>
        <w:tabs>
          <w:tab w:val="num" w:pos="2880"/>
        </w:tabs>
        <w:ind w:left="2880" w:hanging="360"/>
      </w:pPr>
      <w:rPr>
        <w:rFonts w:ascii="Symbol" w:hAnsi="Symbol"/>
      </w:rPr>
    </w:lvl>
    <w:lvl w:ilvl="4" w:tplc="22C074B4">
      <w:start w:val="1"/>
      <w:numFmt w:val="bullet"/>
      <w:lvlText w:val="o"/>
      <w:lvlJc w:val="left"/>
      <w:pPr>
        <w:tabs>
          <w:tab w:val="num" w:pos="3600"/>
        </w:tabs>
        <w:ind w:left="3600" w:hanging="360"/>
      </w:pPr>
      <w:rPr>
        <w:rFonts w:ascii="Courier New" w:hAnsi="Courier New"/>
      </w:rPr>
    </w:lvl>
    <w:lvl w:ilvl="5" w:tplc="7F6E2526">
      <w:start w:val="1"/>
      <w:numFmt w:val="bullet"/>
      <w:lvlText w:val=""/>
      <w:lvlJc w:val="left"/>
      <w:pPr>
        <w:tabs>
          <w:tab w:val="num" w:pos="4320"/>
        </w:tabs>
        <w:ind w:left="4320" w:hanging="360"/>
      </w:pPr>
      <w:rPr>
        <w:rFonts w:ascii="Wingdings" w:hAnsi="Wingdings"/>
      </w:rPr>
    </w:lvl>
    <w:lvl w:ilvl="6" w:tplc="70F6119E">
      <w:start w:val="1"/>
      <w:numFmt w:val="bullet"/>
      <w:lvlText w:val=""/>
      <w:lvlJc w:val="left"/>
      <w:pPr>
        <w:tabs>
          <w:tab w:val="num" w:pos="5040"/>
        </w:tabs>
        <w:ind w:left="5040" w:hanging="360"/>
      </w:pPr>
      <w:rPr>
        <w:rFonts w:ascii="Symbol" w:hAnsi="Symbol"/>
      </w:rPr>
    </w:lvl>
    <w:lvl w:ilvl="7" w:tplc="4B348F7A">
      <w:start w:val="1"/>
      <w:numFmt w:val="bullet"/>
      <w:lvlText w:val="o"/>
      <w:lvlJc w:val="left"/>
      <w:pPr>
        <w:tabs>
          <w:tab w:val="num" w:pos="5760"/>
        </w:tabs>
        <w:ind w:left="5760" w:hanging="360"/>
      </w:pPr>
      <w:rPr>
        <w:rFonts w:ascii="Courier New" w:hAnsi="Courier New"/>
      </w:rPr>
    </w:lvl>
    <w:lvl w:ilvl="8" w:tplc="A6D0E9FE">
      <w:start w:val="1"/>
      <w:numFmt w:val="bullet"/>
      <w:lvlText w:val=""/>
      <w:lvlJc w:val="left"/>
      <w:pPr>
        <w:tabs>
          <w:tab w:val="num" w:pos="6480"/>
        </w:tabs>
        <w:ind w:left="6480" w:hanging="360"/>
      </w:pPr>
      <w:rPr>
        <w:rFonts w:ascii="Wingdings" w:hAnsi="Wingdings"/>
      </w:rPr>
    </w:lvl>
  </w:abstractNum>
  <w:abstractNum w:abstractNumId="99" w15:restartNumberingAfterBreak="0">
    <w:nsid w:val="7DF62818"/>
    <w:multiLevelType w:val="hybridMultilevel"/>
    <w:tmpl w:val="7DF62818"/>
    <w:lvl w:ilvl="0" w:tplc="BF1C4ADC">
      <w:start w:val="1"/>
      <w:numFmt w:val="bullet"/>
      <w:lvlText w:val=""/>
      <w:lvlJc w:val="left"/>
      <w:pPr>
        <w:tabs>
          <w:tab w:val="num" w:pos="720"/>
        </w:tabs>
        <w:ind w:left="720" w:hanging="360"/>
      </w:pPr>
      <w:rPr>
        <w:rFonts w:ascii="Symbol" w:hAnsi="Symbol"/>
      </w:rPr>
    </w:lvl>
    <w:lvl w:ilvl="1" w:tplc="624EE2CE">
      <w:start w:val="1"/>
      <w:numFmt w:val="bullet"/>
      <w:lvlText w:val="o"/>
      <w:lvlJc w:val="left"/>
      <w:pPr>
        <w:tabs>
          <w:tab w:val="num" w:pos="1440"/>
        </w:tabs>
        <w:ind w:left="1440" w:hanging="360"/>
      </w:pPr>
      <w:rPr>
        <w:rFonts w:ascii="Courier New" w:hAnsi="Courier New"/>
      </w:rPr>
    </w:lvl>
    <w:lvl w:ilvl="2" w:tplc="A9164F46">
      <w:start w:val="1"/>
      <w:numFmt w:val="bullet"/>
      <w:lvlText w:val=""/>
      <w:lvlJc w:val="left"/>
      <w:pPr>
        <w:tabs>
          <w:tab w:val="num" w:pos="2160"/>
        </w:tabs>
        <w:ind w:left="2160" w:hanging="360"/>
      </w:pPr>
      <w:rPr>
        <w:rFonts w:ascii="Wingdings" w:hAnsi="Wingdings"/>
      </w:rPr>
    </w:lvl>
    <w:lvl w:ilvl="3" w:tplc="89ACF558">
      <w:start w:val="1"/>
      <w:numFmt w:val="bullet"/>
      <w:lvlText w:val=""/>
      <w:lvlJc w:val="left"/>
      <w:pPr>
        <w:tabs>
          <w:tab w:val="num" w:pos="2880"/>
        </w:tabs>
        <w:ind w:left="2880" w:hanging="360"/>
      </w:pPr>
      <w:rPr>
        <w:rFonts w:ascii="Symbol" w:hAnsi="Symbol"/>
      </w:rPr>
    </w:lvl>
    <w:lvl w:ilvl="4" w:tplc="DDB61004">
      <w:start w:val="1"/>
      <w:numFmt w:val="bullet"/>
      <w:lvlText w:val="o"/>
      <w:lvlJc w:val="left"/>
      <w:pPr>
        <w:tabs>
          <w:tab w:val="num" w:pos="3600"/>
        </w:tabs>
        <w:ind w:left="3600" w:hanging="360"/>
      </w:pPr>
      <w:rPr>
        <w:rFonts w:ascii="Courier New" w:hAnsi="Courier New"/>
      </w:rPr>
    </w:lvl>
    <w:lvl w:ilvl="5" w:tplc="B9AA25CE">
      <w:start w:val="1"/>
      <w:numFmt w:val="bullet"/>
      <w:lvlText w:val=""/>
      <w:lvlJc w:val="left"/>
      <w:pPr>
        <w:tabs>
          <w:tab w:val="num" w:pos="4320"/>
        </w:tabs>
        <w:ind w:left="4320" w:hanging="360"/>
      </w:pPr>
      <w:rPr>
        <w:rFonts w:ascii="Wingdings" w:hAnsi="Wingdings"/>
      </w:rPr>
    </w:lvl>
    <w:lvl w:ilvl="6" w:tplc="C918490A">
      <w:start w:val="1"/>
      <w:numFmt w:val="bullet"/>
      <w:lvlText w:val=""/>
      <w:lvlJc w:val="left"/>
      <w:pPr>
        <w:tabs>
          <w:tab w:val="num" w:pos="5040"/>
        </w:tabs>
        <w:ind w:left="5040" w:hanging="360"/>
      </w:pPr>
      <w:rPr>
        <w:rFonts w:ascii="Symbol" w:hAnsi="Symbol"/>
      </w:rPr>
    </w:lvl>
    <w:lvl w:ilvl="7" w:tplc="8CD43B68">
      <w:start w:val="1"/>
      <w:numFmt w:val="bullet"/>
      <w:lvlText w:val="o"/>
      <w:lvlJc w:val="left"/>
      <w:pPr>
        <w:tabs>
          <w:tab w:val="num" w:pos="5760"/>
        </w:tabs>
        <w:ind w:left="5760" w:hanging="360"/>
      </w:pPr>
      <w:rPr>
        <w:rFonts w:ascii="Courier New" w:hAnsi="Courier New"/>
      </w:rPr>
    </w:lvl>
    <w:lvl w:ilvl="8" w:tplc="8F1CBA7E">
      <w:start w:val="1"/>
      <w:numFmt w:val="bullet"/>
      <w:lvlText w:val=""/>
      <w:lvlJc w:val="left"/>
      <w:pPr>
        <w:tabs>
          <w:tab w:val="num" w:pos="6480"/>
        </w:tabs>
        <w:ind w:left="6480" w:hanging="360"/>
      </w:pPr>
      <w:rPr>
        <w:rFonts w:ascii="Wingdings" w:hAnsi="Wingdings"/>
      </w:rPr>
    </w:lvl>
  </w:abstractNum>
  <w:abstractNum w:abstractNumId="100" w15:restartNumberingAfterBreak="0">
    <w:nsid w:val="7DF62819"/>
    <w:multiLevelType w:val="multilevel"/>
    <w:tmpl w:val="7DF628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7DF6281A"/>
    <w:multiLevelType w:val="multilevel"/>
    <w:tmpl w:val="7DF628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7DF6281B"/>
    <w:multiLevelType w:val="hybridMultilevel"/>
    <w:tmpl w:val="7DF6281B"/>
    <w:lvl w:ilvl="0" w:tplc="E7C279B8">
      <w:start w:val="1"/>
      <w:numFmt w:val="bullet"/>
      <w:lvlText w:val=""/>
      <w:lvlJc w:val="left"/>
      <w:pPr>
        <w:tabs>
          <w:tab w:val="num" w:pos="720"/>
        </w:tabs>
        <w:ind w:left="720" w:hanging="360"/>
      </w:pPr>
      <w:rPr>
        <w:rFonts w:ascii="Symbol" w:hAnsi="Symbol"/>
      </w:rPr>
    </w:lvl>
    <w:lvl w:ilvl="1" w:tplc="05700136">
      <w:start w:val="1"/>
      <w:numFmt w:val="bullet"/>
      <w:lvlText w:val="o"/>
      <w:lvlJc w:val="left"/>
      <w:pPr>
        <w:tabs>
          <w:tab w:val="num" w:pos="1440"/>
        </w:tabs>
        <w:ind w:left="1440" w:hanging="360"/>
      </w:pPr>
      <w:rPr>
        <w:rFonts w:ascii="Courier New" w:hAnsi="Courier New"/>
      </w:rPr>
    </w:lvl>
    <w:lvl w:ilvl="2" w:tplc="CAC6AD28">
      <w:start w:val="1"/>
      <w:numFmt w:val="bullet"/>
      <w:lvlText w:val=""/>
      <w:lvlJc w:val="left"/>
      <w:pPr>
        <w:tabs>
          <w:tab w:val="num" w:pos="2160"/>
        </w:tabs>
        <w:ind w:left="2160" w:hanging="360"/>
      </w:pPr>
      <w:rPr>
        <w:rFonts w:ascii="Wingdings" w:hAnsi="Wingdings"/>
      </w:rPr>
    </w:lvl>
    <w:lvl w:ilvl="3" w:tplc="4D3C508A">
      <w:start w:val="1"/>
      <w:numFmt w:val="bullet"/>
      <w:lvlText w:val=""/>
      <w:lvlJc w:val="left"/>
      <w:pPr>
        <w:tabs>
          <w:tab w:val="num" w:pos="2880"/>
        </w:tabs>
        <w:ind w:left="2880" w:hanging="360"/>
      </w:pPr>
      <w:rPr>
        <w:rFonts w:ascii="Symbol" w:hAnsi="Symbol"/>
      </w:rPr>
    </w:lvl>
    <w:lvl w:ilvl="4" w:tplc="194E1B24">
      <w:start w:val="1"/>
      <w:numFmt w:val="bullet"/>
      <w:lvlText w:val="o"/>
      <w:lvlJc w:val="left"/>
      <w:pPr>
        <w:tabs>
          <w:tab w:val="num" w:pos="3600"/>
        </w:tabs>
        <w:ind w:left="3600" w:hanging="360"/>
      </w:pPr>
      <w:rPr>
        <w:rFonts w:ascii="Courier New" w:hAnsi="Courier New"/>
      </w:rPr>
    </w:lvl>
    <w:lvl w:ilvl="5" w:tplc="A7B0B546">
      <w:start w:val="1"/>
      <w:numFmt w:val="bullet"/>
      <w:lvlText w:val=""/>
      <w:lvlJc w:val="left"/>
      <w:pPr>
        <w:tabs>
          <w:tab w:val="num" w:pos="4320"/>
        </w:tabs>
        <w:ind w:left="4320" w:hanging="360"/>
      </w:pPr>
      <w:rPr>
        <w:rFonts w:ascii="Wingdings" w:hAnsi="Wingdings"/>
      </w:rPr>
    </w:lvl>
    <w:lvl w:ilvl="6" w:tplc="AD10C9E4">
      <w:start w:val="1"/>
      <w:numFmt w:val="bullet"/>
      <w:lvlText w:val=""/>
      <w:lvlJc w:val="left"/>
      <w:pPr>
        <w:tabs>
          <w:tab w:val="num" w:pos="5040"/>
        </w:tabs>
        <w:ind w:left="5040" w:hanging="360"/>
      </w:pPr>
      <w:rPr>
        <w:rFonts w:ascii="Symbol" w:hAnsi="Symbol"/>
      </w:rPr>
    </w:lvl>
    <w:lvl w:ilvl="7" w:tplc="E4701ECE">
      <w:start w:val="1"/>
      <w:numFmt w:val="bullet"/>
      <w:lvlText w:val="o"/>
      <w:lvlJc w:val="left"/>
      <w:pPr>
        <w:tabs>
          <w:tab w:val="num" w:pos="5760"/>
        </w:tabs>
        <w:ind w:left="5760" w:hanging="360"/>
      </w:pPr>
      <w:rPr>
        <w:rFonts w:ascii="Courier New" w:hAnsi="Courier New"/>
      </w:rPr>
    </w:lvl>
    <w:lvl w:ilvl="8" w:tplc="3CF61E48">
      <w:start w:val="1"/>
      <w:numFmt w:val="bullet"/>
      <w:lvlText w:val=""/>
      <w:lvlJc w:val="left"/>
      <w:pPr>
        <w:tabs>
          <w:tab w:val="num" w:pos="6480"/>
        </w:tabs>
        <w:ind w:left="6480" w:hanging="360"/>
      </w:pPr>
      <w:rPr>
        <w:rFonts w:ascii="Wingdings" w:hAnsi="Wingdings"/>
      </w:rPr>
    </w:lvl>
  </w:abstractNum>
  <w:abstractNum w:abstractNumId="103" w15:restartNumberingAfterBreak="0">
    <w:nsid w:val="7DF6281C"/>
    <w:multiLevelType w:val="hybridMultilevel"/>
    <w:tmpl w:val="7DF6281C"/>
    <w:lvl w:ilvl="0" w:tplc="B49A0EBC">
      <w:start w:val="1"/>
      <w:numFmt w:val="bullet"/>
      <w:lvlText w:val=""/>
      <w:lvlJc w:val="left"/>
      <w:pPr>
        <w:tabs>
          <w:tab w:val="num" w:pos="720"/>
        </w:tabs>
        <w:ind w:left="720" w:hanging="360"/>
      </w:pPr>
      <w:rPr>
        <w:rFonts w:ascii="Symbol" w:hAnsi="Symbol"/>
      </w:rPr>
    </w:lvl>
    <w:lvl w:ilvl="1" w:tplc="8C54EB76">
      <w:start w:val="1"/>
      <w:numFmt w:val="bullet"/>
      <w:lvlText w:val="o"/>
      <w:lvlJc w:val="left"/>
      <w:pPr>
        <w:tabs>
          <w:tab w:val="num" w:pos="1440"/>
        </w:tabs>
        <w:ind w:left="1440" w:hanging="360"/>
      </w:pPr>
      <w:rPr>
        <w:rFonts w:ascii="Courier New" w:hAnsi="Courier New"/>
      </w:rPr>
    </w:lvl>
    <w:lvl w:ilvl="2" w:tplc="D182F974">
      <w:start w:val="1"/>
      <w:numFmt w:val="bullet"/>
      <w:lvlText w:val=""/>
      <w:lvlJc w:val="left"/>
      <w:pPr>
        <w:tabs>
          <w:tab w:val="num" w:pos="2160"/>
        </w:tabs>
        <w:ind w:left="2160" w:hanging="360"/>
      </w:pPr>
      <w:rPr>
        <w:rFonts w:ascii="Wingdings" w:hAnsi="Wingdings"/>
      </w:rPr>
    </w:lvl>
    <w:lvl w:ilvl="3" w:tplc="69C4E25A">
      <w:start w:val="1"/>
      <w:numFmt w:val="bullet"/>
      <w:lvlText w:val=""/>
      <w:lvlJc w:val="left"/>
      <w:pPr>
        <w:tabs>
          <w:tab w:val="num" w:pos="2880"/>
        </w:tabs>
        <w:ind w:left="2880" w:hanging="360"/>
      </w:pPr>
      <w:rPr>
        <w:rFonts w:ascii="Symbol" w:hAnsi="Symbol"/>
      </w:rPr>
    </w:lvl>
    <w:lvl w:ilvl="4" w:tplc="3648B458">
      <w:start w:val="1"/>
      <w:numFmt w:val="bullet"/>
      <w:lvlText w:val="o"/>
      <w:lvlJc w:val="left"/>
      <w:pPr>
        <w:tabs>
          <w:tab w:val="num" w:pos="3600"/>
        </w:tabs>
        <w:ind w:left="3600" w:hanging="360"/>
      </w:pPr>
      <w:rPr>
        <w:rFonts w:ascii="Courier New" w:hAnsi="Courier New"/>
      </w:rPr>
    </w:lvl>
    <w:lvl w:ilvl="5" w:tplc="0B7E5098">
      <w:start w:val="1"/>
      <w:numFmt w:val="bullet"/>
      <w:lvlText w:val=""/>
      <w:lvlJc w:val="left"/>
      <w:pPr>
        <w:tabs>
          <w:tab w:val="num" w:pos="4320"/>
        </w:tabs>
        <w:ind w:left="4320" w:hanging="360"/>
      </w:pPr>
      <w:rPr>
        <w:rFonts w:ascii="Wingdings" w:hAnsi="Wingdings"/>
      </w:rPr>
    </w:lvl>
    <w:lvl w:ilvl="6" w:tplc="30326B38">
      <w:start w:val="1"/>
      <w:numFmt w:val="bullet"/>
      <w:lvlText w:val=""/>
      <w:lvlJc w:val="left"/>
      <w:pPr>
        <w:tabs>
          <w:tab w:val="num" w:pos="5040"/>
        </w:tabs>
        <w:ind w:left="5040" w:hanging="360"/>
      </w:pPr>
      <w:rPr>
        <w:rFonts w:ascii="Symbol" w:hAnsi="Symbol"/>
      </w:rPr>
    </w:lvl>
    <w:lvl w:ilvl="7" w:tplc="A388026A">
      <w:start w:val="1"/>
      <w:numFmt w:val="bullet"/>
      <w:lvlText w:val="o"/>
      <w:lvlJc w:val="left"/>
      <w:pPr>
        <w:tabs>
          <w:tab w:val="num" w:pos="5760"/>
        </w:tabs>
        <w:ind w:left="5760" w:hanging="360"/>
      </w:pPr>
      <w:rPr>
        <w:rFonts w:ascii="Courier New" w:hAnsi="Courier New"/>
      </w:rPr>
    </w:lvl>
    <w:lvl w:ilvl="8" w:tplc="03342BB2">
      <w:start w:val="1"/>
      <w:numFmt w:val="bullet"/>
      <w:lvlText w:val=""/>
      <w:lvlJc w:val="left"/>
      <w:pPr>
        <w:tabs>
          <w:tab w:val="num" w:pos="6480"/>
        </w:tabs>
        <w:ind w:left="6480" w:hanging="360"/>
      </w:pPr>
      <w:rPr>
        <w:rFonts w:ascii="Wingdings" w:hAnsi="Wingdings"/>
      </w:rPr>
    </w:lvl>
  </w:abstractNum>
  <w:abstractNum w:abstractNumId="104" w15:restartNumberingAfterBreak="0">
    <w:nsid w:val="7DF6281D"/>
    <w:multiLevelType w:val="hybridMultilevel"/>
    <w:tmpl w:val="7DF6281D"/>
    <w:lvl w:ilvl="0" w:tplc="8472771E">
      <w:start w:val="1"/>
      <w:numFmt w:val="bullet"/>
      <w:lvlText w:val=""/>
      <w:lvlJc w:val="left"/>
      <w:pPr>
        <w:tabs>
          <w:tab w:val="num" w:pos="720"/>
        </w:tabs>
        <w:ind w:left="720" w:hanging="360"/>
      </w:pPr>
      <w:rPr>
        <w:rFonts w:ascii="Symbol" w:hAnsi="Symbol"/>
      </w:rPr>
    </w:lvl>
    <w:lvl w:ilvl="1" w:tplc="265845D8">
      <w:start w:val="1"/>
      <w:numFmt w:val="bullet"/>
      <w:lvlText w:val="o"/>
      <w:lvlJc w:val="left"/>
      <w:pPr>
        <w:tabs>
          <w:tab w:val="num" w:pos="1440"/>
        </w:tabs>
        <w:ind w:left="1440" w:hanging="360"/>
      </w:pPr>
      <w:rPr>
        <w:rFonts w:ascii="Courier New" w:hAnsi="Courier New"/>
      </w:rPr>
    </w:lvl>
    <w:lvl w:ilvl="2" w:tplc="D0E0CA7E">
      <w:start w:val="1"/>
      <w:numFmt w:val="bullet"/>
      <w:lvlText w:val=""/>
      <w:lvlJc w:val="left"/>
      <w:pPr>
        <w:tabs>
          <w:tab w:val="num" w:pos="2160"/>
        </w:tabs>
        <w:ind w:left="2160" w:hanging="360"/>
      </w:pPr>
      <w:rPr>
        <w:rFonts w:ascii="Wingdings" w:hAnsi="Wingdings"/>
      </w:rPr>
    </w:lvl>
    <w:lvl w:ilvl="3" w:tplc="C366AAFC">
      <w:start w:val="1"/>
      <w:numFmt w:val="bullet"/>
      <w:lvlText w:val=""/>
      <w:lvlJc w:val="left"/>
      <w:pPr>
        <w:tabs>
          <w:tab w:val="num" w:pos="2880"/>
        </w:tabs>
        <w:ind w:left="2880" w:hanging="360"/>
      </w:pPr>
      <w:rPr>
        <w:rFonts w:ascii="Symbol" w:hAnsi="Symbol"/>
      </w:rPr>
    </w:lvl>
    <w:lvl w:ilvl="4" w:tplc="1A989EDE">
      <w:start w:val="1"/>
      <w:numFmt w:val="bullet"/>
      <w:lvlText w:val="o"/>
      <w:lvlJc w:val="left"/>
      <w:pPr>
        <w:tabs>
          <w:tab w:val="num" w:pos="3600"/>
        </w:tabs>
        <w:ind w:left="3600" w:hanging="360"/>
      </w:pPr>
      <w:rPr>
        <w:rFonts w:ascii="Courier New" w:hAnsi="Courier New"/>
      </w:rPr>
    </w:lvl>
    <w:lvl w:ilvl="5" w:tplc="38C09EB4">
      <w:start w:val="1"/>
      <w:numFmt w:val="bullet"/>
      <w:lvlText w:val=""/>
      <w:lvlJc w:val="left"/>
      <w:pPr>
        <w:tabs>
          <w:tab w:val="num" w:pos="4320"/>
        </w:tabs>
        <w:ind w:left="4320" w:hanging="360"/>
      </w:pPr>
      <w:rPr>
        <w:rFonts w:ascii="Wingdings" w:hAnsi="Wingdings"/>
      </w:rPr>
    </w:lvl>
    <w:lvl w:ilvl="6" w:tplc="CAA237A8">
      <w:start w:val="1"/>
      <w:numFmt w:val="bullet"/>
      <w:lvlText w:val=""/>
      <w:lvlJc w:val="left"/>
      <w:pPr>
        <w:tabs>
          <w:tab w:val="num" w:pos="5040"/>
        </w:tabs>
        <w:ind w:left="5040" w:hanging="360"/>
      </w:pPr>
      <w:rPr>
        <w:rFonts w:ascii="Symbol" w:hAnsi="Symbol"/>
      </w:rPr>
    </w:lvl>
    <w:lvl w:ilvl="7" w:tplc="8632AFCE">
      <w:start w:val="1"/>
      <w:numFmt w:val="bullet"/>
      <w:lvlText w:val="o"/>
      <w:lvlJc w:val="left"/>
      <w:pPr>
        <w:tabs>
          <w:tab w:val="num" w:pos="5760"/>
        </w:tabs>
        <w:ind w:left="5760" w:hanging="360"/>
      </w:pPr>
      <w:rPr>
        <w:rFonts w:ascii="Courier New" w:hAnsi="Courier New"/>
      </w:rPr>
    </w:lvl>
    <w:lvl w:ilvl="8" w:tplc="E856E0BC">
      <w:start w:val="1"/>
      <w:numFmt w:val="bullet"/>
      <w:lvlText w:val=""/>
      <w:lvlJc w:val="left"/>
      <w:pPr>
        <w:tabs>
          <w:tab w:val="num" w:pos="6480"/>
        </w:tabs>
        <w:ind w:left="6480" w:hanging="360"/>
      </w:pPr>
      <w:rPr>
        <w:rFonts w:ascii="Wingdings" w:hAnsi="Wingdings"/>
      </w:rPr>
    </w:lvl>
  </w:abstractNum>
  <w:abstractNum w:abstractNumId="105" w15:restartNumberingAfterBreak="0">
    <w:nsid w:val="7DF6281E"/>
    <w:multiLevelType w:val="hybridMultilevel"/>
    <w:tmpl w:val="7DF6281E"/>
    <w:lvl w:ilvl="0" w:tplc="A508BBEC">
      <w:start w:val="1"/>
      <w:numFmt w:val="bullet"/>
      <w:lvlText w:val=""/>
      <w:lvlJc w:val="left"/>
      <w:pPr>
        <w:tabs>
          <w:tab w:val="num" w:pos="720"/>
        </w:tabs>
        <w:ind w:left="720" w:hanging="360"/>
      </w:pPr>
      <w:rPr>
        <w:rFonts w:ascii="Symbol" w:hAnsi="Symbol"/>
      </w:rPr>
    </w:lvl>
    <w:lvl w:ilvl="1" w:tplc="DA8E0ED6">
      <w:start w:val="1"/>
      <w:numFmt w:val="bullet"/>
      <w:lvlText w:val="o"/>
      <w:lvlJc w:val="left"/>
      <w:pPr>
        <w:tabs>
          <w:tab w:val="num" w:pos="1440"/>
        </w:tabs>
        <w:ind w:left="1440" w:hanging="360"/>
      </w:pPr>
      <w:rPr>
        <w:rFonts w:ascii="Courier New" w:hAnsi="Courier New"/>
      </w:rPr>
    </w:lvl>
    <w:lvl w:ilvl="2" w:tplc="6734A5F4">
      <w:start w:val="1"/>
      <w:numFmt w:val="bullet"/>
      <w:lvlText w:val=""/>
      <w:lvlJc w:val="left"/>
      <w:pPr>
        <w:tabs>
          <w:tab w:val="num" w:pos="2160"/>
        </w:tabs>
        <w:ind w:left="2160" w:hanging="360"/>
      </w:pPr>
      <w:rPr>
        <w:rFonts w:ascii="Wingdings" w:hAnsi="Wingdings"/>
      </w:rPr>
    </w:lvl>
    <w:lvl w:ilvl="3" w:tplc="1CBE05D2">
      <w:start w:val="1"/>
      <w:numFmt w:val="bullet"/>
      <w:lvlText w:val=""/>
      <w:lvlJc w:val="left"/>
      <w:pPr>
        <w:tabs>
          <w:tab w:val="num" w:pos="2880"/>
        </w:tabs>
        <w:ind w:left="2880" w:hanging="360"/>
      </w:pPr>
      <w:rPr>
        <w:rFonts w:ascii="Symbol" w:hAnsi="Symbol"/>
      </w:rPr>
    </w:lvl>
    <w:lvl w:ilvl="4" w:tplc="A496AB22">
      <w:start w:val="1"/>
      <w:numFmt w:val="bullet"/>
      <w:lvlText w:val="o"/>
      <w:lvlJc w:val="left"/>
      <w:pPr>
        <w:tabs>
          <w:tab w:val="num" w:pos="3600"/>
        </w:tabs>
        <w:ind w:left="3600" w:hanging="360"/>
      </w:pPr>
      <w:rPr>
        <w:rFonts w:ascii="Courier New" w:hAnsi="Courier New"/>
      </w:rPr>
    </w:lvl>
    <w:lvl w:ilvl="5" w:tplc="C1428418">
      <w:start w:val="1"/>
      <w:numFmt w:val="bullet"/>
      <w:lvlText w:val=""/>
      <w:lvlJc w:val="left"/>
      <w:pPr>
        <w:tabs>
          <w:tab w:val="num" w:pos="4320"/>
        </w:tabs>
        <w:ind w:left="4320" w:hanging="360"/>
      </w:pPr>
      <w:rPr>
        <w:rFonts w:ascii="Wingdings" w:hAnsi="Wingdings"/>
      </w:rPr>
    </w:lvl>
    <w:lvl w:ilvl="6" w:tplc="FCA01856">
      <w:start w:val="1"/>
      <w:numFmt w:val="bullet"/>
      <w:lvlText w:val=""/>
      <w:lvlJc w:val="left"/>
      <w:pPr>
        <w:tabs>
          <w:tab w:val="num" w:pos="5040"/>
        </w:tabs>
        <w:ind w:left="5040" w:hanging="360"/>
      </w:pPr>
      <w:rPr>
        <w:rFonts w:ascii="Symbol" w:hAnsi="Symbol"/>
      </w:rPr>
    </w:lvl>
    <w:lvl w:ilvl="7" w:tplc="E68C174A">
      <w:start w:val="1"/>
      <w:numFmt w:val="bullet"/>
      <w:lvlText w:val="o"/>
      <w:lvlJc w:val="left"/>
      <w:pPr>
        <w:tabs>
          <w:tab w:val="num" w:pos="5760"/>
        </w:tabs>
        <w:ind w:left="5760" w:hanging="360"/>
      </w:pPr>
      <w:rPr>
        <w:rFonts w:ascii="Courier New" w:hAnsi="Courier New"/>
      </w:rPr>
    </w:lvl>
    <w:lvl w:ilvl="8" w:tplc="BD0ADE34">
      <w:start w:val="1"/>
      <w:numFmt w:val="bullet"/>
      <w:lvlText w:val=""/>
      <w:lvlJc w:val="left"/>
      <w:pPr>
        <w:tabs>
          <w:tab w:val="num" w:pos="6480"/>
        </w:tabs>
        <w:ind w:left="6480" w:hanging="360"/>
      </w:pPr>
      <w:rPr>
        <w:rFonts w:ascii="Wingdings" w:hAnsi="Wingdings"/>
      </w:rPr>
    </w:lvl>
  </w:abstractNum>
  <w:abstractNum w:abstractNumId="106" w15:restartNumberingAfterBreak="0">
    <w:nsid w:val="7DF6281F"/>
    <w:multiLevelType w:val="multilevel"/>
    <w:tmpl w:val="7DF6281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DF62820"/>
    <w:multiLevelType w:val="hybridMultilevel"/>
    <w:tmpl w:val="7DF62820"/>
    <w:lvl w:ilvl="0" w:tplc="2C1A3E9C">
      <w:start w:val="1"/>
      <w:numFmt w:val="bullet"/>
      <w:lvlText w:val=""/>
      <w:lvlJc w:val="left"/>
      <w:pPr>
        <w:tabs>
          <w:tab w:val="num" w:pos="720"/>
        </w:tabs>
        <w:ind w:left="720" w:hanging="360"/>
      </w:pPr>
      <w:rPr>
        <w:rFonts w:ascii="Symbol" w:hAnsi="Symbol"/>
      </w:rPr>
    </w:lvl>
    <w:lvl w:ilvl="1" w:tplc="4F3AD3CC">
      <w:start w:val="1"/>
      <w:numFmt w:val="bullet"/>
      <w:lvlText w:val="o"/>
      <w:lvlJc w:val="left"/>
      <w:pPr>
        <w:tabs>
          <w:tab w:val="num" w:pos="1440"/>
        </w:tabs>
        <w:ind w:left="1440" w:hanging="360"/>
      </w:pPr>
      <w:rPr>
        <w:rFonts w:ascii="Courier New" w:hAnsi="Courier New"/>
      </w:rPr>
    </w:lvl>
    <w:lvl w:ilvl="2" w:tplc="F2AC6A14">
      <w:start w:val="1"/>
      <w:numFmt w:val="bullet"/>
      <w:lvlText w:val=""/>
      <w:lvlJc w:val="left"/>
      <w:pPr>
        <w:tabs>
          <w:tab w:val="num" w:pos="2160"/>
        </w:tabs>
        <w:ind w:left="2160" w:hanging="360"/>
      </w:pPr>
      <w:rPr>
        <w:rFonts w:ascii="Wingdings" w:hAnsi="Wingdings"/>
      </w:rPr>
    </w:lvl>
    <w:lvl w:ilvl="3" w:tplc="00C26DC8">
      <w:start w:val="1"/>
      <w:numFmt w:val="bullet"/>
      <w:lvlText w:val=""/>
      <w:lvlJc w:val="left"/>
      <w:pPr>
        <w:tabs>
          <w:tab w:val="num" w:pos="2880"/>
        </w:tabs>
        <w:ind w:left="2880" w:hanging="360"/>
      </w:pPr>
      <w:rPr>
        <w:rFonts w:ascii="Symbol" w:hAnsi="Symbol"/>
      </w:rPr>
    </w:lvl>
    <w:lvl w:ilvl="4" w:tplc="16760B74">
      <w:start w:val="1"/>
      <w:numFmt w:val="bullet"/>
      <w:lvlText w:val="o"/>
      <w:lvlJc w:val="left"/>
      <w:pPr>
        <w:tabs>
          <w:tab w:val="num" w:pos="3600"/>
        </w:tabs>
        <w:ind w:left="3600" w:hanging="360"/>
      </w:pPr>
      <w:rPr>
        <w:rFonts w:ascii="Courier New" w:hAnsi="Courier New"/>
      </w:rPr>
    </w:lvl>
    <w:lvl w:ilvl="5" w:tplc="9D7E6CC8">
      <w:start w:val="1"/>
      <w:numFmt w:val="bullet"/>
      <w:lvlText w:val=""/>
      <w:lvlJc w:val="left"/>
      <w:pPr>
        <w:tabs>
          <w:tab w:val="num" w:pos="4320"/>
        </w:tabs>
        <w:ind w:left="4320" w:hanging="360"/>
      </w:pPr>
      <w:rPr>
        <w:rFonts w:ascii="Wingdings" w:hAnsi="Wingdings"/>
      </w:rPr>
    </w:lvl>
    <w:lvl w:ilvl="6" w:tplc="ACA81782">
      <w:start w:val="1"/>
      <w:numFmt w:val="bullet"/>
      <w:lvlText w:val=""/>
      <w:lvlJc w:val="left"/>
      <w:pPr>
        <w:tabs>
          <w:tab w:val="num" w:pos="5040"/>
        </w:tabs>
        <w:ind w:left="5040" w:hanging="360"/>
      </w:pPr>
      <w:rPr>
        <w:rFonts w:ascii="Symbol" w:hAnsi="Symbol"/>
      </w:rPr>
    </w:lvl>
    <w:lvl w:ilvl="7" w:tplc="5EBA9036">
      <w:start w:val="1"/>
      <w:numFmt w:val="bullet"/>
      <w:lvlText w:val="o"/>
      <w:lvlJc w:val="left"/>
      <w:pPr>
        <w:tabs>
          <w:tab w:val="num" w:pos="5760"/>
        </w:tabs>
        <w:ind w:left="5760" w:hanging="360"/>
      </w:pPr>
      <w:rPr>
        <w:rFonts w:ascii="Courier New" w:hAnsi="Courier New"/>
      </w:rPr>
    </w:lvl>
    <w:lvl w:ilvl="8" w:tplc="E1E0CE10">
      <w:start w:val="1"/>
      <w:numFmt w:val="bullet"/>
      <w:lvlText w:val=""/>
      <w:lvlJc w:val="left"/>
      <w:pPr>
        <w:tabs>
          <w:tab w:val="num" w:pos="6480"/>
        </w:tabs>
        <w:ind w:left="6480" w:hanging="360"/>
      </w:pPr>
      <w:rPr>
        <w:rFonts w:ascii="Wingdings" w:hAnsi="Wingdings"/>
      </w:rPr>
    </w:lvl>
  </w:abstractNum>
  <w:abstractNum w:abstractNumId="108" w15:restartNumberingAfterBreak="0">
    <w:nsid w:val="7DF62821"/>
    <w:multiLevelType w:val="hybridMultilevel"/>
    <w:tmpl w:val="7DF62821"/>
    <w:lvl w:ilvl="0" w:tplc="C38EC5E2">
      <w:start w:val="1"/>
      <w:numFmt w:val="bullet"/>
      <w:lvlText w:val=""/>
      <w:lvlJc w:val="left"/>
      <w:pPr>
        <w:tabs>
          <w:tab w:val="num" w:pos="720"/>
        </w:tabs>
        <w:ind w:left="720" w:hanging="360"/>
      </w:pPr>
      <w:rPr>
        <w:rFonts w:ascii="Symbol" w:hAnsi="Symbol"/>
      </w:rPr>
    </w:lvl>
    <w:lvl w:ilvl="1" w:tplc="244A8230">
      <w:start w:val="1"/>
      <w:numFmt w:val="bullet"/>
      <w:lvlText w:val="o"/>
      <w:lvlJc w:val="left"/>
      <w:pPr>
        <w:tabs>
          <w:tab w:val="num" w:pos="1440"/>
        </w:tabs>
        <w:ind w:left="1440" w:hanging="360"/>
      </w:pPr>
      <w:rPr>
        <w:rFonts w:ascii="Courier New" w:hAnsi="Courier New"/>
      </w:rPr>
    </w:lvl>
    <w:lvl w:ilvl="2" w:tplc="E2C065B2">
      <w:start w:val="1"/>
      <w:numFmt w:val="bullet"/>
      <w:lvlText w:val=""/>
      <w:lvlJc w:val="left"/>
      <w:pPr>
        <w:tabs>
          <w:tab w:val="num" w:pos="2160"/>
        </w:tabs>
        <w:ind w:left="2160" w:hanging="360"/>
      </w:pPr>
      <w:rPr>
        <w:rFonts w:ascii="Wingdings" w:hAnsi="Wingdings"/>
      </w:rPr>
    </w:lvl>
    <w:lvl w:ilvl="3" w:tplc="B50ADBD2">
      <w:start w:val="1"/>
      <w:numFmt w:val="bullet"/>
      <w:lvlText w:val=""/>
      <w:lvlJc w:val="left"/>
      <w:pPr>
        <w:tabs>
          <w:tab w:val="num" w:pos="2880"/>
        </w:tabs>
        <w:ind w:left="2880" w:hanging="360"/>
      </w:pPr>
      <w:rPr>
        <w:rFonts w:ascii="Symbol" w:hAnsi="Symbol"/>
      </w:rPr>
    </w:lvl>
    <w:lvl w:ilvl="4" w:tplc="A3046A26">
      <w:start w:val="1"/>
      <w:numFmt w:val="bullet"/>
      <w:lvlText w:val="o"/>
      <w:lvlJc w:val="left"/>
      <w:pPr>
        <w:tabs>
          <w:tab w:val="num" w:pos="3600"/>
        </w:tabs>
        <w:ind w:left="3600" w:hanging="360"/>
      </w:pPr>
      <w:rPr>
        <w:rFonts w:ascii="Courier New" w:hAnsi="Courier New"/>
      </w:rPr>
    </w:lvl>
    <w:lvl w:ilvl="5" w:tplc="D36ECC30">
      <w:start w:val="1"/>
      <w:numFmt w:val="bullet"/>
      <w:lvlText w:val=""/>
      <w:lvlJc w:val="left"/>
      <w:pPr>
        <w:tabs>
          <w:tab w:val="num" w:pos="4320"/>
        </w:tabs>
        <w:ind w:left="4320" w:hanging="360"/>
      </w:pPr>
      <w:rPr>
        <w:rFonts w:ascii="Wingdings" w:hAnsi="Wingdings"/>
      </w:rPr>
    </w:lvl>
    <w:lvl w:ilvl="6" w:tplc="C6FE73EE">
      <w:start w:val="1"/>
      <w:numFmt w:val="bullet"/>
      <w:lvlText w:val=""/>
      <w:lvlJc w:val="left"/>
      <w:pPr>
        <w:tabs>
          <w:tab w:val="num" w:pos="5040"/>
        </w:tabs>
        <w:ind w:left="5040" w:hanging="360"/>
      </w:pPr>
      <w:rPr>
        <w:rFonts w:ascii="Symbol" w:hAnsi="Symbol"/>
      </w:rPr>
    </w:lvl>
    <w:lvl w:ilvl="7" w:tplc="D2DE3170">
      <w:start w:val="1"/>
      <w:numFmt w:val="bullet"/>
      <w:lvlText w:val="o"/>
      <w:lvlJc w:val="left"/>
      <w:pPr>
        <w:tabs>
          <w:tab w:val="num" w:pos="5760"/>
        </w:tabs>
        <w:ind w:left="5760" w:hanging="360"/>
      </w:pPr>
      <w:rPr>
        <w:rFonts w:ascii="Courier New" w:hAnsi="Courier New"/>
      </w:rPr>
    </w:lvl>
    <w:lvl w:ilvl="8" w:tplc="E6B2E0D2">
      <w:start w:val="1"/>
      <w:numFmt w:val="bullet"/>
      <w:lvlText w:val=""/>
      <w:lvlJc w:val="left"/>
      <w:pPr>
        <w:tabs>
          <w:tab w:val="num" w:pos="6480"/>
        </w:tabs>
        <w:ind w:left="6480" w:hanging="360"/>
      </w:pPr>
      <w:rPr>
        <w:rFonts w:ascii="Wingdings" w:hAnsi="Wingdings"/>
      </w:rPr>
    </w:lvl>
  </w:abstractNum>
  <w:abstractNum w:abstractNumId="109" w15:restartNumberingAfterBreak="0">
    <w:nsid w:val="7DF62822"/>
    <w:multiLevelType w:val="hybridMultilevel"/>
    <w:tmpl w:val="7DF62822"/>
    <w:lvl w:ilvl="0" w:tplc="7D6AAF26">
      <w:start w:val="1"/>
      <w:numFmt w:val="bullet"/>
      <w:lvlText w:val=""/>
      <w:lvlJc w:val="left"/>
      <w:pPr>
        <w:tabs>
          <w:tab w:val="num" w:pos="720"/>
        </w:tabs>
        <w:ind w:left="720" w:hanging="360"/>
      </w:pPr>
      <w:rPr>
        <w:rFonts w:ascii="Symbol" w:hAnsi="Symbol"/>
      </w:rPr>
    </w:lvl>
    <w:lvl w:ilvl="1" w:tplc="C2909E7C">
      <w:start w:val="1"/>
      <w:numFmt w:val="bullet"/>
      <w:lvlText w:val="o"/>
      <w:lvlJc w:val="left"/>
      <w:pPr>
        <w:tabs>
          <w:tab w:val="num" w:pos="1440"/>
        </w:tabs>
        <w:ind w:left="1440" w:hanging="360"/>
      </w:pPr>
      <w:rPr>
        <w:rFonts w:ascii="Courier New" w:hAnsi="Courier New"/>
      </w:rPr>
    </w:lvl>
    <w:lvl w:ilvl="2" w:tplc="9B36E7A8">
      <w:start w:val="1"/>
      <w:numFmt w:val="bullet"/>
      <w:lvlText w:val=""/>
      <w:lvlJc w:val="left"/>
      <w:pPr>
        <w:tabs>
          <w:tab w:val="num" w:pos="2160"/>
        </w:tabs>
        <w:ind w:left="2160" w:hanging="360"/>
      </w:pPr>
      <w:rPr>
        <w:rFonts w:ascii="Wingdings" w:hAnsi="Wingdings"/>
      </w:rPr>
    </w:lvl>
    <w:lvl w:ilvl="3" w:tplc="A964FC24">
      <w:start w:val="1"/>
      <w:numFmt w:val="bullet"/>
      <w:lvlText w:val=""/>
      <w:lvlJc w:val="left"/>
      <w:pPr>
        <w:tabs>
          <w:tab w:val="num" w:pos="2880"/>
        </w:tabs>
        <w:ind w:left="2880" w:hanging="360"/>
      </w:pPr>
      <w:rPr>
        <w:rFonts w:ascii="Symbol" w:hAnsi="Symbol"/>
      </w:rPr>
    </w:lvl>
    <w:lvl w:ilvl="4" w:tplc="7D384652">
      <w:start w:val="1"/>
      <w:numFmt w:val="bullet"/>
      <w:lvlText w:val="o"/>
      <w:lvlJc w:val="left"/>
      <w:pPr>
        <w:tabs>
          <w:tab w:val="num" w:pos="3600"/>
        </w:tabs>
        <w:ind w:left="3600" w:hanging="360"/>
      </w:pPr>
      <w:rPr>
        <w:rFonts w:ascii="Courier New" w:hAnsi="Courier New"/>
      </w:rPr>
    </w:lvl>
    <w:lvl w:ilvl="5" w:tplc="088EB1DE">
      <w:start w:val="1"/>
      <w:numFmt w:val="bullet"/>
      <w:lvlText w:val=""/>
      <w:lvlJc w:val="left"/>
      <w:pPr>
        <w:tabs>
          <w:tab w:val="num" w:pos="4320"/>
        </w:tabs>
        <w:ind w:left="4320" w:hanging="360"/>
      </w:pPr>
      <w:rPr>
        <w:rFonts w:ascii="Wingdings" w:hAnsi="Wingdings"/>
      </w:rPr>
    </w:lvl>
    <w:lvl w:ilvl="6" w:tplc="23F845D6">
      <w:start w:val="1"/>
      <w:numFmt w:val="bullet"/>
      <w:lvlText w:val=""/>
      <w:lvlJc w:val="left"/>
      <w:pPr>
        <w:tabs>
          <w:tab w:val="num" w:pos="5040"/>
        </w:tabs>
        <w:ind w:left="5040" w:hanging="360"/>
      </w:pPr>
      <w:rPr>
        <w:rFonts w:ascii="Symbol" w:hAnsi="Symbol"/>
      </w:rPr>
    </w:lvl>
    <w:lvl w:ilvl="7" w:tplc="957070EE">
      <w:start w:val="1"/>
      <w:numFmt w:val="bullet"/>
      <w:lvlText w:val="o"/>
      <w:lvlJc w:val="left"/>
      <w:pPr>
        <w:tabs>
          <w:tab w:val="num" w:pos="5760"/>
        </w:tabs>
        <w:ind w:left="5760" w:hanging="360"/>
      </w:pPr>
      <w:rPr>
        <w:rFonts w:ascii="Courier New" w:hAnsi="Courier New"/>
      </w:rPr>
    </w:lvl>
    <w:lvl w:ilvl="8" w:tplc="BE0A1424">
      <w:start w:val="1"/>
      <w:numFmt w:val="bullet"/>
      <w:lvlText w:val=""/>
      <w:lvlJc w:val="left"/>
      <w:pPr>
        <w:tabs>
          <w:tab w:val="num" w:pos="6480"/>
        </w:tabs>
        <w:ind w:left="6480" w:hanging="360"/>
      </w:pPr>
      <w:rPr>
        <w:rFonts w:ascii="Wingdings" w:hAnsi="Wingdings"/>
      </w:rPr>
    </w:lvl>
  </w:abstractNum>
  <w:abstractNum w:abstractNumId="110" w15:restartNumberingAfterBreak="0">
    <w:nsid w:val="7DF62823"/>
    <w:multiLevelType w:val="hybridMultilevel"/>
    <w:tmpl w:val="7DF62823"/>
    <w:lvl w:ilvl="0" w:tplc="845E887C">
      <w:start w:val="1"/>
      <w:numFmt w:val="bullet"/>
      <w:lvlText w:val=""/>
      <w:lvlJc w:val="left"/>
      <w:pPr>
        <w:tabs>
          <w:tab w:val="num" w:pos="720"/>
        </w:tabs>
        <w:ind w:left="720" w:hanging="360"/>
      </w:pPr>
      <w:rPr>
        <w:rFonts w:ascii="Symbol" w:hAnsi="Symbol"/>
      </w:rPr>
    </w:lvl>
    <w:lvl w:ilvl="1" w:tplc="69D8F938">
      <w:start w:val="1"/>
      <w:numFmt w:val="bullet"/>
      <w:lvlText w:val="o"/>
      <w:lvlJc w:val="left"/>
      <w:pPr>
        <w:tabs>
          <w:tab w:val="num" w:pos="1440"/>
        </w:tabs>
        <w:ind w:left="1440" w:hanging="360"/>
      </w:pPr>
      <w:rPr>
        <w:rFonts w:ascii="Courier New" w:hAnsi="Courier New"/>
      </w:rPr>
    </w:lvl>
    <w:lvl w:ilvl="2" w:tplc="64D0EFDA">
      <w:start w:val="1"/>
      <w:numFmt w:val="bullet"/>
      <w:lvlText w:val=""/>
      <w:lvlJc w:val="left"/>
      <w:pPr>
        <w:tabs>
          <w:tab w:val="num" w:pos="2160"/>
        </w:tabs>
        <w:ind w:left="2160" w:hanging="360"/>
      </w:pPr>
      <w:rPr>
        <w:rFonts w:ascii="Wingdings" w:hAnsi="Wingdings"/>
      </w:rPr>
    </w:lvl>
    <w:lvl w:ilvl="3" w:tplc="38DCCC6A">
      <w:start w:val="1"/>
      <w:numFmt w:val="bullet"/>
      <w:lvlText w:val=""/>
      <w:lvlJc w:val="left"/>
      <w:pPr>
        <w:tabs>
          <w:tab w:val="num" w:pos="2880"/>
        </w:tabs>
        <w:ind w:left="2880" w:hanging="360"/>
      </w:pPr>
      <w:rPr>
        <w:rFonts w:ascii="Symbol" w:hAnsi="Symbol"/>
      </w:rPr>
    </w:lvl>
    <w:lvl w:ilvl="4" w:tplc="A51A4EDC">
      <w:start w:val="1"/>
      <w:numFmt w:val="bullet"/>
      <w:lvlText w:val="o"/>
      <w:lvlJc w:val="left"/>
      <w:pPr>
        <w:tabs>
          <w:tab w:val="num" w:pos="3600"/>
        </w:tabs>
        <w:ind w:left="3600" w:hanging="360"/>
      </w:pPr>
      <w:rPr>
        <w:rFonts w:ascii="Courier New" w:hAnsi="Courier New"/>
      </w:rPr>
    </w:lvl>
    <w:lvl w:ilvl="5" w:tplc="DB70E5DC">
      <w:start w:val="1"/>
      <w:numFmt w:val="bullet"/>
      <w:lvlText w:val=""/>
      <w:lvlJc w:val="left"/>
      <w:pPr>
        <w:tabs>
          <w:tab w:val="num" w:pos="4320"/>
        </w:tabs>
        <w:ind w:left="4320" w:hanging="360"/>
      </w:pPr>
      <w:rPr>
        <w:rFonts w:ascii="Wingdings" w:hAnsi="Wingdings"/>
      </w:rPr>
    </w:lvl>
    <w:lvl w:ilvl="6" w:tplc="EC8EC28C">
      <w:start w:val="1"/>
      <w:numFmt w:val="bullet"/>
      <w:lvlText w:val=""/>
      <w:lvlJc w:val="left"/>
      <w:pPr>
        <w:tabs>
          <w:tab w:val="num" w:pos="5040"/>
        </w:tabs>
        <w:ind w:left="5040" w:hanging="360"/>
      </w:pPr>
      <w:rPr>
        <w:rFonts w:ascii="Symbol" w:hAnsi="Symbol"/>
      </w:rPr>
    </w:lvl>
    <w:lvl w:ilvl="7" w:tplc="169CCAE6">
      <w:start w:val="1"/>
      <w:numFmt w:val="bullet"/>
      <w:lvlText w:val="o"/>
      <w:lvlJc w:val="left"/>
      <w:pPr>
        <w:tabs>
          <w:tab w:val="num" w:pos="5760"/>
        </w:tabs>
        <w:ind w:left="5760" w:hanging="360"/>
      </w:pPr>
      <w:rPr>
        <w:rFonts w:ascii="Courier New" w:hAnsi="Courier New"/>
      </w:rPr>
    </w:lvl>
    <w:lvl w:ilvl="8" w:tplc="5524C74A">
      <w:start w:val="1"/>
      <w:numFmt w:val="bullet"/>
      <w:lvlText w:val=""/>
      <w:lvlJc w:val="left"/>
      <w:pPr>
        <w:tabs>
          <w:tab w:val="num" w:pos="6480"/>
        </w:tabs>
        <w:ind w:left="6480" w:hanging="360"/>
      </w:pPr>
      <w:rPr>
        <w:rFonts w:ascii="Wingdings" w:hAnsi="Wingdings"/>
      </w:rPr>
    </w:lvl>
  </w:abstractNum>
  <w:abstractNum w:abstractNumId="111" w15:restartNumberingAfterBreak="0">
    <w:nsid w:val="7DF62824"/>
    <w:multiLevelType w:val="hybridMultilevel"/>
    <w:tmpl w:val="7DF62824"/>
    <w:lvl w:ilvl="0" w:tplc="21D2E6A0">
      <w:start w:val="1"/>
      <w:numFmt w:val="bullet"/>
      <w:lvlText w:val=""/>
      <w:lvlJc w:val="left"/>
      <w:pPr>
        <w:tabs>
          <w:tab w:val="num" w:pos="720"/>
        </w:tabs>
        <w:ind w:left="720" w:hanging="360"/>
      </w:pPr>
      <w:rPr>
        <w:rFonts w:ascii="Symbol" w:hAnsi="Symbol"/>
      </w:rPr>
    </w:lvl>
    <w:lvl w:ilvl="1" w:tplc="4790DA98">
      <w:start w:val="1"/>
      <w:numFmt w:val="bullet"/>
      <w:lvlText w:val="o"/>
      <w:lvlJc w:val="left"/>
      <w:pPr>
        <w:tabs>
          <w:tab w:val="num" w:pos="1440"/>
        </w:tabs>
        <w:ind w:left="1440" w:hanging="360"/>
      </w:pPr>
      <w:rPr>
        <w:rFonts w:ascii="Courier New" w:hAnsi="Courier New"/>
      </w:rPr>
    </w:lvl>
    <w:lvl w:ilvl="2" w:tplc="B844A5E0">
      <w:start w:val="1"/>
      <w:numFmt w:val="bullet"/>
      <w:lvlText w:val=""/>
      <w:lvlJc w:val="left"/>
      <w:pPr>
        <w:tabs>
          <w:tab w:val="num" w:pos="2160"/>
        </w:tabs>
        <w:ind w:left="2160" w:hanging="360"/>
      </w:pPr>
      <w:rPr>
        <w:rFonts w:ascii="Wingdings" w:hAnsi="Wingdings"/>
      </w:rPr>
    </w:lvl>
    <w:lvl w:ilvl="3" w:tplc="278CAD20">
      <w:start w:val="1"/>
      <w:numFmt w:val="bullet"/>
      <w:lvlText w:val=""/>
      <w:lvlJc w:val="left"/>
      <w:pPr>
        <w:tabs>
          <w:tab w:val="num" w:pos="2880"/>
        </w:tabs>
        <w:ind w:left="2880" w:hanging="360"/>
      </w:pPr>
      <w:rPr>
        <w:rFonts w:ascii="Symbol" w:hAnsi="Symbol"/>
      </w:rPr>
    </w:lvl>
    <w:lvl w:ilvl="4" w:tplc="2294DB1A">
      <w:start w:val="1"/>
      <w:numFmt w:val="bullet"/>
      <w:lvlText w:val="o"/>
      <w:lvlJc w:val="left"/>
      <w:pPr>
        <w:tabs>
          <w:tab w:val="num" w:pos="3600"/>
        </w:tabs>
        <w:ind w:left="3600" w:hanging="360"/>
      </w:pPr>
      <w:rPr>
        <w:rFonts w:ascii="Courier New" w:hAnsi="Courier New"/>
      </w:rPr>
    </w:lvl>
    <w:lvl w:ilvl="5" w:tplc="1236DFE0">
      <w:start w:val="1"/>
      <w:numFmt w:val="bullet"/>
      <w:lvlText w:val=""/>
      <w:lvlJc w:val="left"/>
      <w:pPr>
        <w:tabs>
          <w:tab w:val="num" w:pos="4320"/>
        </w:tabs>
        <w:ind w:left="4320" w:hanging="360"/>
      </w:pPr>
      <w:rPr>
        <w:rFonts w:ascii="Wingdings" w:hAnsi="Wingdings"/>
      </w:rPr>
    </w:lvl>
    <w:lvl w:ilvl="6" w:tplc="2FFADDDE">
      <w:start w:val="1"/>
      <w:numFmt w:val="bullet"/>
      <w:lvlText w:val=""/>
      <w:lvlJc w:val="left"/>
      <w:pPr>
        <w:tabs>
          <w:tab w:val="num" w:pos="5040"/>
        </w:tabs>
        <w:ind w:left="5040" w:hanging="360"/>
      </w:pPr>
      <w:rPr>
        <w:rFonts w:ascii="Symbol" w:hAnsi="Symbol"/>
      </w:rPr>
    </w:lvl>
    <w:lvl w:ilvl="7" w:tplc="31BA27A0">
      <w:start w:val="1"/>
      <w:numFmt w:val="bullet"/>
      <w:lvlText w:val="o"/>
      <w:lvlJc w:val="left"/>
      <w:pPr>
        <w:tabs>
          <w:tab w:val="num" w:pos="5760"/>
        </w:tabs>
        <w:ind w:left="5760" w:hanging="360"/>
      </w:pPr>
      <w:rPr>
        <w:rFonts w:ascii="Courier New" w:hAnsi="Courier New"/>
      </w:rPr>
    </w:lvl>
    <w:lvl w:ilvl="8" w:tplc="762AC89E">
      <w:start w:val="1"/>
      <w:numFmt w:val="bullet"/>
      <w:lvlText w:val=""/>
      <w:lvlJc w:val="left"/>
      <w:pPr>
        <w:tabs>
          <w:tab w:val="num" w:pos="6480"/>
        </w:tabs>
        <w:ind w:left="6480" w:hanging="360"/>
      </w:pPr>
      <w:rPr>
        <w:rFonts w:ascii="Wingdings" w:hAnsi="Wingdings"/>
      </w:rPr>
    </w:lvl>
  </w:abstractNum>
  <w:abstractNum w:abstractNumId="112" w15:restartNumberingAfterBreak="0">
    <w:nsid w:val="7DF62825"/>
    <w:multiLevelType w:val="hybridMultilevel"/>
    <w:tmpl w:val="7DF62825"/>
    <w:lvl w:ilvl="0" w:tplc="D41CCB6A">
      <w:start w:val="1"/>
      <w:numFmt w:val="bullet"/>
      <w:lvlText w:val=""/>
      <w:lvlJc w:val="left"/>
      <w:pPr>
        <w:tabs>
          <w:tab w:val="num" w:pos="720"/>
        </w:tabs>
        <w:ind w:left="720" w:hanging="360"/>
      </w:pPr>
      <w:rPr>
        <w:rFonts w:ascii="Symbol" w:hAnsi="Symbol"/>
      </w:rPr>
    </w:lvl>
    <w:lvl w:ilvl="1" w:tplc="1F24313E">
      <w:start w:val="1"/>
      <w:numFmt w:val="bullet"/>
      <w:lvlText w:val="o"/>
      <w:lvlJc w:val="left"/>
      <w:pPr>
        <w:tabs>
          <w:tab w:val="num" w:pos="1440"/>
        </w:tabs>
        <w:ind w:left="1440" w:hanging="360"/>
      </w:pPr>
      <w:rPr>
        <w:rFonts w:ascii="Courier New" w:hAnsi="Courier New"/>
      </w:rPr>
    </w:lvl>
    <w:lvl w:ilvl="2" w:tplc="6CC8C16C">
      <w:start w:val="1"/>
      <w:numFmt w:val="bullet"/>
      <w:lvlText w:val=""/>
      <w:lvlJc w:val="left"/>
      <w:pPr>
        <w:tabs>
          <w:tab w:val="num" w:pos="2160"/>
        </w:tabs>
        <w:ind w:left="2160" w:hanging="360"/>
      </w:pPr>
      <w:rPr>
        <w:rFonts w:ascii="Wingdings" w:hAnsi="Wingdings"/>
      </w:rPr>
    </w:lvl>
    <w:lvl w:ilvl="3" w:tplc="D0804BF0">
      <w:start w:val="1"/>
      <w:numFmt w:val="bullet"/>
      <w:lvlText w:val=""/>
      <w:lvlJc w:val="left"/>
      <w:pPr>
        <w:tabs>
          <w:tab w:val="num" w:pos="2880"/>
        </w:tabs>
        <w:ind w:left="2880" w:hanging="360"/>
      </w:pPr>
      <w:rPr>
        <w:rFonts w:ascii="Symbol" w:hAnsi="Symbol"/>
      </w:rPr>
    </w:lvl>
    <w:lvl w:ilvl="4" w:tplc="8E0ABB1E">
      <w:start w:val="1"/>
      <w:numFmt w:val="bullet"/>
      <w:lvlText w:val="o"/>
      <w:lvlJc w:val="left"/>
      <w:pPr>
        <w:tabs>
          <w:tab w:val="num" w:pos="3600"/>
        </w:tabs>
        <w:ind w:left="3600" w:hanging="360"/>
      </w:pPr>
      <w:rPr>
        <w:rFonts w:ascii="Courier New" w:hAnsi="Courier New"/>
      </w:rPr>
    </w:lvl>
    <w:lvl w:ilvl="5" w:tplc="EB862F28">
      <w:start w:val="1"/>
      <w:numFmt w:val="bullet"/>
      <w:lvlText w:val=""/>
      <w:lvlJc w:val="left"/>
      <w:pPr>
        <w:tabs>
          <w:tab w:val="num" w:pos="4320"/>
        </w:tabs>
        <w:ind w:left="4320" w:hanging="360"/>
      </w:pPr>
      <w:rPr>
        <w:rFonts w:ascii="Wingdings" w:hAnsi="Wingdings"/>
      </w:rPr>
    </w:lvl>
    <w:lvl w:ilvl="6" w:tplc="94609244">
      <w:start w:val="1"/>
      <w:numFmt w:val="bullet"/>
      <w:lvlText w:val=""/>
      <w:lvlJc w:val="left"/>
      <w:pPr>
        <w:tabs>
          <w:tab w:val="num" w:pos="5040"/>
        </w:tabs>
        <w:ind w:left="5040" w:hanging="360"/>
      </w:pPr>
      <w:rPr>
        <w:rFonts w:ascii="Symbol" w:hAnsi="Symbol"/>
      </w:rPr>
    </w:lvl>
    <w:lvl w:ilvl="7" w:tplc="E0F6CF94">
      <w:start w:val="1"/>
      <w:numFmt w:val="bullet"/>
      <w:lvlText w:val="o"/>
      <w:lvlJc w:val="left"/>
      <w:pPr>
        <w:tabs>
          <w:tab w:val="num" w:pos="5760"/>
        </w:tabs>
        <w:ind w:left="5760" w:hanging="360"/>
      </w:pPr>
      <w:rPr>
        <w:rFonts w:ascii="Courier New" w:hAnsi="Courier New"/>
      </w:rPr>
    </w:lvl>
    <w:lvl w:ilvl="8" w:tplc="026C4C1A">
      <w:start w:val="1"/>
      <w:numFmt w:val="bullet"/>
      <w:lvlText w:val=""/>
      <w:lvlJc w:val="left"/>
      <w:pPr>
        <w:tabs>
          <w:tab w:val="num" w:pos="6480"/>
        </w:tabs>
        <w:ind w:left="6480" w:hanging="360"/>
      </w:pPr>
      <w:rPr>
        <w:rFonts w:ascii="Wingdings" w:hAnsi="Wingdings"/>
      </w:rPr>
    </w:lvl>
  </w:abstractNum>
  <w:abstractNum w:abstractNumId="113" w15:restartNumberingAfterBreak="0">
    <w:nsid w:val="7DF62826"/>
    <w:multiLevelType w:val="multilevel"/>
    <w:tmpl w:val="7DF628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DF62827"/>
    <w:multiLevelType w:val="hybridMultilevel"/>
    <w:tmpl w:val="7DF62827"/>
    <w:lvl w:ilvl="0" w:tplc="24264EDA">
      <w:start w:val="1"/>
      <w:numFmt w:val="bullet"/>
      <w:lvlText w:val=""/>
      <w:lvlJc w:val="left"/>
      <w:pPr>
        <w:tabs>
          <w:tab w:val="num" w:pos="720"/>
        </w:tabs>
        <w:ind w:left="720" w:hanging="360"/>
      </w:pPr>
      <w:rPr>
        <w:rFonts w:ascii="Symbol" w:hAnsi="Symbol"/>
      </w:rPr>
    </w:lvl>
    <w:lvl w:ilvl="1" w:tplc="538A2E8A">
      <w:start w:val="1"/>
      <w:numFmt w:val="bullet"/>
      <w:lvlText w:val="o"/>
      <w:lvlJc w:val="left"/>
      <w:pPr>
        <w:tabs>
          <w:tab w:val="num" w:pos="1440"/>
        </w:tabs>
        <w:ind w:left="1440" w:hanging="360"/>
      </w:pPr>
      <w:rPr>
        <w:rFonts w:ascii="Courier New" w:hAnsi="Courier New"/>
      </w:rPr>
    </w:lvl>
    <w:lvl w:ilvl="2" w:tplc="DB18D158">
      <w:start w:val="1"/>
      <w:numFmt w:val="bullet"/>
      <w:lvlText w:val=""/>
      <w:lvlJc w:val="left"/>
      <w:pPr>
        <w:tabs>
          <w:tab w:val="num" w:pos="2160"/>
        </w:tabs>
        <w:ind w:left="2160" w:hanging="360"/>
      </w:pPr>
      <w:rPr>
        <w:rFonts w:ascii="Wingdings" w:hAnsi="Wingdings"/>
      </w:rPr>
    </w:lvl>
    <w:lvl w:ilvl="3" w:tplc="A3B03706">
      <w:start w:val="1"/>
      <w:numFmt w:val="bullet"/>
      <w:lvlText w:val=""/>
      <w:lvlJc w:val="left"/>
      <w:pPr>
        <w:tabs>
          <w:tab w:val="num" w:pos="2880"/>
        </w:tabs>
        <w:ind w:left="2880" w:hanging="360"/>
      </w:pPr>
      <w:rPr>
        <w:rFonts w:ascii="Symbol" w:hAnsi="Symbol"/>
      </w:rPr>
    </w:lvl>
    <w:lvl w:ilvl="4" w:tplc="4BAC982A">
      <w:start w:val="1"/>
      <w:numFmt w:val="bullet"/>
      <w:lvlText w:val="o"/>
      <w:lvlJc w:val="left"/>
      <w:pPr>
        <w:tabs>
          <w:tab w:val="num" w:pos="3600"/>
        </w:tabs>
        <w:ind w:left="3600" w:hanging="360"/>
      </w:pPr>
      <w:rPr>
        <w:rFonts w:ascii="Courier New" w:hAnsi="Courier New"/>
      </w:rPr>
    </w:lvl>
    <w:lvl w:ilvl="5" w:tplc="F35244A8">
      <w:start w:val="1"/>
      <w:numFmt w:val="bullet"/>
      <w:lvlText w:val=""/>
      <w:lvlJc w:val="left"/>
      <w:pPr>
        <w:tabs>
          <w:tab w:val="num" w:pos="4320"/>
        </w:tabs>
        <w:ind w:left="4320" w:hanging="360"/>
      </w:pPr>
      <w:rPr>
        <w:rFonts w:ascii="Wingdings" w:hAnsi="Wingdings"/>
      </w:rPr>
    </w:lvl>
    <w:lvl w:ilvl="6" w:tplc="6D640314">
      <w:start w:val="1"/>
      <w:numFmt w:val="bullet"/>
      <w:lvlText w:val=""/>
      <w:lvlJc w:val="left"/>
      <w:pPr>
        <w:tabs>
          <w:tab w:val="num" w:pos="5040"/>
        </w:tabs>
        <w:ind w:left="5040" w:hanging="360"/>
      </w:pPr>
      <w:rPr>
        <w:rFonts w:ascii="Symbol" w:hAnsi="Symbol"/>
      </w:rPr>
    </w:lvl>
    <w:lvl w:ilvl="7" w:tplc="7DFA57AE">
      <w:start w:val="1"/>
      <w:numFmt w:val="bullet"/>
      <w:lvlText w:val="o"/>
      <w:lvlJc w:val="left"/>
      <w:pPr>
        <w:tabs>
          <w:tab w:val="num" w:pos="5760"/>
        </w:tabs>
        <w:ind w:left="5760" w:hanging="360"/>
      </w:pPr>
      <w:rPr>
        <w:rFonts w:ascii="Courier New" w:hAnsi="Courier New"/>
      </w:rPr>
    </w:lvl>
    <w:lvl w:ilvl="8" w:tplc="22B4D090">
      <w:start w:val="1"/>
      <w:numFmt w:val="bullet"/>
      <w:lvlText w:val=""/>
      <w:lvlJc w:val="left"/>
      <w:pPr>
        <w:tabs>
          <w:tab w:val="num" w:pos="6480"/>
        </w:tabs>
        <w:ind w:left="6480" w:hanging="360"/>
      </w:pPr>
      <w:rPr>
        <w:rFonts w:ascii="Wingdings" w:hAnsi="Wingdings"/>
      </w:rPr>
    </w:lvl>
  </w:abstractNum>
  <w:abstractNum w:abstractNumId="115" w15:restartNumberingAfterBreak="0">
    <w:nsid w:val="7DF62828"/>
    <w:multiLevelType w:val="hybridMultilevel"/>
    <w:tmpl w:val="7DF62828"/>
    <w:lvl w:ilvl="0" w:tplc="81BA4C46">
      <w:start w:val="1"/>
      <w:numFmt w:val="bullet"/>
      <w:lvlText w:val=""/>
      <w:lvlJc w:val="left"/>
      <w:pPr>
        <w:tabs>
          <w:tab w:val="num" w:pos="720"/>
        </w:tabs>
        <w:ind w:left="720" w:hanging="360"/>
      </w:pPr>
      <w:rPr>
        <w:rFonts w:ascii="Symbol" w:hAnsi="Symbol"/>
      </w:rPr>
    </w:lvl>
    <w:lvl w:ilvl="1" w:tplc="76A0716C">
      <w:start w:val="1"/>
      <w:numFmt w:val="bullet"/>
      <w:lvlText w:val="o"/>
      <w:lvlJc w:val="left"/>
      <w:pPr>
        <w:tabs>
          <w:tab w:val="num" w:pos="1440"/>
        </w:tabs>
        <w:ind w:left="1440" w:hanging="360"/>
      </w:pPr>
      <w:rPr>
        <w:rFonts w:ascii="Courier New" w:hAnsi="Courier New"/>
      </w:rPr>
    </w:lvl>
    <w:lvl w:ilvl="2" w:tplc="C8B2FA94">
      <w:start w:val="1"/>
      <w:numFmt w:val="bullet"/>
      <w:lvlText w:val=""/>
      <w:lvlJc w:val="left"/>
      <w:pPr>
        <w:tabs>
          <w:tab w:val="num" w:pos="2160"/>
        </w:tabs>
        <w:ind w:left="2160" w:hanging="360"/>
      </w:pPr>
      <w:rPr>
        <w:rFonts w:ascii="Wingdings" w:hAnsi="Wingdings"/>
      </w:rPr>
    </w:lvl>
    <w:lvl w:ilvl="3" w:tplc="9B26A17E">
      <w:start w:val="1"/>
      <w:numFmt w:val="bullet"/>
      <w:lvlText w:val=""/>
      <w:lvlJc w:val="left"/>
      <w:pPr>
        <w:tabs>
          <w:tab w:val="num" w:pos="2880"/>
        </w:tabs>
        <w:ind w:left="2880" w:hanging="360"/>
      </w:pPr>
      <w:rPr>
        <w:rFonts w:ascii="Symbol" w:hAnsi="Symbol"/>
      </w:rPr>
    </w:lvl>
    <w:lvl w:ilvl="4" w:tplc="0AD26028">
      <w:start w:val="1"/>
      <w:numFmt w:val="bullet"/>
      <w:lvlText w:val="o"/>
      <w:lvlJc w:val="left"/>
      <w:pPr>
        <w:tabs>
          <w:tab w:val="num" w:pos="3600"/>
        </w:tabs>
        <w:ind w:left="3600" w:hanging="360"/>
      </w:pPr>
      <w:rPr>
        <w:rFonts w:ascii="Courier New" w:hAnsi="Courier New"/>
      </w:rPr>
    </w:lvl>
    <w:lvl w:ilvl="5" w:tplc="3D70456E">
      <w:start w:val="1"/>
      <w:numFmt w:val="bullet"/>
      <w:lvlText w:val=""/>
      <w:lvlJc w:val="left"/>
      <w:pPr>
        <w:tabs>
          <w:tab w:val="num" w:pos="4320"/>
        </w:tabs>
        <w:ind w:left="4320" w:hanging="360"/>
      </w:pPr>
      <w:rPr>
        <w:rFonts w:ascii="Wingdings" w:hAnsi="Wingdings"/>
      </w:rPr>
    </w:lvl>
    <w:lvl w:ilvl="6" w:tplc="E564A992">
      <w:start w:val="1"/>
      <w:numFmt w:val="bullet"/>
      <w:lvlText w:val=""/>
      <w:lvlJc w:val="left"/>
      <w:pPr>
        <w:tabs>
          <w:tab w:val="num" w:pos="5040"/>
        </w:tabs>
        <w:ind w:left="5040" w:hanging="360"/>
      </w:pPr>
      <w:rPr>
        <w:rFonts w:ascii="Symbol" w:hAnsi="Symbol"/>
      </w:rPr>
    </w:lvl>
    <w:lvl w:ilvl="7" w:tplc="D354B9DE">
      <w:start w:val="1"/>
      <w:numFmt w:val="bullet"/>
      <w:lvlText w:val="o"/>
      <w:lvlJc w:val="left"/>
      <w:pPr>
        <w:tabs>
          <w:tab w:val="num" w:pos="5760"/>
        </w:tabs>
        <w:ind w:left="5760" w:hanging="360"/>
      </w:pPr>
      <w:rPr>
        <w:rFonts w:ascii="Courier New" w:hAnsi="Courier New"/>
      </w:rPr>
    </w:lvl>
    <w:lvl w:ilvl="8" w:tplc="303A9FE0">
      <w:start w:val="1"/>
      <w:numFmt w:val="bullet"/>
      <w:lvlText w:val=""/>
      <w:lvlJc w:val="left"/>
      <w:pPr>
        <w:tabs>
          <w:tab w:val="num" w:pos="6480"/>
        </w:tabs>
        <w:ind w:left="6480" w:hanging="360"/>
      </w:pPr>
      <w:rPr>
        <w:rFonts w:ascii="Wingdings" w:hAnsi="Wingdings"/>
      </w:rPr>
    </w:lvl>
  </w:abstractNum>
  <w:abstractNum w:abstractNumId="116" w15:restartNumberingAfterBreak="0">
    <w:nsid w:val="7DF62829"/>
    <w:multiLevelType w:val="hybridMultilevel"/>
    <w:tmpl w:val="7DF62829"/>
    <w:lvl w:ilvl="0" w:tplc="1E8675F2">
      <w:start w:val="1"/>
      <w:numFmt w:val="bullet"/>
      <w:lvlText w:val=""/>
      <w:lvlJc w:val="left"/>
      <w:pPr>
        <w:tabs>
          <w:tab w:val="num" w:pos="720"/>
        </w:tabs>
        <w:ind w:left="720" w:hanging="360"/>
      </w:pPr>
      <w:rPr>
        <w:rFonts w:ascii="Symbol" w:hAnsi="Symbol"/>
      </w:rPr>
    </w:lvl>
    <w:lvl w:ilvl="1" w:tplc="293EAF60">
      <w:start w:val="1"/>
      <w:numFmt w:val="bullet"/>
      <w:lvlText w:val="o"/>
      <w:lvlJc w:val="left"/>
      <w:pPr>
        <w:tabs>
          <w:tab w:val="num" w:pos="1440"/>
        </w:tabs>
        <w:ind w:left="1440" w:hanging="360"/>
      </w:pPr>
      <w:rPr>
        <w:rFonts w:ascii="Courier New" w:hAnsi="Courier New"/>
      </w:rPr>
    </w:lvl>
    <w:lvl w:ilvl="2" w:tplc="77E2930E">
      <w:start w:val="1"/>
      <w:numFmt w:val="bullet"/>
      <w:lvlText w:val=""/>
      <w:lvlJc w:val="left"/>
      <w:pPr>
        <w:tabs>
          <w:tab w:val="num" w:pos="2160"/>
        </w:tabs>
        <w:ind w:left="2160" w:hanging="360"/>
      </w:pPr>
      <w:rPr>
        <w:rFonts w:ascii="Wingdings" w:hAnsi="Wingdings"/>
      </w:rPr>
    </w:lvl>
    <w:lvl w:ilvl="3" w:tplc="F4C8241C">
      <w:start w:val="1"/>
      <w:numFmt w:val="bullet"/>
      <w:lvlText w:val=""/>
      <w:lvlJc w:val="left"/>
      <w:pPr>
        <w:tabs>
          <w:tab w:val="num" w:pos="2880"/>
        </w:tabs>
        <w:ind w:left="2880" w:hanging="360"/>
      </w:pPr>
      <w:rPr>
        <w:rFonts w:ascii="Symbol" w:hAnsi="Symbol"/>
      </w:rPr>
    </w:lvl>
    <w:lvl w:ilvl="4" w:tplc="97C27674">
      <w:start w:val="1"/>
      <w:numFmt w:val="bullet"/>
      <w:lvlText w:val="o"/>
      <w:lvlJc w:val="left"/>
      <w:pPr>
        <w:tabs>
          <w:tab w:val="num" w:pos="3600"/>
        </w:tabs>
        <w:ind w:left="3600" w:hanging="360"/>
      </w:pPr>
      <w:rPr>
        <w:rFonts w:ascii="Courier New" w:hAnsi="Courier New"/>
      </w:rPr>
    </w:lvl>
    <w:lvl w:ilvl="5" w:tplc="ABB6CF20">
      <w:start w:val="1"/>
      <w:numFmt w:val="bullet"/>
      <w:lvlText w:val=""/>
      <w:lvlJc w:val="left"/>
      <w:pPr>
        <w:tabs>
          <w:tab w:val="num" w:pos="4320"/>
        </w:tabs>
        <w:ind w:left="4320" w:hanging="360"/>
      </w:pPr>
      <w:rPr>
        <w:rFonts w:ascii="Wingdings" w:hAnsi="Wingdings"/>
      </w:rPr>
    </w:lvl>
    <w:lvl w:ilvl="6" w:tplc="A682458C">
      <w:start w:val="1"/>
      <w:numFmt w:val="bullet"/>
      <w:lvlText w:val=""/>
      <w:lvlJc w:val="left"/>
      <w:pPr>
        <w:tabs>
          <w:tab w:val="num" w:pos="5040"/>
        </w:tabs>
        <w:ind w:left="5040" w:hanging="360"/>
      </w:pPr>
      <w:rPr>
        <w:rFonts w:ascii="Symbol" w:hAnsi="Symbol"/>
      </w:rPr>
    </w:lvl>
    <w:lvl w:ilvl="7" w:tplc="99365806">
      <w:start w:val="1"/>
      <w:numFmt w:val="bullet"/>
      <w:lvlText w:val="o"/>
      <w:lvlJc w:val="left"/>
      <w:pPr>
        <w:tabs>
          <w:tab w:val="num" w:pos="5760"/>
        </w:tabs>
        <w:ind w:left="5760" w:hanging="360"/>
      </w:pPr>
      <w:rPr>
        <w:rFonts w:ascii="Courier New" w:hAnsi="Courier New"/>
      </w:rPr>
    </w:lvl>
    <w:lvl w:ilvl="8" w:tplc="78A4CDE2">
      <w:start w:val="1"/>
      <w:numFmt w:val="bullet"/>
      <w:lvlText w:val=""/>
      <w:lvlJc w:val="left"/>
      <w:pPr>
        <w:tabs>
          <w:tab w:val="num" w:pos="6480"/>
        </w:tabs>
        <w:ind w:left="6480" w:hanging="360"/>
      </w:pPr>
      <w:rPr>
        <w:rFonts w:ascii="Wingdings" w:hAnsi="Wingdings"/>
      </w:rPr>
    </w:lvl>
  </w:abstractNum>
  <w:abstractNum w:abstractNumId="117" w15:restartNumberingAfterBreak="0">
    <w:nsid w:val="7DF6282A"/>
    <w:multiLevelType w:val="hybridMultilevel"/>
    <w:tmpl w:val="7DF6282A"/>
    <w:lvl w:ilvl="0" w:tplc="2ABA8A10">
      <w:start w:val="1"/>
      <w:numFmt w:val="bullet"/>
      <w:lvlText w:val=""/>
      <w:lvlJc w:val="left"/>
      <w:pPr>
        <w:tabs>
          <w:tab w:val="num" w:pos="720"/>
        </w:tabs>
        <w:ind w:left="720" w:hanging="360"/>
      </w:pPr>
      <w:rPr>
        <w:rFonts w:ascii="Symbol" w:hAnsi="Symbol"/>
      </w:rPr>
    </w:lvl>
    <w:lvl w:ilvl="1" w:tplc="F0101404">
      <w:start w:val="1"/>
      <w:numFmt w:val="bullet"/>
      <w:lvlText w:val="o"/>
      <w:lvlJc w:val="left"/>
      <w:pPr>
        <w:tabs>
          <w:tab w:val="num" w:pos="1440"/>
        </w:tabs>
        <w:ind w:left="1440" w:hanging="360"/>
      </w:pPr>
      <w:rPr>
        <w:rFonts w:ascii="Courier New" w:hAnsi="Courier New"/>
      </w:rPr>
    </w:lvl>
    <w:lvl w:ilvl="2" w:tplc="662CFC30">
      <w:start w:val="1"/>
      <w:numFmt w:val="bullet"/>
      <w:lvlText w:val=""/>
      <w:lvlJc w:val="left"/>
      <w:pPr>
        <w:tabs>
          <w:tab w:val="num" w:pos="2160"/>
        </w:tabs>
        <w:ind w:left="2160" w:hanging="360"/>
      </w:pPr>
      <w:rPr>
        <w:rFonts w:ascii="Wingdings" w:hAnsi="Wingdings"/>
      </w:rPr>
    </w:lvl>
    <w:lvl w:ilvl="3" w:tplc="65DC0952">
      <w:start w:val="1"/>
      <w:numFmt w:val="bullet"/>
      <w:lvlText w:val=""/>
      <w:lvlJc w:val="left"/>
      <w:pPr>
        <w:tabs>
          <w:tab w:val="num" w:pos="2880"/>
        </w:tabs>
        <w:ind w:left="2880" w:hanging="360"/>
      </w:pPr>
      <w:rPr>
        <w:rFonts w:ascii="Symbol" w:hAnsi="Symbol"/>
      </w:rPr>
    </w:lvl>
    <w:lvl w:ilvl="4" w:tplc="0BA2B42A">
      <w:start w:val="1"/>
      <w:numFmt w:val="bullet"/>
      <w:lvlText w:val="o"/>
      <w:lvlJc w:val="left"/>
      <w:pPr>
        <w:tabs>
          <w:tab w:val="num" w:pos="3600"/>
        </w:tabs>
        <w:ind w:left="3600" w:hanging="360"/>
      </w:pPr>
      <w:rPr>
        <w:rFonts w:ascii="Courier New" w:hAnsi="Courier New"/>
      </w:rPr>
    </w:lvl>
    <w:lvl w:ilvl="5" w:tplc="4BD4754C">
      <w:start w:val="1"/>
      <w:numFmt w:val="bullet"/>
      <w:lvlText w:val=""/>
      <w:lvlJc w:val="left"/>
      <w:pPr>
        <w:tabs>
          <w:tab w:val="num" w:pos="4320"/>
        </w:tabs>
        <w:ind w:left="4320" w:hanging="360"/>
      </w:pPr>
      <w:rPr>
        <w:rFonts w:ascii="Wingdings" w:hAnsi="Wingdings"/>
      </w:rPr>
    </w:lvl>
    <w:lvl w:ilvl="6" w:tplc="54663510">
      <w:start w:val="1"/>
      <w:numFmt w:val="bullet"/>
      <w:lvlText w:val=""/>
      <w:lvlJc w:val="left"/>
      <w:pPr>
        <w:tabs>
          <w:tab w:val="num" w:pos="5040"/>
        </w:tabs>
        <w:ind w:left="5040" w:hanging="360"/>
      </w:pPr>
      <w:rPr>
        <w:rFonts w:ascii="Symbol" w:hAnsi="Symbol"/>
      </w:rPr>
    </w:lvl>
    <w:lvl w:ilvl="7" w:tplc="328203EE">
      <w:start w:val="1"/>
      <w:numFmt w:val="bullet"/>
      <w:lvlText w:val="o"/>
      <w:lvlJc w:val="left"/>
      <w:pPr>
        <w:tabs>
          <w:tab w:val="num" w:pos="5760"/>
        </w:tabs>
        <w:ind w:left="5760" w:hanging="360"/>
      </w:pPr>
      <w:rPr>
        <w:rFonts w:ascii="Courier New" w:hAnsi="Courier New"/>
      </w:rPr>
    </w:lvl>
    <w:lvl w:ilvl="8" w:tplc="367458CC">
      <w:start w:val="1"/>
      <w:numFmt w:val="bullet"/>
      <w:lvlText w:val=""/>
      <w:lvlJc w:val="left"/>
      <w:pPr>
        <w:tabs>
          <w:tab w:val="num" w:pos="6480"/>
        </w:tabs>
        <w:ind w:left="6480" w:hanging="360"/>
      </w:pPr>
      <w:rPr>
        <w:rFonts w:ascii="Wingdings" w:hAnsi="Wingdings"/>
      </w:rPr>
    </w:lvl>
  </w:abstractNum>
  <w:abstractNum w:abstractNumId="118" w15:restartNumberingAfterBreak="0">
    <w:nsid w:val="7DF6282B"/>
    <w:multiLevelType w:val="hybridMultilevel"/>
    <w:tmpl w:val="7DF6282B"/>
    <w:lvl w:ilvl="0" w:tplc="57561944">
      <w:start w:val="1"/>
      <w:numFmt w:val="bullet"/>
      <w:lvlText w:val=""/>
      <w:lvlJc w:val="left"/>
      <w:pPr>
        <w:tabs>
          <w:tab w:val="num" w:pos="720"/>
        </w:tabs>
        <w:ind w:left="720" w:hanging="360"/>
      </w:pPr>
      <w:rPr>
        <w:rFonts w:ascii="Symbol" w:hAnsi="Symbol"/>
      </w:rPr>
    </w:lvl>
    <w:lvl w:ilvl="1" w:tplc="B63CC630">
      <w:start w:val="1"/>
      <w:numFmt w:val="bullet"/>
      <w:lvlText w:val="o"/>
      <w:lvlJc w:val="left"/>
      <w:pPr>
        <w:tabs>
          <w:tab w:val="num" w:pos="1440"/>
        </w:tabs>
        <w:ind w:left="1440" w:hanging="360"/>
      </w:pPr>
      <w:rPr>
        <w:rFonts w:ascii="Courier New" w:hAnsi="Courier New"/>
      </w:rPr>
    </w:lvl>
    <w:lvl w:ilvl="2" w:tplc="A46401CA">
      <w:start w:val="1"/>
      <w:numFmt w:val="bullet"/>
      <w:lvlText w:val=""/>
      <w:lvlJc w:val="left"/>
      <w:pPr>
        <w:tabs>
          <w:tab w:val="num" w:pos="2160"/>
        </w:tabs>
        <w:ind w:left="2160" w:hanging="360"/>
      </w:pPr>
      <w:rPr>
        <w:rFonts w:ascii="Wingdings" w:hAnsi="Wingdings"/>
      </w:rPr>
    </w:lvl>
    <w:lvl w:ilvl="3" w:tplc="F00453A2">
      <w:start w:val="1"/>
      <w:numFmt w:val="bullet"/>
      <w:lvlText w:val=""/>
      <w:lvlJc w:val="left"/>
      <w:pPr>
        <w:tabs>
          <w:tab w:val="num" w:pos="2880"/>
        </w:tabs>
        <w:ind w:left="2880" w:hanging="360"/>
      </w:pPr>
      <w:rPr>
        <w:rFonts w:ascii="Symbol" w:hAnsi="Symbol"/>
      </w:rPr>
    </w:lvl>
    <w:lvl w:ilvl="4" w:tplc="05A84170">
      <w:start w:val="1"/>
      <w:numFmt w:val="bullet"/>
      <w:lvlText w:val="o"/>
      <w:lvlJc w:val="left"/>
      <w:pPr>
        <w:tabs>
          <w:tab w:val="num" w:pos="3600"/>
        </w:tabs>
        <w:ind w:left="3600" w:hanging="360"/>
      </w:pPr>
      <w:rPr>
        <w:rFonts w:ascii="Courier New" w:hAnsi="Courier New"/>
      </w:rPr>
    </w:lvl>
    <w:lvl w:ilvl="5" w:tplc="D68E9F18">
      <w:start w:val="1"/>
      <w:numFmt w:val="bullet"/>
      <w:lvlText w:val=""/>
      <w:lvlJc w:val="left"/>
      <w:pPr>
        <w:tabs>
          <w:tab w:val="num" w:pos="4320"/>
        </w:tabs>
        <w:ind w:left="4320" w:hanging="360"/>
      </w:pPr>
      <w:rPr>
        <w:rFonts w:ascii="Wingdings" w:hAnsi="Wingdings"/>
      </w:rPr>
    </w:lvl>
    <w:lvl w:ilvl="6" w:tplc="E0D0100C">
      <w:start w:val="1"/>
      <w:numFmt w:val="bullet"/>
      <w:lvlText w:val=""/>
      <w:lvlJc w:val="left"/>
      <w:pPr>
        <w:tabs>
          <w:tab w:val="num" w:pos="5040"/>
        </w:tabs>
        <w:ind w:left="5040" w:hanging="360"/>
      </w:pPr>
      <w:rPr>
        <w:rFonts w:ascii="Symbol" w:hAnsi="Symbol"/>
      </w:rPr>
    </w:lvl>
    <w:lvl w:ilvl="7" w:tplc="FD7C2F94">
      <w:start w:val="1"/>
      <w:numFmt w:val="bullet"/>
      <w:lvlText w:val="o"/>
      <w:lvlJc w:val="left"/>
      <w:pPr>
        <w:tabs>
          <w:tab w:val="num" w:pos="5760"/>
        </w:tabs>
        <w:ind w:left="5760" w:hanging="360"/>
      </w:pPr>
      <w:rPr>
        <w:rFonts w:ascii="Courier New" w:hAnsi="Courier New"/>
      </w:rPr>
    </w:lvl>
    <w:lvl w:ilvl="8" w:tplc="B2B41DF4">
      <w:start w:val="1"/>
      <w:numFmt w:val="bullet"/>
      <w:lvlText w:val=""/>
      <w:lvlJc w:val="left"/>
      <w:pPr>
        <w:tabs>
          <w:tab w:val="num" w:pos="6480"/>
        </w:tabs>
        <w:ind w:left="6480" w:hanging="360"/>
      </w:pPr>
      <w:rPr>
        <w:rFonts w:ascii="Wingdings" w:hAnsi="Wingdings"/>
      </w:rPr>
    </w:lvl>
  </w:abstractNum>
  <w:abstractNum w:abstractNumId="119" w15:restartNumberingAfterBreak="0">
    <w:nsid w:val="7DF6282C"/>
    <w:multiLevelType w:val="hybridMultilevel"/>
    <w:tmpl w:val="7DF6282C"/>
    <w:lvl w:ilvl="0" w:tplc="449EB804">
      <w:start w:val="1"/>
      <w:numFmt w:val="bullet"/>
      <w:lvlText w:val=""/>
      <w:lvlJc w:val="left"/>
      <w:pPr>
        <w:tabs>
          <w:tab w:val="num" w:pos="720"/>
        </w:tabs>
        <w:ind w:left="720" w:hanging="360"/>
      </w:pPr>
      <w:rPr>
        <w:rFonts w:ascii="Symbol" w:hAnsi="Symbol"/>
      </w:rPr>
    </w:lvl>
    <w:lvl w:ilvl="1" w:tplc="DF206FC2">
      <w:start w:val="1"/>
      <w:numFmt w:val="bullet"/>
      <w:lvlText w:val="o"/>
      <w:lvlJc w:val="left"/>
      <w:pPr>
        <w:tabs>
          <w:tab w:val="num" w:pos="1440"/>
        </w:tabs>
        <w:ind w:left="1440" w:hanging="360"/>
      </w:pPr>
      <w:rPr>
        <w:rFonts w:ascii="Courier New" w:hAnsi="Courier New"/>
      </w:rPr>
    </w:lvl>
    <w:lvl w:ilvl="2" w:tplc="E47CFC1E">
      <w:start w:val="1"/>
      <w:numFmt w:val="bullet"/>
      <w:lvlText w:val=""/>
      <w:lvlJc w:val="left"/>
      <w:pPr>
        <w:tabs>
          <w:tab w:val="num" w:pos="2160"/>
        </w:tabs>
        <w:ind w:left="2160" w:hanging="360"/>
      </w:pPr>
      <w:rPr>
        <w:rFonts w:ascii="Wingdings" w:hAnsi="Wingdings"/>
      </w:rPr>
    </w:lvl>
    <w:lvl w:ilvl="3" w:tplc="904298F6">
      <w:start w:val="1"/>
      <w:numFmt w:val="bullet"/>
      <w:lvlText w:val=""/>
      <w:lvlJc w:val="left"/>
      <w:pPr>
        <w:tabs>
          <w:tab w:val="num" w:pos="2880"/>
        </w:tabs>
        <w:ind w:left="2880" w:hanging="360"/>
      </w:pPr>
      <w:rPr>
        <w:rFonts w:ascii="Symbol" w:hAnsi="Symbol"/>
      </w:rPr>
    </w:lvl>
    <w:lvl w:ilvl="4" w:tplc="B1F468DA">
      <w:start w:val="1"/>
      <w:numFmt w:val="bullet"/>
      <w:lvlText w:val="o"/>
      <w:lvlJc w:val="left"/>
      <w:pPr>
        <w:tabs>
          <w:tab w:val="num" w:pos="3600"/>
        </w:tabs>
        <w:ind w:left="3600" w:hanging="360"/>
      </w:pPr>
      <w:rPr>
        <w:rFonts w:ascii="Courier New" w:hAnsi="Courier New"/>
      </w:rPr>
    </w:lvl>
    <w:lvl w:ilvl="5" w:tplc="06A2E608">
      <w:start w:val="1"/>
      <w:numFmt w:val="bullet"/>
      <w:lvlText w:val=""/>
      <w:lvlJc w:val="left"/>
      <w:pPr>
        <w:tabs>
          <w:tab w:val="num" w:pos="4320"/>
        </w:tabs>
        <w:ind w:left="4320" w:hanging="360"/>
      </w:pPr>
      <w:rPr>
        <w:rFonts w:ascii="Wingdings" w:hAnsi="Wingdings"/>
      </w:rPr>
    </w:lvl>
    <w:lvl w:ilvl="6" w:tplc="78DE499A">
      <w:start w:val="1"/>
      <w:numFmt w:val="bullet"/>
      <w:lvlText w:val=""/>
      <w:lvlJc w:val="left"/>
      <w:pPr>
        <w:tabs>
          <w:tab w:val="num" w:pos="5040"/>
        </w:tabs>
        <w:ind w:left="5040" w:hanging="360"/>
      </w:pPr>
      <w:rPr>
        <w:rFonts w:ascii="Symbol" w:hAnsi="Symbol"/>
      </w:rPr>
    </w:lvl>
    <w:lvl w:ilvl="7" w:tplc="FD1000C6">
      <w:start w:val="1"/>
      <w:numFmt w:val="bullet"/>
      <w:lvlText w:val="o"/>
      <w:lvlJc w:val="left"/>
      <w:pPr>
        <w:tabs>
          <w:tab w:val="num" w:pos="5760"/>
        </w:tabs>
        <w:ind w:left="5760" w:hanging="360"/>
      </w:pPr>
      <w:rPr>
        <w:rFonts w:ascii="Courier New" w:hAnsi="Courier New"/>
      </w:rPr>
    </w:lvl>
    <w:lvl w:ilvl="8" w:tplc="0F3A8D50">
      <w:start w:val="1"/>
      <w:numFmt w:val="bullet"/>
      <w:lvlText w:val=""/>
      <w:lvlJc w:val="left"/>
      <w:pPr>
        <w:tabs>
          <w:tab w:val="num" w:pos="6480"/>
        </w:tabs>
        <w:ind w:left="6480" w:hanging="360"/>
      </w:pPr>
      <w:rPr>
        <w:rFonts w:ascii="Wingdings" w:hAnsi="Wingdings"/>
      </w:rPr>
    </w:lvl>
  </w:abstractNum>
  <w:abstractNum w:abstractNumId="120" w15:restartNumberingAfterBreak="0">
    <w:nsid w:val="7DF6282D"/>
    <w:multiLevelType w:val="hybridMultilevel"/>
    <w:tmpl w:val="7DF6282D"/>
    <w:lvl w:ilvl="0" w:tplc="70D07CF0">
      <w:start w:val="1"/>
      <w:numFmt w:val="bullet"/>
      <w:lvlText w:val=""/>
      <w:lvlJc w:val="left"/>
      <w:pPr>
        <w:tabs>
          <w:tab w:val="num" w:pos="720"/>
        </w:tabs>
        <w:ind w:left="720" w:hanging="360"/>
      </w:pPr>
      <w:rPr>
        <w:rFonts w:ascii="Symbol" w:hAnsi="Symbol"/>
      </w:rPr>
    </w:lvl>
    <w:lvl w:ilvl="1" w:tplc="A50EB6DA">
      <w:start w:val="1"/>
      <w:numFmt w:val="bullet"/>
      <w:lvlText w:val="o"/>
      <w:lvlJc w:val="left"/>
      <w:pPr>
        <w:tabs>
          <w:tab w:val="num" w:pos="1440"/>
        </w:tabs>
        <w:ind w:left="1440" w:hanging="360"/>
      </w:pPr>
      <w:rPr>
        <w:rFonts w:ascii="Courier New" w:hAnsi="Courier New"/>
      </w:rPr>
    </w:lvl>
    <w:lvl w:ilvl="2" w:tplc="5A82BCF0">
      <w:start w:val="1"/>
      <w:numFmt w:val="bullet"/>
      <w:lvlText w:val=""/>
      <w:lvlJc w:val="left"/>
      <w:pPr>
        <w:tabs>
          <w:tab w:val="num" w:pos="2160"/>
        </w:tabs>
        <w:ind w:left="2160" w:hanging="360"/>
      </w:pPr>
      <w:rPr>
        <w:rFonts w:ascii="Wingdings" w:hAnsi="Wingdings"/>
      </w:rPr>
    </w:lvl>
    <w:lvl w:ilvl="3" w:tplc="C436E276">
      <w:start w:val="1"/>
      <w:numFmt w:val="bullet"/>
      <w:lvlText w:val=""/>
      <w:lvlJc w:val="left"/>
      <w:pPr>
        <w:tabs>
          <w:tab w:val="num" w:pos="2880"/>
        </w:tabs>
        <w:ind w:left="2880" w:hanging="360"/>
      </w:pPr>
      <w:rPr>
        <w:rFonts w:ascii="Symbol" w:hAnsi="Symbol"/>
      </w:rPr>
    </w:lvl>
    <w:lvl w:ilvl="4" w:tplc="602015AE">
      <w:start w:val="1"/>
      <w:numFmt w:val="bullet"/>
      <w:lvlText w:val="o"/>
      <w:lvlJc w:val="left"/>
      <w:pPr>
        <w:tabs>
          <w:tab w:val="num" w:pos="3600"/>
        </w:tabs>
        <w:ind w:left="3600" w:hanging="360"/>
      </w:pPr>
      <w:rPr>
        <w:rFonts w:ascii="Courier New" w:hAnsi="Courier New"/>
      </w:rPr>
    </w:lvl>
    <w:lvl w:ilvl="5" w:tplc="2ADC866C">
      <w:start w:val="1"/>
      <w:numFmt w:val="bullet"/>
      <w:lvlText w:val=""/>
      <w:lvlJc w:val="left"/>
      <w:pPr>
        <w:tabs>
          <w:tab w:val="num" w:pos="4320"/>
        </w:tabs>
        <w:ind w:left="4320" w:hanging="360"/>
      </w:pPr>
      <w:rPr>
        <w:rFonts w:ascii="Wingdings" w:hAnsi="Wingdings"/>
      </w:rPr>
    </w:lvl>
    <w:lvl w:ilvl="6" w:tplc="3E58363C">
      <w:start w:val="1"/>
      <w:numFmt w:val="bullet"/>
      <w:lvlText w:val=""/>
      <w:lvlJc w:val="left"/>
      <w:pPr>
        <w:tabs>
          <w:tab w:val="num" w:pos="5040"/>
        </w:tabs>
        <w:ind w:left="5040" w:hanging="360"/>
      </w:pPr>
      <w:rPr>
        <w:rFonts w:ascii="Symbol" w:hAnsi="Symbol"/>
      </w:rPr>
    </w:lvl>
    <w:lvl w:ilvl="7" w:tplc="08C4CA66">
      <w:start w:val="1"/>
      <w:numFmt w:val="bullet"/>
      <w:lvlText w:val="o"/>
      <w:lvlJc w:val="left"/>
      <w:pPr>
        <w:tabs>
          <w:tab w:val="num" w:pos="5760"/>
        </w:tabs>
        <w:ind w:left="5760" w:hanging="360"/>
      </w:pPr>
      <w:rPr>
        <w:rFonts w:ascii="Courier New" w:hAnsi="Courier New"/>
      </w:rPr>
    </w:lvl>
    <w:lvl w:ilvl="8" w:tplc="47D633EC">
      <w:start w:val="1"/>
      <w:numFmt w:val="bullet"/>
      <w:lvlText w:val=""/>
      <w:lvlJc w:val="left"/>
      <w:pPr>
        <w:tabs>
          <w:tab w:val="num" w:pos="6480"/>
        </w:tabs>
        <w:ind w:left="6480" w:hanging="360"/>
      </w:pPr>
      <w:rPr>
        <w:rFonts w:ascii="Wingdings" w:hAnsi="Wingdings"/>
      </w:rPr>
    </w:lvl>
  </w:abstractNum>
  <w:abstractNum w:abstractNumId="121" w15:restartNumberingAfterBreak="0">
    <w:nsid w:val="7DF6282E"/>
    <w:multiLevelType w:val="hybridMultilevel"/>
    <w:tmpl w:val="7DF6282E"/>
    <w:lvl w:ilvl="0" w:tplc="983811EE">
      <w:start w:val="1"/>
      <w:numFmt w:val="bullet"/>
      <w:lvlText w:val=""/>
      <w:lvlJc w:val="left"/>
      <w:pPr>
        <w:tabs>
          <w:tab w:val="num" w:pos="720"/>
        </w:tabs>
        <w:ind w:left="720" w:hanging="360"/>
      </w:pPr>
      <w:rPr>
        <w:rFonts w:ascii="Symbol" w:hAnsi="Symbol"/>
      </w:rPr>
    </w:lvl>
    <w:lvl w:ilvl="1" w:tplc="2FB23B5A">
      <w:start w:val="1"/>
      <w:numFmt w:val="bullet"/>
      <w:lvlText w:val="o"/>
      <w:lvlJc w:val="left"/>
      <w:pPr>
        <w:tabs>
          <w:tab w:val="num" w:pos="1440"/>
        </w:tabs>
        <w:ind w:left="1440" w:hanging="360"/>
      </w:pPr>
      <w:rPr>
        <w:rFonts w:ascii="Courier New" w:hAnsi="Courier New"/>
      </w:rPr>
    </w:lvl>
    <w:lvl w:ilvl="2" w:tplc="38BAB33A">
      <w:start w:val="1"/>
      <w:numFmt w:val="bullet"/>
      <w:lvlText w:val=""/>
      <w:lvlJc w:val="left"/>
      <w:pPr>
        <w:tabs>
          <w:tab w:val="num" w:pos="2160"/>
        </w:tabs>
        <w:ind w:left="2160" w:hanging="360"/>
      </w:pPr>
      <w:rPr>
        <w:rFonts w:ascii="Wingdings" w:hAnsi="Wingdings"/>
      </w:rPr>
    </w:lvl>
    <w:lvl w:ilvl="3" w:tplc="449EEE54">
      <w:start w:val="1"/>
      <w:numFmt w:val="bullet"/>
      <w:lvlText w:val=""/>
      <w:lvlJc w:val="left"/>
      <w:pPr>
        <w:tabs>
          <w:tab w:val="num" w:pos="2880"/>
        </w:tabs>
        <w:ind w:left="2880" w:hanging="360"/>
      </w:pPr>
      <w:rPr>
        <w:rFonts w:ascii="Symbol" w:hAnsi="Symbol"/>
      </w:rPr>
    </w:lvl>
    <w:lvl w:ilvl="4" w:tplc="9A90F000">
      <w:start w:val="1"/>
      <w:numFmt w:val="bullet"/>
      <w:lvlText w:val="o"/>
      <w:lvlJc w:val="left"/>
      <w:pPr>
        <w:tabs>
          <w:tab w:val="num" w:pos="3600"/>
        </w:tabs>
        <w:ind w:left="3600" w:hanging="360"/>
      </w:pPr>
      <w:rPr>
        <w:rFonts w:ascii="Courier New" w:hAnsi="Courier New"/>
      </w:rPr>
    </w:lvl>
    <w:lvl w:ilvl="5" w:tplc="C9AEA4AA">
      <w:start w:val="1"/>
      <w:numFmt w:val="bullet"/>
      <w:lvlText w:val=""/>
      <w:lvlJc w:val="left"/>
      <w:pPr>
        <w:tabs>
          <w:tab w:val="num" w:pos="4320"/>
        </w:tabs>
        <w:ind w:left="4320" w:hanging="360"/>
      </w:pPr>
      <w:rPr>
        <w:rFonts w:ascii="Wingdings" w:hAnsi="Wingdings"/>
      </w:rPr>
    </w:lvl>
    <w:lvl w:ilvl="6" w:tplc="A47CACDA">
      <w:start w:val="1"/>
      <w:numFmt w:val="bullet"/>
      <w:lvlText w:val=""/>
      <w:lvlJc w:val="left"/>
      <w:pPr>
        <w:tabs>
          <w:tab w:val="num" w:pos="5040"/>
        </w:tabs>
        <w:ind w:left="5040" w:hanging="360"/>
      </w:pPr>
      <w:rPr>
        <w:rFonts w:ascii="Symbol" w:hAnsi="Symbol"/>
      </w:rPr>
    </w:lvl>
    <w:lvl w:ilvl="7" w:tplc="C72444B8">
      <w:start w:val="1"/>
      <w:numFmt w:val="bullet"/>
      <w:lvlText w:val="o"/>
      <w:lvlJc w:val="left"/>
      <w:pPr>
        <w:tabs>
          <w:tab w:val="num" w:pos="5760"/>
        </w:tabs>
        <w:ind w:left="5760" w:hanging="360"/>
      </w:pPr>
      <w:rPr>
        <w:rFonts w:ascii="Courier New" w:hAnsi="Courier New"/>
      </w:rPr>
    </w:lvl>
    <w:lvl w:ilvl="8" w:tplc="CF881620">
      <w:start w:val="1"/>
      <w:numFmt w:val="bullet"/>
      <w:lvlText w:val=""/>
      <w:lvlJc w:val="left"/>
      <w:pPr>
        <w:tabs>
          <w:tab w:val="num" w:pos="6480"/>
        </w:tabs>
        <w:ind w:left="6480" w:hanging="360"/>
      </w:pPr>
      <w:rPr>
        <w:rFonts w:ascii="Wingdings" w:hAnsi="Wingdings"/>
      </w:rPr>
    </w:lvl>
  </w:abstractNum>
  <w:abstractNum w:abstractNumId="122" w15:restartNumberingAfterBreak="0">
    <w:nsid w:val="7DF6282F"/>
    <w:multiLevelType w:val="hybridMultilevel"/>
    <w:tmpl w:val="7DF6282F"/>
    <w:lvl w:ilvl="0" w:tplc="F3E8AEB2">
      <w:start w:val="1"/>
      <w:numFmt w:val="bullet"/>
      <w:lvlText w:val=""/>
      <w:lvlJc w:val="left"/>
      <w:pPr>
        <w:tabs>
          <w:tab w:val="num" w:pos="720"/>
        </w:tabs>
        <w:ind w:left="720" w:hanging="360"/>
      </w:pPr>
      <w:rPr>
        <w:rFonts w:ascii="Symbol" w:hAnsi="Symbol"/>
      </w:rPr>
    </w:lvl>
    <w:lvl w:ilvl="1" w:tplc="8C90DA54">
      <w:start w:val="1"/>
      <w:numFmt w:val="bullet"/>
      <w:lvlText w:val="o"/>
      <w:lvlJc w:val="left"/>
      <w:pPr>
        <w:tabs>
          <w:tab w:val="num" w:pos="1440"/>
        </w:tabs>
        <w:ind w:left="1440" w:hanging="360"/>
      </w:pPr>
      <w:rPr>
        <w:rFonts w:ascii="Courier New" w:hAnsi="Courier New"/>
      </w:rPr>
    </w:lvl>
    <w:lvl w:ilvl="2" w:tplc="8448405E">
      <w:start w:val="1"/>
      <w:numFmt w:val="bullet"/>
      <w:lvlText w:val=""/>
      <w:lvlJc w:val="left"/>
      <w:pPr>
        <w:tabs>
          <w:tab w:val="num" w:pos="2160"/>
        </w:tabs>
        <w:ind w:left="2160" w:hanging="360"/>
      </w:pPr>
      <w:rPr>
        <w:rFonts w:ascii="Wingdings" w:hAnsi="Wingdings"/>
      </w:rPr>
    </w:lvl>
    <w:lvl w:ilvl="3" w:tplc="BA0E3C2C">
      <w:start w:val="1"/>
      <w:numFmt w:val="bullet"/>
      <w:lvlText w:val=""/>
      <w:lvlJc w:val="left"/>
      <w:pPr>
        <w:tabs>
          <w:tab w:val="num" w:pos="2880"/>
        </w:tabs>
        <w:ind w:left="2880" w:hanging="360"/>
      </w:pPr>
      <w:rPr>
        <w:rFonts w:ascii="Symbol" w:hAnsi="Symbol"/>
      </w:rPr>
    </w:lvl>
    <w:lvl w:ilvl="4" w:tplc="E1784070">
      <w:start w:val="1"/>
      <w:numFmt w:val="bullet"/>
      <w:lvlText w:val="o"/>
      <w:lvlJc w:val="left"/>
      <w:pPr>
        <w:tabs>
          <w:tab w:val="num" w:pos="3600"/>
        </w:tabs>
        <w:ind w:left="3600" w:hanging="360"/>
      </w:pPr>
      <w:rPr>
        <w:rFonts w:ascii="Courier New" w:hAnsi="Courier New"/>
      </w:rPr>
    </w:lvl>
    <w:lvl w:ilvl="5" w:tplc="89F4B87C">
      <w:start w:val="1"/>
      <w:numFmt w:val="bullet"/>
      <w:lvlText w:val=""/>
      <w:lvlJc w:val="left"/>
      <w:pPr>
        <w:tabs>
          <w:tab w:val="num" w:pos="4320"/>
        </w:tabs>
        <w:ind w:left="4320" w:hanging="360"/>
      </w:pPr>
      <w:rPr>
        <w:rFonts w:ascii="Wingdings" w:hAnsi="Wingdings"/>
      </w:rPr>
    </w:lvl>
    <w:lvl w:ilvl="6" w:tplc="F41A50A8">
      <w:start w:val="1"/>
      <w:numFmt w:val="bullet"/>
      <w:lvlText w:val=""/>
      <w:lvlJc w:val="left"/>
      <w:pPr>
        <w:tabs>
          <w:tab w:val="num" w:pos="5040"/>
        </w:tabs>
        <w:ind w:left="5040" w:hanging="360"/>
      </w:pPr>
      <w:rPr>
        <w:rFonts w:ascii="Symbol" w:hAnsi="Symbol"/>
      </w:rPr>
    </w:lvl>
    <w:lvl w:ilvl="7" w:tplc="A0021CF4">
      <w:start w:val="1"/>
      <w:numFmt w:val="bullet"/>
      <w:lvlText w:val="o"/>
      <w:lvlJc w:val="left"/>
      <w:pPr>
        <w:tabs>
          <w:tab w:val="num" w:pos="5760"/>
        </w:tabs>
        <w:ind w:left="5760" w:hanging="360"/>
      </w:pPr>
      <w:rPr>
        <w:rFonts w:ascii="Courier New" w:hAnsi="Courier New"/>
      </w:rPr>
    </w:lvl>
    <w:lvl w:ilvl="8" w:tplc="05CE1026">
      <w:start w:val="1"/>
      <w:numFmt w:val="bullet"/>
      <w:lvlText w:val=""/>
      <w:lvlJc w:val="left"/>
      <w:pPr>
        <w:tabs>
          <w:tab w:val="num" w:pos="6480"/>
        </w:tabs>
        <w:ind w:left="6480" w:hanging="360"/>
      </w:pPr>
      <w:rPr>
        <w:rFonts w:ascii="Wingdings" w:hAnsi="Wingdings"/>
      </w:rPr>
    </w:lvl>
  </w:abstractNum>
  <w:abstractNum w:abstractNumId="123" w15:restartNumberingAfterBreak="0">
    <w:nsid w:val="7DF62830"/>
    <w:multiLevelType w:val="hybridMultilevel"/>
    <w:tmpl w:val="7DF62830"/>
    <w:lvl w:ilvl="0" w:tplc="65AC1694">
      <w:start w:val="1"/>
      <w:numFmt w:val="bullet"/>
      <w:lvlText w:val=""/>
      <w:lvlJc w:val="left"/>
      <w:pPr>
        <w:tabs>
          <w:tab w:val="num" w:pos="720"/>
        </w:tabs>
        <w:ind w:left="720" w:hanging="360"/>
      </w:pPr>
      <w:rPr>
        <w:rFonts w:ascii="Symbol" w:hAnsi="Symbol"/>
      </w:rPr>
    </w:lvl>
    <w:lvl w:ilvl="1" w:tplc="A1CEFD36">
      <w:start w:val="1"/>
      <w:numFmt w:val="bullet"/>
      <w:lvlText w:val="o"/>
      <w:lvlJc w:val="left"/>
      <w:pPr>
        <w:tabs>
          <w:tab w:val="num" w:pos="1440"/>
        </w:tabs>
        <w:ind w:left="1440" w:hanging="360"/>
      </w:pPr>
      <w:rPr>
        <w:rFonts w:ascii="Courier New" w:hAnsi="Courier New"/>
      </w:rPr>
    </w:lvl>
    <w:lvl w:ilvl="2" w:tplc="B59A43F4">
      <w:start w:val="1"/>
      <w:numFmt w:val="bullet"/>
      <w:lvlText w:val=""/>
      <w:lvlJc w:val="left"/>
      <w:pPr>
        <w:tabs>
          <w:tab w:val="num" w:pos="2160"/>
        </w:tabs>
        <w:ind w:left="2160" w:hanging="360"/>
      </w:pPr>
      <w:rPr>
        <w:rFonts w:ascii="Wingdings" w:hAnsi="Wingdings"/>
      </w:rPr>
    </w:lvl>
    <w:lvl w:ilvl="3" w:tplc="79448DFA">
      <w:start w:val="1"/>
      <w:numFmt w:val="bullet"/>
      <w:lvlText w:val=""/>
      <w:lvlJc w:val="left"/>
      <w:pPr>
        <w:tabs>
          <w:tab w:val="num" w:pos="2880"/>
        </w:tabs>
        <w:ind w:left="2880" w:hanging="360"/>
      </w:pPr>
      <w:rPr>
        <w:rFonts w:ascii="Symbol" w:hAnsi="Symbol"/>
      </w:rPr>
    </w:lvl>
    <w:lvl w:ilvl="4" w:tplc="4B7EA284">
      <w:start w:val="1"/>
      <w:numFmt w:val="bullet"/>
      <w:lvlText w:val="o"/>
      <w:lvlJc w:val="left"/>
      <w:pPr>
        <w:tabs>
          <w:tab w:val="num" w:pos="3600"/>
        </w:tabs>
        <w:ind w:left="3600" w:hanging="360"/>
      </w:pPr>
      <w:rPr>
        <w:rFonts w:ascii="Courier New" w:hAnsi="Courier New"/>
      </w:rPr>
    </w:lvl>
    <w:lvl w:ilvl="5" w:tplc="1AE2C17C">
      <w:start w:val="1"/>
      <w:numFmt w:val="bullet"/>
      <w:lvlText w:val=""/>
      <w:lvlJc w:val="left"/>
      <w:pPr>
        <w:tabs>
          <w:tab w:val="num" w:pos="4320"/>
        </w:tabs>
        <w:ind w:left="4320" w:hanging="360"/>
      </w:pPr>
      <w:rPr>
        <w:rFonts w:ascii="Wingdings" w:hAnsi="Wingdings"/>
      </w:rPr>
    </w:lvl>
    <w:lvl w:ilvl="6" w:tplc="5A7A653C">
      <w:start w:val="1"/>
      <w:numFmt w:val="bullet"/>
      <w:lvlText w:val=""/>
      <w:lvlJc w:val="left"/>
      <w:pPr>
        <w:tabs>
          <w:tab w:val="num" w:pos="5040"/>
        </w:tabs>
        <w:ind w:left="5040" w:hanging="360"/>
      </w:pPr>
      <w:rPr>
        <w:rFonts w:ascii="Symbol" w:hAnsi="Symbol"/>
      </w:rPr>
    </w:lvl>
    <w:lvl w:ilvl="7" w:tplc="4B4298E4">
      <w:start w:val="1"/>
      <w:numFmt w:val="bullet"/>
      <w:lvlText w:val="o"/>
      <w:lvlJc w:val="left"/>
      <w:pPr>
        <w:tabs>
          <w:tab w:val="num" w:pos="5760"/>
        </w:tabs>
        <w:ind w:left="5760" w:hanging="360"/>
      </w:pPr>
      <w:rPr>
        <w:rFonts w:ascii="Courier New" w:hAnsi="Courier New"/>
      </w:rPr>
    </w:lvl>
    <w:lvl w:ilvl="8" w:tplc="EA5EDC40">
      <w:start w:val="1"/>
      <w:numFmt w:val="bullet"/>
      <w:lvlText w:val=""/>
      <w:lvlJc w:val="left"/>
      <w:pPr>
        <w:tabs>
          <w:tab w:val="num" w:pos="6480"/>
        </w:tabs>
        <w:ind w:left="6480" w:hanging="360"/>
      </w:pPr>
      <w:rPr>
        <w:rFonts w:ascii="Wingdings" w:hAnsi="Wingdings"/>
      </w:rPr>
    </w:lvl>
  </w:abstractNum>
  <w:abstractNum w:abstractNumId="124" w15:restartNumberingAfterBreak="0">
    <w:nsid w:val="7DF62831"/>
    <w:multiLevelType w:val="hybridMultilevel"/>
    <w:tmpl w:val="7DF62831"/>
    <w:lvl w:ilvl="0" w:tplc="62A823C2">
      <w:start w:val="1"/>
      <w:numFmt w:val="bullet"/>
      <w:lvlText w:val=""/>
      <w:lvlJc w:val="left"/>
      <w:pPr>
        <w:tabs>
          <w:tab w:val="num" w:pos="720"/>
        </w:tabs>
        <w:ind w:left="720" w:hanging="360"/>
      </w:pPr>
      <w:rPr>
        <w:rFonts w:ascii="Symbol" w:hAnsi="Symbol"/>
      </w:rPr>
    </w:lvl>
    <w:lvl w:ilvl="1" w:tplc="370E73EC">
      <w:start w:val="1"/>
      <w:numFmt w:val="bullet"/>
      <w:lvlText w:val="o"/>
      <w:lvlJc w:val="left"/>
      <w:pPr>
        <w:tabs>
          <w:tab w:val="num" w:pos="1440"/>
        </w:tabs>
        <w:ind w:left="1440" w:hanging="360"/>
      </w:pPr>
      <w:rPr>
        <w:rFonts w:ascii="Courier New" w:hAnsi="Courier New"/>
      </w:rPr>
    </w:lvl>
    <w:lvl w:ilvl="2" w:tplc="81AC10FE">
      <w:start w:val="1"/>
      <w:numFmt w:val="bullet"/>
      <w:lvlText w:val=""/>
      <w:lvlJc w:val="left"/>
      <w:pPr>
        <w:tabs>
          <w:tab w:val="num" w:pos="2160"/>
        </w:tabs>
        <w:ind w:left="2160" w:hanging="360"/>
      </w:pPr>
      <w:rPr>
        <w:rFonts w:ascii="Wingdings" w:hAnsi="Wingdings"/>
      </w:rPr>
    </w:lvl>
    <w:lvl w:ilvl="3" w:tplc="2ED4C86E">
      <w:start w:val="1"/>
      <w:numFmt w:val="bullet"/>
      <w:lvlText w:val=""/>
      <w:lvlJc w:val="left"/>
      <w:pPr>
        <w:tabs>
          <w:tab w:val="num" w:pos="2880"/>
        </w:tabs>
        <w:ind w:left="2880" w:hanging="360"/>
      </w:pPr>
      <w:rPr>
        <w:rFonts w:ascii="Symbol" w:hAnsi="Symbol"/>
      </w:rPr>
    </w:lvl>
    <w:lvl w:ilvl="4" w:tplc="C178CE8C">
      <w:start w:val="1"/>
      <w:numFmt w:val="bullet"/>
      <w:lvlText w:val="o"/>
      <w:lvlJc w:val="left"/>
      <w:pPr>
        <w:tabs>
          <w:tab w:val="num" w:pos="3600"/>
        </w:tabs>
        <w:ind w:left="3600" w:hanging="360"/>
      </w:pPr>
      <w:rPr>
        <w:rFonts w:ascii="Courier New" w:hAnsi="Courier New"/>
      </w:rPr>
    </w:lvl>
    <w:lvl w:ilvl="5" w:tplc="473AEBFE">
      <w:start w:val="1"/>
      <w:numFmt w:val="bullet"/>
      <w:lvlText w:val=""/>
      <w:lvlJc w:val="left"/>
      <w:pPr>
        <w:tabs>
          <w:tab w:val="num" w:pos="4320"/>
        </w:tabs>
        <w:ind w:left="4320" w:hanging="360"/>
      </w:pPr>
      <w:rPr>
        <w:rFonts w:ascii="Wingdings" w:hAnsi="Wingdings"/>
      </w:rPr>
    </w:lvl>
    <w:lvl w:ilvl="6" w:tplc="10C0E728">
      <w:start w:val="1"/>
      <w:numFmt w:val="bullet"/>
      <w:lvlText w:val=""/>
      <w:lvlJc w:val="left"/>
      <w:pPr>
        <w:tabs>
          <w:tab w:val="num" w:pos="5040"/>
        </w:tabs>
        <w:ind w:left="5040" w:hanging="360"/>
      </w:pPr>
      <w:rPr>
        <w:rFonts w:ascii="Symbol" w:hAnsi="Symbol"/>
      </w:rPr>
    </w:lvl>
    <w:lvl w:ilvl="7" w:tplc="A9408B9A">
      <w:start w:val="1"/>
      <w:numFmt w:val="bullet"/>
      <w:lvlText w:val="o"/>
      <w:lvlJc w:val="left"/>
      <w:pPr>
        <w:tabs>
          <w:tab w:val="num" w:pos="5760"/>
        </w:tabs>
        <w:ind w:left="5760" w:hanging="360"/>
      </w:pPr>
      <w:rPr>
        <w:rFonts w:ascii="Courier New" w:hAnsi="Courier New"/>
      </w:rPr>
    </w:lvl>
    <w:lvl w:ilvl="8" w:tplc="0832E2FA">
      <w:start w:val="1"/>
      <w:numFmt w:val="bullet"/>
      <w:lvlText w:val=""/>
      <w:lvlJc w:val="left"/>
      <w:pPr>
        <w:tabs>
          <w:tab w:val="num" w:pos="6480"/>
        </w:tabs>
        <w:ind w:left="6480" w:hanging="360"/>
      </w:pPr>
      <w:rPr>
        <w:rFonts w:ascii="Wingdings" w:hAnsi="Wingdings"/>
      </w:rPr>
    </w:lvl>
  </w:abstractNum>
  <w:abstractNum w:abstractNumId="125" w15:restartNumberingAfterBreak="0">
    <w:nsid w:val="7DF62832"/>
    <w:multiLevelType w:val="hybridMultilevel"/>
    <w:tmpl w:val="7DF62832"/>
    <w:lvl w:ilvl="0" w:tplc="9FD0728E">
      <w:start w:val="1"/>
      <w:numFmt w:val="bullet"/>
      <w:lvlText w:val=""/>
      <w:lvlJc w:val="left"/>
      <w:pPr>
        <w:tabs>
          <w:tab w:val="num" w:pos="720"/>
        </w:tabs>
        <w:ind w:left="720" w:hanging="360"/>
      </w:pPr>
      <w:rPr>
        <w:rFonts w:ascii="Symbol" w:hAnsi="Symbol"/>
      </w:rPr>
    </w:lvl>
    <w:lvl w:ilvl="1" w:tplc="54ACA602">
      <w:start w:val="1"/>
      <w:numFmt w:val="bullet"/>
      <w:lvlText w:val="o"/>
      <w:lvlJc w:val="left"/>
      <w:pPr>
        <w:tabs>
          <w:tab w:val="num" w:pos="1440"/>
        </w:tabs>
        <w:ind w:left="1440" w:hanging="360"/>
      </w:pPr>
      <w:rPr>
        <w:rFonts w:ascii="Courier New" w:hAnsi="Courier New"/>
      </w:rPr>
    </w:lvl>
    <w:lvl w:ilvl="2" w:tplc="3196D73E">
      <w:start w:val="1"/>
      <w:numFmt w:val="bullet"/>
      <w:lvlText w:val=""/>
      <w:lvlJc w:val="left"/>
      <w:pPr>
        <w:tabs>
          <w:tab w:val="num" w:pos="2160"/>
        </w:tabs>
        <w:ind w:left="2160" w:hanging="360"/>
      </w:pPr>
      <w:rPr>
        <w:rFonts w:ascii="Wingdings" w:hAnsi="Wingdings"/>
      </w:rPr>
    </w:lvl>
    <w:lvl w:ilvl="3" w:tplc="E9CE0B18">
      <w:start w:val="1"/>
      <w:numFmt w:val="bullet"/>
      <w:lvlText w:val=""/>
      <w:lvlJc w:val="left"/>
      <w:pPr>
        <w:tabs>
          <w:tab w:val="num" w:pos="2880"/>
        </w:tabs>
        <w:ind w:left="2880" w:hanging="360"/>
      </w:pPr>
      <w:rPr>
        <w:rFonts w:ascii="Symbol" w:hAnsi="Symbol"/>
      </w:rPr>
    </w:lvl>
    <w:lvl w:ilvl="4" w:tplc="EAC8BC8C">
      <w:start w:val="1"/>
      <w:numFmt w:val="bullet"/>
      <w:lvlText w:val="o"/>
      <w:lvlJc w:val="left"/>
      <w:pPr>
        <w:tabs>
          <w:tab w:val="num" w:pos="3600"/>
        </w:tabs>
        <w:ind w:left="3600" w:hanging="360"/>
      </w:pPr>
      <w:rPr>
        <w:rFonts w:ascii="Courier New" w:hAnsi="Courier New"/>
      </w:rPr>
    </w:lvl>
    <w:lvl w:ilvl="5" w:tplc="D94A691E">
      <w:start w:val="1"/>
      <w:numFmt w:val="bullet"/>
      <w:lvlText w:val=""/>
      <w:lvlJc w:val="left"/>
      <w:pPr>
        <w:tabs>
          <w:tab w:val="num" w:pos="4320"/>
        </w:tabs>
        <w:ind w:left="4320" w:hanging="360"/>
      </w:pPr>
      <w:rPr>
        <w:rFonts w:ascii="Wingdings" w:hAnsi="Wingdings"/>
      </w:rPr>
    </w:lvl>
    <w:lvl w:ilvl="6" w:tplc="0FB4BCCC">
      <w:start w:val="1"/>
      <w:numFmt w:val="bullet"/>
      <w:lvlText w:val=""/>
      <w:lvlJc w:val="left"/>
      <w:pPr>
        <w:tabs>
          <w:tab w:val="num" w:pos="5040"/>
        </w:tabs>
        <w:ind w:left="5040" w:hanging="360"/>
      </w:pPr>
      <w:rPr>
        <w:rFonts w:ascii="Symbol" w:hAnsi="Symbol"/>
      </w:rPr>
    </w:lvl>
    <w:lvl w:ilvl="7" w:tplc="898669BC">
      <w:start w:val="1"/>
      <w:numFmt w:val="bullet"/>
      <w:lvlText w:val="o"/>
      <w:lvlJc w:val="left"/>
      <w:pPr>
        <w:tabs>
          <w:tab w:val="num" w:pos="5760"/>
        </w:tabs>
        <w:ind w:left="5760" w:hanging="360"/>
      </w:pPr>
      <w:rPr>
        <w:rFonts w:ascii="Courier New" w:hAnsi="Courier New"/>
      </w:rPr>
    </w:lvl>
    <w:lvl w:ilvl="8" w:tplc="C4465B3E">
      <w:start w:val="1"/>
      <w:numFmt w:val="bullet"/>
      <w:lvlText w:val=""/>
      <w:lvlJc w:val="left"/>
      <w:pPr>
        <w:tabs>
          <w:tab w:val="num" w:pos="6480"/>
        </w:tabs>
        <w:ind w:left="6480" w:hanging="360"/>
      </w:pPr>
      <w:rPr>
        <w:rFonts w:ascii="Wingdings" w:hAnsi="Wingdings"/>
      </w:rPr>
    </w:lvl>
  </w:abstractNum>
  <w:abstractNum w:abstractNumId="126" w15:restartNumberingAfterBreak="0">
    <w:nsid w:val="7DF62833"/>
    <w:multiLevelType w:val="hybridMultilevel"/>
    <w:tmpl w:val="7DF62833"/>
    <w:lvl w:ilvl="0" w:tplc="4416910A">
      <w:start w:val="1"/>
      <w:numFmt w:val="bullet"/>
      <w:lvlText w:val=""/>
      <w:lvlJc w:val="left"/>
      <w:pPr>
        <w:tabs>
          <w:tab w:val="num" w:pos="720"/>
        </w:tabs>
        <w:ind w:left="720" w:hanging="360"/>
      </w:pPr>
      <w:rPr>
        <w:rFonts w:ascii="Symbol" w:hAnsi="Symbol"/>
      </w:rPr>
    </w:lvl>
    <w:lvl w:ilvl="1" w:tplc="9370A584">
      <w:start w:val="1"/>
      <w:numFmt w:val="bullet"/>
      <w:lvlText w:val="o"/>
      <w:lvlJc w:val="left"/>
      <w:pPr>
        <w:tabs>
          <w:tab w:val="num" w:pos="1440"/>
        </w:tabs>
        <w:ind w:left="1440" w:hanging="360"/>
      </w:pPr>
      <w:rPr>
        <w:rFonts w:ascii="Courier New" w:hAnsi="Courier New"/>
      </w:rPr>
    </w:lvl>
    <w:lvl w:ilvl="2" w:tplc="417A76B4">
      <w:start w:val="1"/>
      <w:numFmt w:val="bullet"/>
      <w:lvlText w:val=""/>
      <w:lvlJc w:val="left"/>
      <w:pPr>
        <w:tabs>
          <w:tab w:val="num" w:pos="2160"/>
        </w:tabs>
        <w:ind w:left="2160" w:hanging="360"/>
      </w:pPr>
      <w:rPr>
        <w:rFonts w:ascii="Wingdings" w:hAnsi="Wingdings"/>
      </w:rPr>
    </w:lvl>
    <w:lvl w:ilvl="3" w:tplc="4B8A6196">
      <w:start w:val="1"/>
      <w:numFmt w:val="bullet"/>
      <w:lvlText w:val=""/>
      <w:lvlJc w:val="left"/>
      <w:pPr>
        <w:tabs>
          <w:tab w:val="num" w:pos="2880"/>
        </w:tabs>
        <w:ind w:left="2880" w:hanging="360"/>
      </w:pPr>
      <w:rPr>
        <w:rFonts w:ascii="Symbol" w:hAnsi="Symbol"/>
      </w:rPr>
    </w:lvl>
    <w:lvl w:ilvl="4" w:tplc="1C0AF6C8">
      <w:start w:val="1"/>
      <w:numFmt w:val="bullet"/>
      <w:lvlText w:val="o"/>
      <w:lvlJc w:val="left"/>
      <w:pPr>
        <w:tabs>
          <w:tab w:val="num" w:pos="3600"/>
        </w:tabs>
        <w:ind w:left="3600" w:hanging="360"/>
      </w:pPr>
      <w:rPr>
        <w:rFonts w:ascii="Courier New" w:hAnsi="Courier New"/>
      </w:rPr>
    </w:lvl>
    <w:lvl w:ilvl="5" w:tplc="E0EC67EA">
      <w:start w:val="1"/>
      <w:numFmt w:val="bullet"/>
      <w:lvlText w:val=""/>
      <w:lvlJc w:val="left"/>
      <w:pPr>
        <w:tabs>
          <w:tab w:val="num" w:pos="4320"/>
        </w:tabs>
        <w:ind w:left="4320" w:hanging="360"/>
      </w:pPr>
      <w:rPr>
        <w:rFonts w:ascii="Wingdings" w:hAnsi="Wingdings"/>
      </w:rPr>
    </w:lvl>
    <w:lvl w:ilvl="6" w:tplc="E078DD02">
      <w:start w:val="1"/>
      <w:numFmt w:val="bullet"/>
      <w:lvlText w:val=""/>
      <w:lvlJc w:val="left"/>
      <w:pPr>
        <w:tabs>
          <w:tab w:val="num" w:pos="5040"/>
        </w:tabs>
        <w:ind w:left="5040" w:hanging="360"/>
      </w:pPr>
      <w:rPr>
        <w:rFonts w:ascii="Symbol" w:hAnsi="Symbol"/>
      </w:rPr>
    </w:lvl>
    <w:lvl w:ilvl="7" w:tplc="4786449C">
      <w:start w:val="1"/>
      <w:numFmt w:val="bullet"/>
      <w:lvlText w:val="o"/>
      <w:lvlJc w:val="left"/>
      <w:pPr>
        <w:tabs>
          <w:tab w:val="num" w:pos="5760"/>
        </w:tabs>
        <w:ind w:left="5760" w:hanging="360"/>
      </w:pPr>
      <w:rPr>
        <w:rFonts w:ascii="Courier New" w:hAnsi="Courier New"/>
      </w:rPr>
    </w:lvl>
    <w:lvl w:ilvl="8" w:tplc="679A1C7C">
      <w:start w:val="1"/>
      <w:numFmt w:val="bullet"/>
      <w:lvlText w:val=""/>
      <w:lvlJc w:val="left"/>
      <w:pPr>
        <w:tabs>
          <w:tab w:val="num" w:pos="6480"/>
        </w:tabs>
        <w:ind w:left="6480" w:hanging="360"/>
      </w:pPr>
      <w:rPr>
        <w:rFonts w:ascii="Wingdings" w:hAnsi="Wingdings"/>
      </w:rPr>
    </w:lvl>
  </w:abstractNum>
  <w:abstractNum w:abstractNumId="127" w15:restartNumberingAfterBreak="0">
    <w:nsid w:val="7DF62834"/>
    <w:multiLevelType w:val="multilevel"/>
    <w:tmpl w:val="7DF628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DF62835"/>
    <w:multiLevelType w:val="hybridMultilevel"/>
    <w:tmpl w:val="7DF62835"/>
    <w:lvl w:ilvl="0" w:tplc="6D5E29B8">
      <w:start w:val="1"/>
      <w:numFmt w:val="bullet"/>
      <w:lvlText w:val=""/>
      <w:lvlJc w:val="left"/>
      <w:pPr>
        <w:tabs>
          <w:tab w:val="num" w:pos="720"/>
        </w:tabs>
        <w:ind w:left="720" w:hanging="360"/>
      </w:pPr>
      <w:rPr>
        <w:rFonts w:ascii="Symbol" w:hAnsi="Symbol"/>
      </w:rPr>
    </w:lvl>
    <w:lvl w:ilvl="1" w:tplc="DEAC03EA">
      <w:start w:val="1"/>
      <w:numFmt w:val="bullet"/>
      <w:lvlText w:val="o"/>
      <w:lvlJc w:val="left"/>
      <w:pPr>
        <w:tabs>
          <w:tab w:val="num" w:pos="1440"/>
        </w:tabs>
        <w:ind w:left="1440" w:hanging="360"/>
      </w:pPr>
      <w:rPr>
        <w:rFonts w:ascii="Courier New" w:hAnsi="Courier New"/>
      </w:rPr>
    </w:lvl>
    <w:lvl w:ilvl="2" w:tplc="A26EC5BC">
      <w:start w:val="1"/>
      <w:numFmt w:val="bullet"/>
      <w:lvlText w:val=""/>
      <w:lvlJc w:val="left"/>
      <w:pPr>
        <w:tabs>
          <w:tab w:val="num" w:pos="2160"/>
        </w:tabs>
        <w:ind w:left="2160" w:hanging="360"/>
      </w:pPr>
      <w:rPr>
        <w:rFonts w:ascii="Wingdings" w:hAnsi="Wingdings"/>
      </w:rPr>
    </w:lvl>
    <w:lvl w:ilvl="3" w:tplc="656E86BE">
      <w:start w:val="1"/>
      <w:numFmt w:val="bullet"/>
      <w:lvlText w:val=""/>
      <w:lvlJc w:val="left"/>
      <w:pPr>
        <w:tabs>
          <w:tab w:val="num" w:pos="2880"/>
        </w:tabs>
        <w:ind w:left="2880" w:hanging="360"/>
      </w:pPr>
      <w:rPr>
        <w:rFonts w:ascii="Symbol" w:hAnsi="Symbol"/>
      </w:rPr>
    </w:lvl>
    <w:lvl w:ilvl="4" w:tplc="87E4E150">
      <w:start w:val="1"/>
      <w:numFmt w:val="bullet"/>
      <w:lvlText w:val="o"/>
      <w:lvlJc w:val="left"/>
      <w:pPr>
        <w:tabs>
          <w:tab w:val="num" w:pos="3600"/>
        </w:tabs>
        <w:ind w:left="3600" w:hanging="360"/>
      </w:pPr>
      <w:rPr>
        <w:rFonts w:ascii="Courier New" w:hAnsi="Courier New"/>
      </w:rPr>
    </w:lvl>
    <w:lvl w:ilvl="5" w:tplc="3CCA98C2">
      <w:start w:val="1"/>
      <w:numFmt w:val="bullet"/>
      <w:lvlText w:val=""/>
      <w:lvlJc w:val="left"/>
      <w:pPr>
        <w:tabs>
          <w:tab w:val="num" w:pos="4320"/>
        </w:tabs>
        <w:ind w:left="4320" w:hanging="360"/>
      </w:pPr>
      <w:rPr>
        <w:rFonts w:ascii="Wingdings" w:hAnsi="Wingdings"/>
      </w:rPr>
    </w:lvl>
    <w:lvl w:ilvl="6" w:tplc="D4C4F490">
      <w:start w:val="1"/>
      <w:numFmt w:val="bullet"/>
      <w:lvlText w:val=""/>
      <w:lvlJc w:val="left"/>
      <w:pPr>
        <w:tabs>
          <w:tab w:val="num" w:pos="5040"/>
        </w:tabs>
        <w:ind w:left="5040" w:hanging="360"/>
      </w:pPr>
      <w:rPr>
        <w:rFonts w:ascii="Symbol" w:hAnsi="Symbol"/>
      </w:rPr>
    </w:lvl>
    <w:lvl w:ilvl="7" w:tplc="FD0C75C4">
      <w:start w:val="1"/>
      <w:numFmt w:val="bullet"/>
      <w:lvlText w:val="o"/>
      <w:lvlJc w:val="left"/>
      <w:pPr>
        <w:tabs>
          <w:tab w:val="num" w:pos="5760"/>
        </w:tabs>
        <w:ind w:left="5760" w:hanging="360"/>
      </w:pPr>
      <w:rPr>
        <w:rFonts w:ascii="Courier New" w:hAnsi="Courier New"/>
      </w:rPr>
    </w:lvl>
    <w:lvl w:ilvl="8" w:tplc="802CBC48">
      <w:start w:val="1"/>
      <w:numFmt w:val="bullet"/>
      <w:lvlText w:val=""/>
      <w:lvlJc w:val="left"/>
      <w:pPr>
        <w:tabs>
          <w:tab w:val="num" w:pos="6480"/>
        </w:tabs>
        <w:ind w:left="6480" w:hanging="360"/>
      </w:pPr>
      <w:rPr>
        <w:rFonts w:ascii="Wingdings" w:hAnsi="Wingdings"/>
      </w:rPr>
    </w:lvl>
  </w:abstractNum>
  <w:abstractNum w:abstractNumId="129" w15:restartNumberingAfterBreak="0">
    <w:nsid w:val="7DF62836"/>
    <w:multiLevelType w:val="hybridMultilevel"/>
    <w:tmpl w:val="7DF62836"/>
    <w:lvl w:ilvl="0" w:tplc="E1809A10">
      <w:start w:val="1"/>
      <w:numFmt w:val="bullet"/>
      <w:lvlText w:val=""/>
      <w:lvlJc w:val="left"/>
      <w:pPr>
        <w:tabs>
          <w:tab w:val="num" w:pos="720"/>
        </w:tabs>
        <w:ind w:left="720" w:hanging="360"/>
      </w:pPr>
      <w:rPr>
        <w:rFonts w:ascii="Symbol" w:hAnsi="Symbol"/>
      </w:rPr>
    </w:lvl>
    <w:lvl w:ilvl="1" w:tplc="F5C4F886">
      <w:start w:val="1"/>
      <w:numFmt w:val="bullet"/>
      <w:lvlText w:val="o"/>
      <w:lvlJc w:val="left"/>
      <w:pPr>
        <w:tabs>
          <w:tab w:val="num" w:pos="1440"/>
        </w:tabs>
        <w:ind w:left="1440" w:hanging="360"/>
      </w:pPr>
      <w:rPr>
        <w:rFonts w:ascii="Courier New" w:hAnsi="Courier New"/>
      </w:rPr>
    </w:lvl>
    <w:lvl w:ilvl="2" w:tplc="E8D82A04">
      <w:start w:val="1"/>
      <w:numFmt w:val="bullet"/>
      <w:lvlText w:val=""/>
      <w:lvlJc w:val="left"/>
      <w:pPr>
        <w:tabs>
          <w:tab w:val="num" w:pos="2160"/>
        </w:tabs>
        <w:ind w:left="2160" w:hanging="360"/>
      </w:pPr>
      <w:rPr>
        <w:rFonts w:ascii="Wingdings" w:hAnsi="Wingdings"/>
      </w:rPr>
    </w:lvl>
    <w:lvl w:ilvl="3" w:tplc="27E83DD6">
      <w:start w:val="1"/>
      <w:numFmt w:val="bullet"/>
      <w:lvlText w:val=""/>
      <w:lvlJc w:val="left"/>
      <w:pPr>
        <w:tabs>
          <w:tab w:val="num" w:pos="2880"/>
        </w:tabs>
        <w:ind w:left="2880" w:hanging="360"/>
      </w:pPr>
      <w:rPr>
        <w:rFonts w:ascii="Symbol" w:hAnsi="Symbol"/>
      </w:rPr>
    </w:lvl>
    <w:lvl w:ilvl="4" w:tplc="9670F1E8">
      <w:start w:val="1"/>
      <w:numFmt w:val="bullet"/>
      <w:lvlText w:val="o"/>
      <w:lvlJc w:val="left"/>
      <w:pPr>
        <w:tabs>
          <w:tab w:val="num" w:pos="3600"/>
        </w:tabs>
        <w:ind w:left="3600" w:hanging="360"/>
      </w:pPr>
      <w:rPr>
        <w:rFonts w:ascii="Courier New" w:hAnsi="Courier New"/>
      </w:rPr>
    </w:lvl>
    <w:lvl w:ilvl="5" w:tplc="0CC6450A">
      <w:start w:val="1"/>
      <w:numFmt w:val="bullet"/>
      <w:lvlText w:val=""/>
      <w:lvlJc w:val="left"/>
      <w:pPr>
        <w:tabs>
          <w:tab w:val="num" w:pos="4320"/>
        </w:tabs>
        <w:ind w:left="4320" w:hanging="360"/>
      </w:pPr>
      <w:rPr>
        <w:rFonts w:ascii="Wingdings" w:hAnsi="Wingdings"/>
      </w:rPr>
    </w:lvl>
    <w:lvl w:ilvl="6" w:tplc="04FC9398">
      <w:start w:val="1"/>
      <w:numFmt w:val="bullet"/>
      <w:lvlText w:val=""/>
      <w:lvlJc w:val="left"/>
      <w:pPr>
        <w:tabs>
          <w:tab w:val="num" w:pos="5040"/>
        </w:tabs>
        <w:ind w:left="5040" w:hanging="360"/>
      </w:pPr>
      <w:rPr>
        <w:rFonts w:ascii="Symbol" w:hAnsi="Symbol"/>
      </w:rPr>
    </w:lvl>
    <w:lvl w:ilvl="7" w:tplc="BCCEE45A">
      <w:start w:val="1"/>
      <w:numFmt w:val="bullet"/>
      <w:lvlText w:val="o"/>
      <w:lvlJc w:val="left"/>
      <w:pPr>
        <w:tabs>
          <w:tab w:val="num" w:pos="5760"/>
        </w:tabs>
        <w:ind w:left="5760" w:hanging="360"/>
      </w:pPr>
      <w:rPr>
        <w:rFonts w:ascii="Courier New" w:hAnsi="Courier New"/>
      </w:rPr>
    </w:lvl>
    <w:lvl w:ilvl="8" w:tplc="D3645026">
      <w:start w:val="1"/>
      <w:numFmt w:val="bullet"/>
      <w:lvlText w:val=""/>
      <w:lvlJc w:val="left"/>
      <w:pPr>
        <w:tabs>
          <w:tab w:val="num" w:pos="6480"/>
        </w:tabs>
        <w:ind w:left="6480" w:hanging="360"/>
      </w:pPr>
      <w:rPr>
        <w:rFonts w:ascii="Wingdings" w:hAnsi="Wingdings"/>
      </w:rPr>
    </w:lvl>
  </w:abstractNum>
  <w:abstractNum w:abstractNumId="130" w15:restartNumberingAfterBreak="0">
    <w:nsid w:val="7DF62837"/>
    <w:multiLevelType w:val="hybridMultilevel"/>
    <w:tmpl w:val="7DF62837"/>
    <w:lvl w:ilvl="0" w:tplc="D24A0CCE">
      <w:start w:val="1"/>
      <w:numFmt w:val="bullet"/>
      <w:lvlText w:val=""/>
      <w:lvlJc w:val="left"/>
      <w:pPr>
        <w:tabs>
          <w:tab w:val="num" w:pos="720"/>
        </w:tabs>
        <w:ind w:left="720" w:hanging="360"/>
      </w:pPr>
      <w:rPr>
        <w:rFonts w:ascii="Symbol" w:hAnsi="Symbol"/>
      </w:rPr>
    </w:lvl>
    <w:lvl w:ilvl="1" w:tplc="8396A442">
      <w:start w:val="1"/>
      <w:numFmt w:val="bullet"/>
      <w:lvlText w:val="o"/>
      <w:lvlJc w:val="left"/>
      <w:pPr>
        <w:tabs>
          <w:tab w:val="num" w:pos="1440"/>
        </w:tabs>
        <w:ind w:left="1440" w:hanging="360"/>
      </w:pPr>
      <w:rPr>
        <w:rFonts w:ascii="Courier New" w:hAnsi="Courier New"/>
      </w:rPr>
    </w:lvl>
    <w:lvl w:ilvl="2" w:tplc="F724C48C">
      <w:start w:val="1"/>
      <w:numFmt w:val="bullet"/>
      <w:lvlText w:val=""/>
      <w:lvlJc w:val="left"/>
      <w:pPr>
        <w:tabs>
          <w:tab w:val="num" w:pos="2160"/>
        </w:tabs>
        <w:ind w:left="2160" w:hanging="360"/>
      </w:pPr>
      <w:rPr>
        <w:rFonts w:ascii="Wingdings" w:hAnsi="Wingdings"/>
      </w:rPr>
    </w:lvl>
    <w:lvl w:ilvl="3" w:tplc="EAF698DE">
      <w:start w:val="1"/>
      <w:numFmt w:val="bullet"/>
      <w:lvlText w:val=""/>
      <w:lvlJc w:val="left"/>
      <w:pPr>
        <w:tabs>
          <w:tab w:val="num" w:pos="2880"/>
        </w:tabs>
        <w:ind w:left="2880" w:hanging="360"/>
      </w:pPr>
      <w:rPr>
        <w:rFonts w:ascii="Symbol" w:hAnsi="Symbol"/>
      </w:rPr>
    </w:lvl>
    <w:lvl w:ilvl="4" w:tplc="09D800F4">
      <w:start w:val="1"/>
      <w:numFmt w:val="bullet"/>
      <w:lvlText w:val="o"/>
      <w:lvlJc w:val="left"/>
      <w:pPr>
        <w:tabs>
          <w:tab w:val="num" w:pos="3600"/>
        </w:tabs>
        <w:ind w:left="3600" w:hanging="360"/>
      </w:pPr>
      <w:rPr>
        <w:rFonts w:ascii="Courier New" w:hAnsi="Courier New"/>
      </w:rPr>
    </w:lvl>
    <w:lvl w:ilvl="5" w:tplc="0680BDA6">
      <w:start w:val="1"/>
      <w:numFmt w:val="bullet"/>
      <w:lvlText w:val=""/>
      <w:lvlJc w:val="left"/>
      <w:pPr>
        <w:tabs>
          <w:tab w:val="num" w:pos="4320"/>
        </w:tabs>
        <w:ind w:left="4320" w:hanging="360"/>
      </w:pPr>
      <w:rPr>
        <w:rFonts w:ascii="Wingdings" w:hAnsi="Wingdings"/>
      </w:rPr>
    </w:lvl>
    <w:lvl w:ilvl="6" w:tplc="0FB4C840">
      <w:start w:val="1"/>
      <w:numFmt w:val="bullet"/>
      <w:lvlText w:val=""/>
      <w:lvlJc w:val="left"/>
      <w:pPr>
        <w:tabs>
          <w:tab w:val="num" w:pos="5040"/>
        </w:tabs>
        <w:ind w:left="5040" w:hanging="360"/>
      </w:pPr>
      <w:rPr>
        <w:rFonts w:ascii="Symbol" w:hAnsi="Symbol"/>
      </w:rPr>
    </w:lvl>
    <w:lvl w:ilvl="7" w:tplc="D1E4B154">
      <w:start w:val="1"/>
      <w:numFmt w:val="bullet"/>
      <w:lvlText w:val="o"/>
      <w:lvlJc w:val="left"/>
      <w:pPr>
        <w:tabs>
          <w:tab w:val="num" w:pos="5760"/>
        </w:tabs>
        <w:ind w:left="5760" w:hanging="360"/>
      </w:pPr>
      <w:rPr>
        <w:rFonts w:ascii="Courier New" w:hAnsi="Courier New"/>
      </w:rPr>
    </w:lvl>
    <w:lvl w:ilvl="8" w:tplc="6D060D5C">
      <w:start w:val="1"/>
      <w:numFmt w:val="bullet"/>
      <w:lvlText w:val=""/>
      <w:lvlJc w:val="left"/>
      <w:pPr>
        <w:tabs>
          <w:tab w:val="num" w:pos="6480"/>
        </w:tabs>
        <w:ind w:left="6480" w:hanging="360"/>
      </w:pPr>
      <w:rPr>
        <w:rFonts w:ascii="Wingdings" w:hAnsi="Wingdings"/>
      </w:rPr>
    </w:lvl>
  </w:abstractNum>
  <w:abstractNum w:abstractNumId="131" w15:restartNumberingAfterBreak="0">
    <w:nsid w:val="7DF62838"/>
    <w:multiLevelType w:val="hybridMultilevel"/>
    <w:tmpl w:val="7DF62838"/>
    <w:lvl w:ilvl="0" w:tplc="C454732C">
      <w:start w:val="1"/>
      <w:numFmt w:val="bullet"/>
      <w:lvlText w:val=""/>
      <w:lvlJc w:val="left"/>
      <w:pPr>
        <w:tabs>
          <w:tab w:val="num" w:pos="720"/>
        </w:tabs>
        <w:ind w:left="720" w:hanging="360"/>
      </w:pPr>
      <w:rPr>
        <w:rFonts w:ascii="Symbol" w:hAnsi="Symbol"/>
      </w:rPr>
    </w:lvl>
    <w:lvl w:ilvl="1" w:tplc="E92CD8E0">
      <w:start w:val="1"/>
      <w:numFmt w:val="bullet"/>
      <w:lvlText w:val="o"/>
      <w:lvlJc w:val="left"/>
      <w:pPr>
        <w:tabs>
          <w:tab w:val="num" w:pos="1440"/>
        </w:tabs>
        <w:ind w:left="1440" w:hanging="360"/>
      </w:pPr>
      <w:rPr>
        <w:rFonts w:ascii="Courier New" w:hAnsi="Courier New"/>
      </w:rPr>
    </w:lvl>
    <w:lvl w:ilvl="2" w:tplc="AD981142">
      <w:start w:val="1"/>
      <w:numFmt w:val="bullet"/>
      <w:lvlText w:val=""/>
      <w:lvlJc w:val="left"/>
      <w:pPr>
        <w:tabs>
          <w:tab w:val="num" w:pos="2160"/>
        </w:tabs>
        <w:ind w:left="2160" w:hanging="360"/>
      </w:pPr>
      <w:rPr>
        <w:rFonts w:ascii="Wingdings" w:hAnsi="Wingdings"/>
      </w:rPr>
    </w:lvl>
    <w:lvl w:ilvl="3" w:tplc="8AD6C45A">
      <w:start w:val="1"/>
      <w:numFmt w:val="bullet"/>
      <w:lvlText w:val=""/>
      <w:lvlJc w:val="left"/>
      <w:pPr>
        <w:tabs>
          <w:tab w:val="num" w:pos="2880"/>
        </w:tabs>
        <w:ind w:left="2880" w:hanging="360"/>
      </w:pPr>
      <w:rPr>
        <w:rFonts w:ascii="Symbol" w:hAnsi="Symbol"/>
      </w:rPr>
    </w:lvl>
    <w:lvl w:ilvl="4" w:tplc="64F210B4">
      <w:start w:val="1"/>
      <w:numFmt w:val="bullet"/>
      <w:lvlText w:val="o"/>
      <w:lvlJc w:val="left"/>
      <w:pPr>
        <w:tabs>
          <w:tab w:val="num" w:pos="3600"/>
        </w:tabs>
        <w:ind w:left="3600" w:hanging="360"/>
      </w:pPr>
      <w:rPr>
        <w:rFonts w:ascii="Courier New" w:hAnsi="Courier New"/>
      </w:rPr>
    </w:lvl>
    <w:lvl w:ilvl="5" w:tplc="4008D458">
      <w:start w:val="1"/>
      <w:numFmt w:val="bullet"/>
      <w:lvlText w:val=""/>
      <w:lvlJc w:val="left"/>
      <w:pPr>
        <w:tabs>
          <w:tab w:val="num" w:pos="4320"/>
        </w:tabs>
        <w:ind w:left="4320" w:hanging="360"/>
      </w:pPr>
      <w:rPr>
        <w:rFonts w:ascii="Wingdings" w:hAnsi="Wingdings"/>
      </w:rPr>
    </w:lvl>
    <w:lvl w:ilvl="6" w:tplc="CEFE8F2C">
      <w:start w:val="1"/>
      <w:numFmt w:val="bullet"/>
      <w:lvlText w:val=""/>
      <w:lvlJc w:val="left"/>
      <w:pPr>
        <w:tabs>
          <w:tab w:val="num" w:pos="5040"/>
        </w:tabs>
        <w:ind w:left="5040" w:hanging="360"/>
      </w:pPr>
      <w:rPr>
        <w:rFonts w:ascii="Symbol" w:hAnsi="Symbol"/>
      </w:rPr>
    </w:lvl>
    <w:lvl w:ilvl="7" w:tplc="34002D7A">
      <w:start w:val="1"/>
      <w:numFmt w:val="bullet"/>
      <w:lvlText w:val="o"/>
      <w:lvlJc w:val="left"/>
      <w:pPr>
        <w:tabs>
          <w:tab w:val="num" w:pos="5760"/>
        </w:tabs>
        <w:ind w:left="5760" w:hanging="360"/>
      </w:pPr>
      <w:rPr>
        <w:rFonts w:ascii="Courier New" w:hAnsi="Courier New"/>
      </w:rPr>
    </w:lvl>
    <w:lvl w:ilvl="8" w:tplc="2EA27A7E">
      <w:start w:val="1"/>
      <w:numFmt w:val="bullet"/>
      <w:lvlText w:val=""/>
      <w:lvlJc w:val="left"/>
      <w:pPr>
        <w:tabs>
          <w:tab w:val="num" w:pos="6480"/>
        </w:tabs>
        <w:ind w:left="6480" w:hanging="360"/>
      </w:pPr>
      <w:rPr>
        <w:rFonts w:ascii="Wingdings" w:hAnsi="Wingdings"/>
      </w:rPr>
    </w:lvl>
  </w:abstractNum>
  <w:abstractNum w:abstractNumId="132" w15:restartNumberingAfterBreak="0">
    <w:nsid w:val="7DF62839"/>
    <w:multiLevelType w:val="hybridMultilevel"/>
    <w:tmpl w:val="7DF62839"/>
    <w:lvl w:ilvl="0" w:tplc="359E7FC6">
      <w:start w:val="1"/>
      <w:numFmt w:val="bullet"/>
      <w:lvlText w:val=""/>
      <w:lvlJc w:val="left"/>
      <w:pPr>
        <w:tabs>
          <w:tab w:val="num" w:pos="720"/>
        </w:tabs>
        <w:ind w:left="720" w:hanging="360"/>
      </w:pPr>
      <w:rPr>
        <w:rFonts w:ascii="Symbol" w:hAnsi="Symbol"/>
      </w:rPr>
    </w:lvl>
    <w:lvl w:ilvl="1" w:tplc="71765B18">
      <w:start w:val="1"/>
      <w:numFmt w:val="bullet"/>
      <w:lvlText w:val="o"/>
      <w:lvlJc w:val="left"/>
      <w:pPr>
        <w:tabs>
          <w:tab w:val="num" w:pos="1440"/>
        </w:tabs>
        <w:ind w:left="1440" w:hanging="360"/>
      </w:pPr>
      <w:rPr>
        <w:rFonts w:ascii="Courier New" w:hAnsi="Courier New"/>
      </w:rPr>
    </w:lvl>
    <w:lvl w:ilvl="2" w:tplc="19F6767C">
      <w:start w:val="1"/>
      <w:numFmt w:val="bullet"/>
      <w:lvlText w:val=""/>
      <w:lvlJc w:val="left"/>
      <w:pPr>
        <w:tabs>
          <w:tab w:val="num" w:pos="2160"/>
        </w:tabs>
        <w:ind w:left="2160" w:hanging="360"/>
      </w:pPr>
      <w:rPr>
        <w:rFonts w:ascii="Wingdings" w:hAnsi="Wingdings"/>
      </w:rPr>
    </w:lvl>
    <w:lvl w:ilvl="3" w:tplc="D11A75DA">
      <w:start w:val="1"/>
      <w:numFmt w:val="bullet"/>
      <w:lvlText w:val=""/>
      <w:lvlJc w:val="left"/>
      <w:pPr>
        <w:tabs>
          <w:tab w:val="num" w:pos="2880"/>
        </w:tabs>
        <w:ind w:left="2880" w:hanging="360"/>
      </w:pPr>
      <w:rPr>
        <w:rFonts w:ascii="Symbol" w:hAnsi="Symbol"/>
      </w:rPr>
    </w:lvl>
    <w:lvl w:ilvl="4" w:tplc="8BA27184">
      <w:start w:val="1"/>
      <w:numFmt w:val="bullet"/>
      <w:lvlText w:val="o"/>
      <w:lvlJc w:val="left"/>
      <w:pPr>
        <w:tabs>
          <w:tab w:val="num" w:pos="3600"/>
        </w:tabs>
        <w:ind w:left="3600" w:hanging="360"/>
      </w:pPr>
      <w:rPr>
        <w:rFonts w:ascii="Courier New" w:hAnsi="Courier New"/>
      </w:rPr>
    </w:lvl>
    <w:lvl w:ilvl="5" w:tplc="393C2600">
      <w:start w:val="1"/>
      <w:numFmt w:val="bullet"/>
      <w:lvlText w:val=""/>
      <w:lvlJc w:val="left"/>
      <w:pPr>
        <w:tabs>
          <w:tab w:val="num" w:pos="4320"/>
        </w:tabs>
        <w:ind w:left="4320" w:hanging="360"/>
      </w:pPr>
      <w:rPr>
        <w:rFonts w:ascii="Wingdings" w:hAnsi="Wingdings"/>
      </w:rPr>
    </w:lvl>
    <w:lvl w:ilvl="6" w:tplc="2AD8FB88">
      <w:start w:val="1"/>
      <w:numFmt w:val="bullet"/>
      <w:lvlText w:val=""/>
      <w:lvlJc w:val="left"/>
      <w:pPr>
        <w:tabs>
          <w:tab w:val="num" w:pos="5040"/>
        </w:tabs>
        <w:ind w:left="5040" w:hanging="360"/>
      </w:pPr>
      <w:rPr>
        <w:rFonts w:ascii="Symbol" w:hAnsi="Symbol"/>
      </w:rPr>
    </w:lvl>
    <w:lvl w:ilvl="7" w:tplc="5BC2A9C6">
      <w:start w:val="1"/>
      <w:numFmt w:val="bullet"/>
      <w:lvlText w:val="o"/>
      <w:lvlJc w:val="left"/>
      <w:pPr>
        <w:tabs>
          <w:tab w:val="num" w:pos="5760"/>
        </w:tabs>
        <w:ind w:left="5760" w:hanging="360"/>
      </w:pPr>
      <w:rPr>
        <w:rFonts w:ascii="Courier New" w:hAnsi="Courier New"/>
      </w:rPr>
    </w:lvl>
    <w:lvl w:ilvl="8" w:tplc="B82CE8E4">
      <w:start w:val="1"/>
      <w:numFmt w:val="bullet"/>
      <w:lvlText w:val=""/>
      <w:lvlJc w:val="left"/>
      <w:pPr>
        <w:tabs>
          <w:tab w:val="num" w:pos="6480"/>
        </w:tabs>
        <w:ind w:left="6480" w:hanging="360"/>
      </w:pPr>
      <w:rPr>
        <w:rFonts w:ascii="Wingdings" w:hAnsi="Wingdings"/>
      </w:rPr>
    </w:lvl>
  </w:abstractNum>
  <w:abstractNum w:abstractNumId="133" w15:restartNumberingAfterBreak="0">
    <w:nsid w:val="7DF6283A"/>
    <w:multiLevelType w:val="hybridMultilevel"/>
    <w:tmpl w:val="7DF6283A"/>
    <w:lvl w:ilvl="0" w:tplc="36B62D54">
      <w:start w:val="1"/>
      <w:numFmt w:val="bullet"/>
      <w:lvlText w:val=""/>
      <w:lvlJc w:val="left"/>
      <w:pPr>
        <w:tabs>
          <w:tab w:val="num" w:pos="720"/>
        </w:tabs>
        <w:ind w:left="720" w:hanging="360"/>
      </w:pPr>
      <w:rPr>
        <w:rFonts w:ascii="Symbol" w:hAnsi="Symbol"/>
      </w:rPr>
    </w:lvl>
    <w:lvl w:ilvl="1" w:tplc="3E3002AE">
      <w:start w:val="1"/>
      <w:numFmt w:val="bullet"/>
      <w:lvlText w:val="o"/>
      <w:lvlJc w:val="left"/>
      <w:pPr>
        <w:tabs>
          <w:tab w:val="num" w:pos="1440"/>
        </w:tabs>
        <w:ind w:left="1440" w:hanging="360"/>
      </w:pPr>
      <w:rPr>
        <w:rFonts w:ascii="Courier New" w:hAnsi="Courier New"/>
      </w:rPr>
    </w:lvl>
    <w:lvl w:ilvl="2" w:tplc="2A348B74">
      <w:start w:val="1"/>
      <w:numFmt w:val="bullet"/>
      <w:lvlText w:val=""/>
      <w:lvlJc w:val="left"/>
      <w:pPr>
        <w:tabs>
          <w:tab w:val="num" w:pos="2160"/>
        </w:tabs>
        <w:ind w:left="2160" w:hanging="360"/>
      </w:pPr>
      <w:rPr>
        <w:rFonts w:ascii="Wingdings" w:hAnsi="Wingdings"/>
      </w:rPr>
    </w:lvl>
    <w:lvl w:ilvl="3" w:tplc="7F0A360A">
      <w:start w:val="1"/>
      <w:numFmt w:val="bullet"/>
      <w:lvlText w:val=""/>
      <w:lvlJc w:val="left"/>
      <w:pPr>
        <w:tabs>
          <w:tab w:val="num" w:pos="2880"/>
        </w:tabs>
        <w:ind w:left="2880" w:hanging="360"/>
      </w:pPr>
      <w:rPr>
        <w:rFonts w:ascii="Symbol" w:hAnsi="Symbol"/>
      </w:rPr>
    </w:lvl>
    <w:lvl w:ilvl="4" w:tplc="70B0A7CE">
      <w:start w:val="1"/>
      <w:numFmt w:val="bullet"/>
      <w:lvlText w:val="o"/>
      <w:lvlJc w:val="left"/>
      <w:pPr>
        <w:tabs>
          <w:tab w:val="num" w:pos="3600"/>
        </w:tabs>
        <w:ind w:left="3600" w:hanging="360"/>
      </w:pPr>
      <w:rPr>
        <w:rFonts w:ascii="Courier New" w:hAnsi="Courier New"/>
      </w:rPr>
    </w:lvl>
    <w:lvl w:ilvl="5" w:tplc="030E95F2">
      <w:start w:val="1"/>
      <w:numFmt w:val="bullet"/>
      <w:lvlText w:val=""/>
      <w:lvlJc w:val="left"/>
      <w:pPr>
        <w:tabs>
          <w:tab w:val="num" w:pos="4320"/>
        </w:tabs>
        <w:ind w:left="4320" w:hanging="360"/>
      </w:pPr>
      <w:rPr>
        <w:rFonts w:ascii="Wingdings" w:hAnsi="Wingdings"/>
      </w:rPr>
    </w:lvl>
    <w:lvl w:ilvl="6" w:tplc="FBE08086">
      <w:start w:val="1"/>
      <w:numFmt w:val="bullet"/>
      <w:lvlText w:val=""/>
      <w:lvlJc w:val="left"/>
      <w:pPr>
        <w:tabs>
          <w:tab w:val="num" w:pos="5040"/>
        </w:tabs>
        <w:ind w:left="5040" w:hanging="360"/>
      </w:pPr>
      <w:rPr>
        <w:rFonts w:ascii="Symbol" w:hAnsi="Symbol"/>
      </w:rPr>
    </w:lvl>
    <w:lvl w:ilvl="7" w:tplc="23F245BC">
      <w:start w:val="1"/>
      <w:numFmt w:val="bullet"/>
      <w:lvlText w:val="o"/>
      <w:lvlJc w:val="left"/>
      <w:pPr>
        <w:tabs>
          <w:tab w:val="num" w:pos="5760"/>
        </w:tabs>
        <w:ind w:left="5760" w:hanging="360"/>
      </w:pPr>
      <w:rPr>
        <w:rFonts w:ascii="Courier New" w:hAnsi="Courier New"/>
      </w:rPr>
    </w:lvl>
    <w:lvl w:ilvl="8" w:tplc="B58AEB12">
      <w:start w:val="1"/>
      <w:numFmt w:val="bullet"/>
      <w:lvlText w:val=""/>
      <w:lvlJc w:val="left"/>
      <w:pPr>
        <w:tabs>
          <w:tab w:val="num" w:pos="6480"/>
        </w:tabs>
        <w:ind w:left="6480" w:hanging="360"/>
      </w:pPr>
      <w:rPr>
        <w:rFonts w:ascii="Wingdings" w:hAnsi="Wingdings"/>
      </w:rPr>
    </w:lvl>
  </w:abstractNum>
  <w:abstractNum w:abstractNumId="134" w15:restartNumberingAfterBreak="0">
    <w:nsid w:val="7DF6283B"/>
    <w:multiLevelType w:val="hybridMultilevel"/>
    <w:tmpl w:val="7DF6283B"/>
    <w:lvl w:ilvl="0" w:tplc="965AA244">
      <w:start w:val="1"/>
      <w:numFmt w:val="bullet"/>
      <w:lvlText w:val=""/>
      <w:lvlJc w:val="left"/>
      <w:pPr>
        <w:tabs>
          <w:tab w:val="num" w:pos="720"/>
        </w:tabs>
        <w:ind w:left="720" w:hanging="360"/>
      </w:pPr>
      <w:rPr>
        <w:rFonts w:ascii="Symbol" w:hAnsi="Symbol"/>
      </w:rPr>
    </w:lvl>
    <w:lvl w:ilvl="1" w:tplc="B9600AEE">
      <w:start w:val="1"/>
      <w:numFmt w:val="bullet"/>
      <w:lvlText w:val="o"/>
      <w:lvlJc w:val="left"/>
      <w:pPr>
        <w:tabs>
          <w:tab w:val="num" w:pos="1440"/>
        </w:tabs>
        <w:ind w:left="1440" w:hanging="360"/>
      </w:pPr>
      <w:rPr>
        <w:rFonts w:ascii="Courier New" w:hAnsi="Courier New"/>
      </w:rPr>
    </w:lvl>
    <w:lvl w:ilvl="2" w:tplc="C24EAA58">
      <w:start w:val="1"/>
      <w:numFmt w:val="bullet"/>
      <w:lvlText w:val=""/>
      <w:lvlJc w:val="left"/>
      <w:pPr>
        <w:tabs>
          <w:tab w:val="num" w:pos="2160"/>
        </w:tabs>
        <w:ind w:left="2160" w:hanging="360"/>
      </w:pPr>
      <w:rPr>
        <w:rFonts w:ascii="Wingdings" w:hAnsi="Wingdings"/>
      </w:rPr>
    </w:lvl>
    <w:lvl w:ilvl="3" w:tplc="828CD742">
      <w:start w:val="1"/>
      <w:numFmt w:val="bullet"/>
      <w:lvlText w:val=""/>
      <w:lvlJc w:val="left"/>
      <w:pPr>
        <w:tabs>
          <w:tab w:val="num" w:pos="2880"/>
        </w:tabs>
        <w:ind w:left="2880" w:hanging="360"/>
      </w:pPr>
      <w:rPr>
        <w:rFonts w:ascii="Symbol" w:hAnsi="Symbol"/>
      </w:rPr>
    </w:lvl>
    <w:lvl w:ilvl="4" w:tplc="BF26AB8C">
      <w:start w:val="1"/>
      <w:numFmt w:val="bullet"/>
      <w:lvlText w:val="o"/>
      <w:lvlJc w:val="left"/>
      <w:pPr>
        <w:tabs>
          <w:tab w:val="num" w:pos="3600"/>
        </w:tabs>
        <w:ind w:left="3600" w:hanging="360"/>
      </w:pPr>
      <w:rPr>
        <w:rFonts w:ascii="Courier New" w:hAnsi="Courier New"/>
      </w:rPr>
    </w:lvl>
    <w:lvl w:ilvl="5" w:tplc="A072CAA8">
      <w:start w:val="1"/>
      <w:numFmt w:val="bullet"/>
      <w:lvlText w:val=""/>
      <w:lvlJc w:val="left"/>
      <w:pPr>
        <w:tabs>
          <w:tab w:val="num" w:pos="4320"/>
        </w:tabs>
        <w:ind w:left="4320" w:hanging="360"/>
      </w:pPr>
      <w:rPr>
        <w:rFonts w:ascii="Wingdings" w:hAnsi="Wingdings"/>
      </w:rPr>
    </w:lvl>
    <w:lvl w:ilvl="6" w:tplc="09B4A64E">
      <w:start w:val="1"/>
      <w:numFmt w:val="bullet"/>
      <w:lvlText w:val=""/>
      <w:lvlJc w:val="left"/>
      <w:pPr>
        <w:tabs>
          <w:tab w:val="num" w:pos="5040"/>
        </w:tabs>
        <w:ind w:left="5040" w:hanging="360"/>
      </w:pPr>
      <w:rPr>
        <w:rFonts w:ascii="Symbol" w:hAnsi="Symbol"/>
      </w:rPr>
    </w:lvl>
    <w:lvl w:ilvl="7" w:tplc="724C3F2C">
      <w:start w:val="1"/>
      <w:numFmt w:val="bullet"/>
      <w:lvlText w:val="o"/>
      <w:lvlJc w:val="left"/>
      <w:pPr>
        <w:tabs>
          <w:tab w:val="num" w:pos="5760"/>
        </w:tabs>
        <w:ind w:left="5760" w:hanging="360"/>
      </w:pPr>
      <w:rPr>
        <w:rFonts w:ascii="Courier New" w:hAnsi="Courier New"/>
      </w:rPr>
    </w:lvl>
    <w:lvl w:ilvl="8" w:tplc="FB70AB96">
      <w:start w:val="1"/>
      <w:numFmt w:val="bullet"/>
      <w:lvlText w:val=""/>
      <w:lvlJc w:val="left"/>
      <w:pPr>
        <w:tabs>
          <w:tab w:val="num" w:pos="6480"/>
        </w:tabs>
        <w:ind w:left="6480" w:hanging="360"/>
      </w:pPr>
      <w:rPr>
        <w:rFonts w:ascii="Wingdings" w:hAnsi="Wingdings"/>
      </w:rPr>
    </w:lvl>
  </w:abstractNum>
  <w:abstractNum w:abstractNumId="135" w15:restartNumberingAfterBreak="0">
    <w:nsid w:val="7DF6283C"/>
    <w:multiLevelType w:val="multilevel"/>
    <w:tmpl w:val="7DF628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7DF6283D"/>
    <w:multiLevelType w:val="multilevel"/>
    <w:tmpl w:val="7DF6283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7DF6283E"/>
    <w:multiLevelType w:val="multilevel"/>
    <w:tmpl w:val="7DF628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7DF6283F"/>
    <w:multiLevelType w:val="multilevel"/>
    <w:tmpl w:val="7DF6283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DF62840"/>
    <w:multiLevelType w:val="multilevel"/>
    <w:tmpl w:val="7DF62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DF62841"/>
    <w:multiLevelType w:val="multilevel"/>
    <w:tmpl w:val="7DF6284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7DF62842"/>
    <w:multiLevelType w:val="multilevel"/>
    <w:tmpl w:val="7DF62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7DF62843"/>
    <w:multiLevelType w:val="hybridMultilevel"/>
    <w:tmpl w:val="7DF62843"/>
    <w:lvl w:ilvl="0" w:tplc="3E66436A">
      <w:start w:val="1"/>
      <w:numFmt w:val="bullet"/>
      <w:lvlText w:val=""/>
      <w:lvlJc w:val="left"/>
      <w:pPr>
        <w:tabs>
          <w:tab w:val="num" w:pos="720"/>
        </w:tabs>
        <w:ind w:left="720" w:hanging="360"/>
      </w:pPr>
      <w:rPr>
        <w:rFonts w:ascii="Symbol" w:hAnsi="Symbol"/>
      </w:rPr>
    </w:lvl>
    <w:lvl w:ilvl="1" w:tplc="9BCED040">
      <w:start w:val="1"/>
      <w:numFmt w:val="bullet"/>
      <w:lvlText w:val="o"/>
      <w:lvlJc w:val="left"/>
      <w:pPr>
        <w:tabs>
          <w:tab w:val="num" w:pos="1440"/>
        </w:tabs>
        <w:ind w:left="1440" w:hanging="360"/>
      </w:pPr>
      <w:rPr>
        <w:rFonts w:ascii="Courier New" w:hAnsi="Courier New"/>
      </w:rPr>
    </w:lvl>
    <w:lvl w:ilvl="2" w:tplc="B1688DB6">
      <w:start w:val="1"/>
      <w:numFmt w:val="bullet"/>
      <w:lvlText w:val=""/>
      <w:lvlJc w:val="left"/>
      <w:pPr>
        <w:tabs>
          <w:tab w:val="num" w:pos="2160"/>
        </w:tabs>
        <w:ind w:left="2160" w:hanging="360"/>
      </w:pPr>
      <w:rPr>
        <w:rFonts w:ascii="Wingdings" w:hAnsi="Wingdings"/>
      </w:rPr>
    </w:lvl>
    <w:lvl w:ilvl="3" w:tplc="E53E37C4">
      <w:start w:val="1"/>
      <w:numFmt w:val="bullet"/>
      <w:lvlText w:val=""/>
      <w:lvlJc w:val="left"/>
      <w:pPr>
        <w:tabs>
          <w:tab w:val="num" w:pos="2880"/>
        </w:tabs>
        <w:ind w:left="2880" w:hanging="360"/>
      </w:pPr>
      <w:rPr>
        <w:rFonts w:ascii="Symbol" w:hAnsi="Symbol"/>
      </w:rPr>
    </w:lvl>
    <w:lvl w:ilvl="4" w:tplc="A58ED210">
      <w:start w:val="1"/>
      <w:numFmt w:val="bullet"/>
      <w:lvlText w:val="o"/>
      <w:lvlJc w:val="left"/>
      <w:pPr>
        <w:tabs>
          <w:tab w:val="num" w:pos="3600"/>
        </w:tabs>
        <w:ind w:left="3600" w:hanging="360"/>
      </w:pPr>
      <w:rPr>
        <w:rFonts w:ascii="Courier New" w:hAnsi="Courier New"/>
      </w:rPr>
    </w:lvl>
    <w:lvl w:ilvl="5" w:tplc="6608AC58">
      <w:start w:val="1"/>
      <w:numFmt w:val="bullet"/>
      <w:lvlText w:val=""/>
      <w:lvlJc w:val="left"/>
      <w:pPr>
        <w:tabs>
          <w:tab w:val="num" w:pos="4320"/>
        </w:tabs>
        <w:ind w:left="4320" w:hanging="360"/>
      </w:pPr>
      <w:rPr>
        <w:rFonts w:ascii="Wingdings" w:hAnsi="Wingdings"/>
      </w:rPr>
    </w:lvl>
    <w:lvl w:ilvl="6" w:tplc="5A305FC8">
      <w:start w:val="1"/>
      <w:numFmt w:val="bullet"/>
      <w:lvlText w:val=""/>
      <w:lvlJc w:val="left"/>
      <w:pPr>
        <w:tabs>
          <w:tab w:val="num" w:pos="5040"/>
        </w:tabs>
        <w:ind w:left="5040" w:hanging="360"/>
      </w:pPr>
      <w:rPr>
        <w:rFonts w:ascii="Symbol" w:hAnsi="Symbol"/>
      </w:rPr>
    </w:lvl>
    <w:lvl w:ilvl="7" w:tplc="19AEA932">
      <w:start w:val="1"/>
      <w:numFmt w:val="bullet"/>
      <w:lvlText w:val="o"/>
      <w:lvlJc w:val="left"/>
      <w:pPr>
        <w:tabs>
          <w:tab w:val="num" w:pos="5760"/>
        </w:tabs>
        <w:ind w:left="5760" w:hanging="360"/>
      </w:pPr>
      <w:rPr>
        <w:rFonts w:ascii="Courier New" w:hAnsi="Courier New"/>
      </w:rPr>
    </w:lvl>
    <w:lvl w:ilvl="8" w:tplc="651A2238">
      <w:start w:val="1"/>
      <w:numFmt w:val="bullet"/>
      <w:lvlText w:val=""/>
      <w:lvlJc w:val="left"/>
      <w:pPr>
        <w:tabs>
          <w:tab w:val="num" w:pos="6480"/>
        </w:tabs>
        <w:ind w:left="6480" w:hanging="360"/>
      </w:pPr>
      <w:rPr>
        <w:rFonts w:ascii="Wingdings" w:hAnsi="Wingdings"/>
      </w:rPr>
    </w:lvl>
  </w:abstractNum>
  <w:abstractNum w:abstractNumId="143" w15:restartNumberingAfterBreak="0">
    <w:nsid w:val="7DF62844"/>
    <w:multiLevelType w:val="hybridMultilevel"/>
    <w:tmpl w:val="7DF62844"/>
    <w:lvl w:ilvl="0" w:tplc="DD48BF9A">
      <w:start w:val="1"/>
      <w:numFmt w:val="bullet"/>
      <w:lvlText w:val=""/>
      <w:lvlJc w:val="left"/>
      <w:pPr>
        <w:tabs>
          <w:tab w:val="num" w:pos="720"/>
        </w:tabs>
        <w:ind w:left="720" w:hanging="360"/>
      </w:pPr>
      <w:rPr>
        <w:rFonts w:ascii="Symbol" w:hAnsi="Symbol"/>
      </w:rPr>
    </w:lvl>
    <w:lvl w:ilvl="1" w:tplc="27A66FB2">
      <w:start w:val="1"/>
      <w:numFmt w:val="bullet"/>
      <w:lvlText w:val="o"/>
      <w:lvlJc w:val="left"/>
      <w:pPr>
        <w:tabs>
          <w:tab w:val="num" w:pos="1440"/>
        </w:tabs>
        <w:ind w:left="1440" w:hanging="360"/>
      </w:pPr>
      <w:rPr>
        <w:rFonts w:ascii="Courier New" w:hAnsi="Courier New"/>
      </w:rPr>
    </w:lvl>
    <w:lvl w:ilvl="2" w:tplc="5E32181A">
      <w:start w:val="1"/>
      <w:numFmt w:val="bullet"/>
      <w:lvlText w:val=""/>
      <w:lvlJc w:val="left"/>
      <w:pPr>
        <w:tabs>
          <w:tab w:val="num" w:pos="2160"/>
        </w:tabs>
        <w:ind w:left="2160" w:hanging="360"/>
      </w:pPr>
      <w:rPr>
        <w:rFonts w:ascii="Wingdings" w:hAnsi="Wingdings"/>
      </w:rPr>
    </w:lvl>
    <w:lvl w:ilvl="3" w:tplc="1C1E3592">
      <w:start w:val="1"/>
      <w:numFmt w:val="bullet"/>
      <w:lvlText w:val=""/>
      <w:lvlJc w:val="left"/>
      <w:pPr>
        <w:tabs>
          <w:tab w:val="num" w:pos="2880"/>
        </w:tabs>
        <w:ind w:left="2880" w:hanging="360"/>
      </w:pPr>
      <w:rPr>
        <w:rFonts w:ascii="Symbol" w:hAnsi="Symbol"/>
      </w:rPr>
    </w:lvl>
    <w:lvl w:ilvl="4" w:tplc="79E25C04">
      <w:start w:val="1"/>
      <w:numFmt w:val="bullet"/>
      <w:lvlText w:val="o"/>
      <w:lvlJc w:val="left"/>
      <w:pPr>
        <w:tabs>
          <w:tab w:val="num" w:pos="3600"/>
        </w:tabs>
        <w:ind w:left="3600" w:hanging="360"/>
      </w:pPr>
      <w:rPr>
        <w:rFonts w:ascii="Courier New" w:hAnsi="Courier New"/>
      </w:rPr>
    </w:lvl>
    <w:lvl w:ilvl="5" w:tplc="5C3E48D8">
      <w:start w:val="1"/>
      <w:numFmt w:val="bullet"/>
      <w:lvlText w:val=""/>
      <w:lvlJc w:val="left"/>
      <w:pPr>
        <w:tabs>
          <w:tab w:val="num" w:pos="4320"/>
        </w:tabs>
        <w:ind w:left="4320" w:hanging="360"/>
      </w:pPr>
      <w:rPr>
        <w:rFonts w:ascii="Wingdings" w:hAnsi="Wingdings"/>
      </w:rPr>
    </w:lvl>
    <w:lvl w:ilvl="6" w:tplc="0748D0F2">
      <w:start w:val="1"/>
      <w:numFmt w:val="bullet"/>
      <w:lvlText w:val=""/>
      <w:lvlJc w:val="left"/>
      <w:pPr>
        <w:tabs>
          <w:tab w:val="num" w:pos="5040"/>
        </w:tabs>
        <w:ind w:left="5040" w:hanging="360"/>
      </w:pPr>
      <w:rPr>
        <w:rFonts w:ascii="Symbol" w:hAnsi="Symbol"/>
      </w:rPr>
    </w:lvl>
    <w:lvl w:ilvl="7" w:tplc="5E8CB3A2">
      <w:start w:val="1"/>
      <w:numFmt w:val="bullet"/>
      <w:lvlText w:val="o"/>
      <w:lvlJc w:val="left"/>
      <w:pPr>
        <w:tabs>
          <w:tab w:val="num" w:pos="5760"/>
        </w:tabs>
        <w:ind w:left="5760" w:hanging="360"/>
      </w:pPr>
      <w:rPr>
        <w:rFonts w:ascii="Courier New" w:hAnsi="Courier New"/>
      </w:rPr>
    </w:lvl>
    <w:lvl w:ilvl="8" w:tplc="BE28BAE6">
      <w:start w:val="1"/>
      <w:numFmt w:val="bullet"/>
      <w:lvlText w:val=""/>
      <w:lvlJc w:val="left"/>
      <w:pPr>
        <w:tabs>
          <w:tab w:val="num" w:pos="6480"/>
        </w:tabs>
        <w:ind w:left="6480" w:hanging="360"/>
      </w:pPr>
      <w:rPr>
        <w:rFonts w:ascii="Wingdings" w:hAnsi="Wingdings"/>
      </w:rPr>
    </w:lvl>
  </w:abstractNum>
  <w:abstractNum w:abstractNumId="144" w15:restartNumberingAfterBreak="0">
    <w:nsid w:val="7DF62845"/>
    <w:multiLevelType w:val="hybridMultilevel"/>
    <w:tmpl w:val="7DF62845"/>
    <w:lvl w:ilvl="0" w:tplc="B854FB28">
      <w:start w:val="1"/>
      <w:numFmt w:val="bullet"/>
      <w:lvlText w:val=""/>
      <w:lvlJc w:val="left"/>
      <w:pPr>
        <w:tabs>
          <w:tab w:val="num" w:pos="720"/>
        </w:tabs>
        <w:ind w:left="720" w:hanging="360"/>
      </w:pPr>
      <w:rPr>
        <w:rFonts w:ascii="Symbol" w:hAnsi="Symbol"/>
      </w:rPr>
    </w:lvl>
    <w:lvl w:ilvl="1" w:tplc="D1568672">
      <w:start w:val="1"/>
      <w:numFmt w:val="bullet"/>
      <w:lvlText w:val="o"/>
      <w:lvlJc w:val="left"/>
      <w:pPr>
        <w:tabs>
          <w:tab w:val="num" w:pos="1440"/>
        </w:tabs>
        <w:ind w:left="1440" w:hanging="360"/>
      </w:pPr>
      <w:rPr>
        <w:rFonts w:ascii="Courier New" w:hAnsi="Courier New"/>
      </w:rPr>
    </w:lvl>
    <w:lvl w:ilvl="2" w:tplc="37484DF8">
      <w:start w:val="1"/>
      <w:numFmt w:val="bullet"/>
      <w:lvlText w:val=""/>
      <w:lvlJc w:val="left"/>
      <w:pPr>
        <w:tabs>
          <w:tab w:val="num" w:pos="2160"/>
        </w:tabs>
        <w:ind w:left="2160" w:hanging="360"/>
      </w:pPr>
      <w:rPr>
        <w:rFonts w:ascii="Wingdings" w:hAnsi="Wingdings"/>
      </w:rPr>
    </w:lvl>
    <w:lvl w:ilvl="3" w:tplc="8BB06A8A">
      <w:start w:val="1"/>
      <w:numFmt w:val="bullet"/>
      <w:lvlText w:val=""/>
      <w:lvlJc w:val="left"/>
      <w:pPr>
        <w:tabs>
          <w:tab w:val="num" w:pos="2880"/>
        </w:tabs>
        <w:ind w:left="2880" w:hanging="360"/>
      </w:pPr>
      <w:rPr>
        <w:rFonts w:ascii="Symbol" w:hAnsi="Symbol"/>
      </w:rPr>
    </w:lvl>
    <w:lvl w:ilvl="4" w:tplc="AFA01CEA">
      <w:start w:val="1"/>
      <w:numFmt w:val="bullet"/>
      <w:lvlText w:val="o"/>
      <w:lvlJc w:val="left"/>
      <w:pPr>
        <w:tabs>
          <w:tab w:val="num" w:pos="3600"/>
        </w:tabs>
        <w:ind w:left="3600" w:hanging="360"/>
      </w:pPr>
      <w:rPr>
        <w:rFonts w:ascii="Courier New" w:hAnsi="Courier New"/>
      </w:rPr>
    </w:lvl>
    <w:lvl w:ilvl="5" w:tplc="AA5C1D1A">
      <w:start w:val="1"/>
      <w:numFmt w:val="bullet"/>
      <w:lvlText w:val=""/>
      <w:lvlJc w:val="left"/>
      <w:pPr>
        <w:tabs>
          <w:tab w:val="num" w:pos="4320"/>
        </w:tabs>
        <w:ind w:left="4320" w:hanging="360"/>
      </w:pPr>
      <w:rPr>
        <w:rFonts w:ascii="Wingdings" w:hAnsi="Wingdings"/>
      </w:rPr>
    </w:lvl>
    <w:lvl w:ilvl="6" w:tplc="B308C9C0">
      <w:start w:val="1"/>
      <w:numFmt w:val="bullet"/>
      <w:lvlText w:val=""/>
      <w:lvlJc w:val="left"/>
      <w:pPr>
        <w:tabs>
          <w:tab w:val="num" w:pos="5040"/>
        </w:tabs>
        <w:ind w:left="5040" w:hanging="360"/>
      </w:pPr>
      <w:rPr>
        <w:rFonts w:ascii="Symbol" w:hAnsi="Symbol"/>
      </w:rPr>
    </w:lvl>
    <w:lvl w:ilvl="7" w:tplc="5EBA74A8">
      <w:start w:val="1"/>
      <w:numFmt w:val="bullet"/>
      <w:lvlText w:val="o"/>
      <w:lvlJc w:val="left"/>
      <w:pPr>
        <w:tabs>
          <w:tab w:val="num" w:pos="5760"/>
        </w:tabs>
        <w:ind w:left="5760" w:hanging="360"/>
      </w:pPr>
      <w:rPr>
        <w:rFonts w:ascii="Courier New" w:hAnsi="Courier New"/>
      </w:rPr>
    </w:lvl>
    <w:lvl w:ilvl="8" w:tplc="DF0ED686">
      <w:start w:val="1"/>
      <w:numFmt w:val="bullet"/>
      <w:lvlText w:val=""/>
      <w:lvlJc w:val="left"/>
      <w:pPr>
        <w:tabs>
          <w:tab w:val="num" w:pos="6480"/>
        </w:tabs>
        <w:ind w:left="6480" w:hanging="360"/>
      </w:pPr>
      <w:rPr>
        <w:rFonts w:ascii="Wingdings" w:hAnsi="Wingdings"/>
      </w:rPr>
    </w:lvl>
  </w:abstractNum>
  <w:abstractNum w:abstractNumId="145" w15:restartNumberingAfterBreak="0">
    <w:nsid w:val="7DF62846"/>
    <w:multiLevelType w:val="multilevel"/>
    <w:tmpl w:val="7DF628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7DF62847"/>
    <w:multiLevelType w:val="multilevel"/>
    <w:tmpl w:val="7DF6284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DF62848"/>
    <w:multiLevelType w:val="multilevel"/>
    <w:tmpl w:val="7DF62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DF62849"/>
    <w:multiLevelType w:val="hybridMultilevel"/>
    <w:tmpl w:val="7DF62849"/>
    <w:lvl w:ilvl="0" w:tplc="65E68E48">
      <w:start w:val="1"/>
      <w:numFmt w:val="bullet"/>
      <w:lvlText w:val=""/>
      <w:lvlJc w:val="left"/>
      <w:pPr>
        <w:tabs>
          <w:tab w:val="num" w:pos="720"/>
        </w:tabs>
        <w:ind w:left="720" w:hanging="360"/>
      </w:pPr>
      <w:rPr>
        <w:rFonts w:ascii="Symbol" w:hAnsi="Symbol"/>
      </w:rPr>
    </w:lvl>
    <w:lvl w:ilvl="1" w:tplc="FF364D7E">
      <w:start w:val="1"/>
      <w:numFmt w:val="bullet"/>
      <w:lvlText w:val="o"/>
      <w:lvlJc w:val="left"/>
      <w:pPr>
        <w:tabs>
          <w:tab w:val="num" w:pos="1440"/>
        </w:tabs>
        <w:ind w:left="1440" w:hanging="360"/>
      </w:pPr>
      <w:rPr>
        <w:rFonts w:ascii="Courier New" w:hAnsi="Courier New"/>
      </w:rPr>
    </w:lvl>
    <w:lvl w:ilvl="2" w:tplc="71228BA2">
      <w:start w:val="1"/>
      <w:numFmt w:val="bullet"/>
      <w:lvlText w:val=""/>
      <w:lvlJc w:val="left"/>
      <w:pPr>
        <w:tabs>
          <w:tab w:val="num" w:pos="2160"/>
        </w:tabs>
        <w:ind w:left="2160" w:hanging="360"/>
      </w:pPr>
      <w:rPr>
        <w:rFonts w:ascii="Wingdings" w:hAnsi="Wingdings"/>
      </w:rPr>
    </w:lvl>
    <w:lvl w:ilvl="3" w:tplc="4BCAF262">
      <w:start w:val="1"/>
      <w:numFmt w:val="bullet"/>
      <w:lvlText w:val=""/>
      <w:lvlJc w:val="left"/>
      <w:pPr>
        <w:tabs>
          <w:tab w:val="num" w:pos="2880"/>
        </w:tabs>
        <w:ind w:left="2880" w:hanging="360"/>
      </w:pPr>
      <w:rPr>
        <w:rFonts w:ascii="Symbol" w:hAnsi="Symbol"/>
      </w:rPr>
    </w:lvl>
    <w:lvl w:ilvl="4" w:tplc="4EFCA630">
      <w:start w:val="1"/>
      <w:numFmt w:val="bullet"/>
      <w:lvlText w:val="o"/>
      <w:lvlJc w:val="left"/>
      <w:pPr>
        <w:tabs>
          <w:tab w:val="num" w:pos="3600"/>
        </w:tabs>
        <w:ind w:left="3600" w:hanging="360"/>
      </w:pPr>
      <w:rPr>
        <w:rFonts w:ascii="Courier New" w:hAnsi="Courier New"/>
      </w:rPr>
    </w:lvl>
    <w:lvl w:ilvl="5" w:tplc="EF201EEE">
      <w:start w:val="1"/>
      <w:numFmt w:val="bullet"/>
      <w:lvlText w:val=""/>
      <w:lvlJc w:val="left"/>
      <w:pPr>
        <w:tabs>
          <w:tab w:val="num" w:pos="4320"/>
        </w:tabs>
        <w:ind w:left="4320" w:hanging="360"/>
      </w:pPr>
      <w:rPr>
        <w:rFonts w:ascii="Wingdings" w:hAnsi="Wingdings"/>
      </w:rPr>
    </w:lvl>
    <w:lvl w:ilvl="6" w:tplc="00A61A78">
      <w:start w:val="1"/>
      <w:numFmt w:val="bullet"/>
      <w:lvlText w:val=""/>
      <w:lvlJc w:val="left"/>
      <w:pPr>
        <w:tabs>
          <w:tab w:val="num" w:pos="5040"/>
        </w:tabs>
        <w:ind w:left="5040" w:hanging="360"/>
      </w:pPr>
      <w:rPr>
        <w:rFonts w:ascii="Symbol" w:hAnsi="Symbol"/>
      </w:rPr>
    </w:lvl>
    <w:lvl w:ilvl="7" w:tplc="C9C2C964">
      <w:start w:val="1"/>
      <w:numFmt w:val="bullet"/>
      <w:lvlText w:val="o"/>
      <w:lvlJc w:val="left"/>
      <w:pPr>
        <w:tabs>
          <w:tab w:val="num" w:pos="5760"/>
        </w:tabs>
        <w:ind w:left="5760" w:hanging="360"/>
      </w:pPr>
      <w:rPr>
        <w:rFonts w:ascii="Courier New" w:hAnsi="Courier New"/>
      </w:rPr>
    </w:lvl>
    <w:lvl w:ilvl="8" w:tplc="9DCE9120">
      <w:start w:val="1"/>
      <w:numFmt w:val="bullet"/>
      <w:lvlText w:val=""/>
      <w:lvlJc w:val="left"/>
      <w:pPr>
        <w:tabs>
          <w:tab w:val="num" w:pos="6480"/>
        </w:tabs>
        <w:ind w:left="6480" w:hanging="360"/>
      </w:pPr>
      <w:rPr>
        <w:rFonts w:ascii="Wingdings" w:hAnsi="Wingdings"/>
      </w:rPr>
    </w:lvl>
  </w:abstractNum>
  <w:abstractNum w:abstractNumId="149" w15:restartNumberingAfterBreak="0">
    <w:nsid w:val="7DF6284A"/>
    <w:multiLevelType w:val="multilevel"/>
    <w:tmpl w:val="7DF628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7DF6284B"/>
    <w:multiLevelType w:val="hybridMultilevel"/>
    <w:tmpl w:val="7DF6284B"/>
    <w:lvl w:ilvl="0" w:tplc="9200B0C4">
      <w:start w:val="1"/>
      <w:numFmt w:val="bullet"/>
      <w:lvlText w:val=""/>
      <w:lvlJc w:val="left"/>
      <w:pPr>
        <w:tabs>
          <w:tab w:val="num" w:pos="720"/>
        </w:tabs>
        <w:ind w:left="720" w:hanging="360"/>
      </w:pPr>
      <w:rPr>
        <w:rFonts w:ascii="Symbol" w:hAnsi="Symbol"/>
      </w:rPr>
    </w:lvl>
    <w:lvl w:ilvl="1" w:tplc="D66EF332">
      <w:start w:val="1"/>
      <w:numFmt w:val="bullet"/>
      <w:lvlText w:val="o"/>
      <w:lvlJc w:val="left"/>
      <w:pPr>
        <w:tabs>
          <w:tab w:val="num" w:pos="1440"/>
        </w:tabs>
        <w:ind w:left="1440" w:hanging="360"/>
      </w:pPr>
      <w:rPr>
        <w:rFonts w:ascii="Courier New" w:hAnsi="Courier New"/>
      </w:rPr>
    </w:lvl>
    <w:lvl w:ilvl="2" w:tplc="4C027C10">
      <w:start w:val="1"/>
      <w:numFmt w:val="bullet"/>
      <w:lvlText w:val=""/>
      <w:lvlJc w:val="left"/>
      <w:pPr>
        <w:tabs>
          <w:tab w:val="num" w:pos="2160"/>
        </w:tabs>
        <w:ind w:left="2160" w:hanging="360"/>
      </w:pPr>
      <w:rPr>
        <w:rFonts w:ascii="Wingdings" w:hAnsi="Wingdings"/>
      </w:rPr>
    </w:lvl>
    <w:lvl w:ilvl="3" w:tplc="FC9CB6C8">
      <w:start w:val="1"/>
      <w:numFmt w:val="bullet"/>
      <w:lvlText w:val=""/>
      <w:lvlJc w:val="left"/>
      <w:pPr>
        <w:tabs>
          <w:tab w:val="num" w:pos="2880"/>
        </w:tabs>
        <w:ind w:left="2880" w:hanging="360"/>
      </w:pPr>
      <w:rPr>
        <w:rFonts w:ascii="Symbol" w:hAnsi="Symbol"/>
      </w:rPr>
    </w:lvl>
    <w:lvl w:ilvl="4" w:tplc="CACEB406">
      <w:start w:val="1"/>
      <w:numFmt w:val="bullet"/>
      <w:lvlText w:val="o"/>
      <w:lvlJc w:val="left"/>
      <w:pPr>
        <w:tabs>
          <w:tab w:val="num" w:pos="3600"/>
        </w:tabs>
        <w:ind w:left="3600" w:hanging="360"/>
      </w:pPr>
      <w:rPr>
        <w:rFonts w:ascii="Courier New" w:hAnsi="Courier New"/>
      </w:rPr>
    </w:lvl>
    <w:lvl w:ilvl="5" w:tplc="F5AA26FC">
      <w:start w:val="1"/>
      <w:numFmt w:val="bullet"/>
      <w:lvlText w:val=""/>
      <w:lvlJc w:val="left"/>
      <w:pPr>
        <w:tabs>
          <w:tab w:val="num" w:pos="4320"/>
        </w:tabs>
        <w:ind w:left="4320" w:hanging="360"/>
      </w:pPr>
      <w:rPr>
        <w:rFonts w:ascii="Wingdings" w:hAnsi="Wingdings"/>
      </w:rPr>
    </w:lvl>
    <w:lvl w:ilvl="6" w:tplc="1E06284C">
      <w:start w:val="1"/>
      <w:numFmt w:val="bullet"/>
      <w:lvlText w:val=""/>
      <w:lvlJc w:val="left"/>
      <w:pPr>
        <w:tabs>
          <w:tab w:val="num" w:pos="5040"/>
        </w:tabs>
        <w:ind w:left="5040" w:hanging="360"/>
      </w:pPr>
      <w:rPr>
        <w:rFonts w:ascii="Symbol" w:hAnsi="Symbol"/>
      </w:rPr>
    </w:lvl>
    <w:lvl w:ilvl="7" w:tplc="7A3230C6">
      <w:start w:val="1"/>
      <w:numFmt w:val="bullet"/>
      <w:lvlText w:val="o"/>
      <w:lvlJc w:val="left"/>
      <w:pPr>
        <w:tabs>
          <w:tab w:val="num" w:pos="5760"/>
        </w:tabs>
        <w:ind w:left="5760" w:hanging="360"/>
      </w:pPr>
      <w:rPr>
        <w:rFonts w:ascii="Courier New" w:hAnsi="Courier New"/>
      </w:rPr>
    </w:lvl>
    <w:lvl w:ilvl="8" w:tplc="8E24A3E0">
      <w:start w:val="1"/>
      <w:numFmt w:val="bullet"/>
      <w:lvlText w:val=""/>
      <w:lvlJc w:val="left"/>
      <w:pPr>
        <w:tabs>
          <w:tab w:val="num" w:pos="6480"/>
        </w:tabs>
        <w:ind w:left="6480" w:hanging="360"/>
      </w:pPr>
      <w:rPr>
        <w:rFonts w:ascii="Wingdings" w:hAnsi="Wingdings"/>
      </w:rPr>
    </w:lvl>
  </w:abstractNum>
  <w:abstractNum w:abstractNumId="151" w15:restartNumberingAfterBreak="0">
    <w:nsid w:val="7DF6284C"/>
    <w:multiLevelType w:val="multilevel"/>
    <w:tmpl w:val="7DF628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7DF6284D"/>
    <w:multiLevelType w:val="hybridMultilevel"/>
    <w:tmpl w:val="7DF6284D"/>
    <w:lvl w:ilvl="0" w:tplc="DDCEDD5A">
      <w:start w:val="1"/>
      <w:numFmt w:val="bullet"/>
      <w:lvlText w:val=""/>
      <w:lvlJc w:val="left"/>
      <w:pPr>
        <w:tabs>
          <w:tab w:val="num" w:pos="720"/>
        </w:tabs>
        <w:ind w:left="720" w:hanging="360"/>
      </w:pPr>
      <w:rPr>
        <w:rFonts w:ascii="Symbol" w:hAnsi="Symbol"/>
      </w:rPr>
    </w:lvl>
    <w:lvl w:ilvl="1" w:tplc="8A4ADA62">
      <w:start w:val="1"/>
      <w:numFmt w:val="bullet"/>
      <w:lvlText w:val="o"/>
      <w:lvlJc w:val="left"/>
      <w:pPr>
        <w:tabs>
          <w:tab w:val="num" w:pos="1440"/>
        </w:tabs>
        <w:ind w:left="1440" w:hanging="360"/>
      </w:pPr>
      <w:rPr>
        <w:rFonts w:ascii="Courier New" w:hAnsi="Courier New"/>
      </w:rPr>
    </w:lvl>
    <w:lvl w:ilvl="2" w:tplc="8C32DBCC">
      <w:start w:val="1"/>
      <w:numFmt w:val="bullet"/>
      <w:lvlText w:val=""/>
      <w:lvlJc w:val="left"/>
      <w:pPr>
        <w:tabs>
          <w:tab w:val="num" w:pos="2160"/>
        </w:tabs>
        <w:ind w:left="2160" w:hanging="360"/>
      </w:pPr>
      <w:rPr>
        <w:rFonts w:ascii="Wingdings" w:hAnsi="Wingdings"/>
      </w:rPr>
    </w:lvl>
    <w:lvl w:ilvl="3" w:tplc="C82CCE3A">
      <w:start w:val="1"/>
      <w:numFmt w:val="bullet"/>
      <w:lvlText w:val=""/>
      <w:lvlJc w:val="left"/>
      <w:pPr>
        <w:tabs>
          <w:tab w:val="num" w:pos="2880"/>
        </w:tabs>
        <w:ind w:left="2880" w:hanging="360"/>
      </w:pPr>
      <w:rPr>
        <w:rFonts w:ascii="Symbol" w:hAnsi="Symbol"/>
      </w:rPr>
    </w:lvl>
    <w:lvl w:ilvl="4" w:tplc="10BEA99A">
      <w:start w:val="1"/>
      <w:numFmt w:val="bullet"/>
      <w:lvlText w:val="o"/>
      <w:lvlJc w:val="left"/>
      <w:pPr>
        <w:tabs>
          <w:tab w:val="num" w:pos="3600"/>
        </w:tabs>
        <w:ind w:left="3600" w:hanging="360"/>
      </w:pPr>
      <w:rPr>
        <w:rFonts w:ascii="Courier New" w:hAnsi="Courier New"/>
      </w:rPr>
    </w:lvl>
    <w:lvl w:ilvl="5" w:tplc="ED36C4E8">
      <w:start w:val="1"/>
      <w:numFmt w:val="bullet"/>
      <w:lvlText w:val=""/>
      <w:lvlJc w:val="left"/>
      <w:pPr>
        <w:tabs>
          <w:tab w:val="num" w:pos="4320"/>
        </w:tabs>
        <w:ind w:left="4320" w:hanging="360"/>
      </w:pPr>
      <w:rPr>
        <w:rFonts w:ascii="Wingdings" w:hAnsi="Wingdings"/>
      </w:rPr>
    </w:lvl>
    <w:lvl w:ilvl="6" w:tplc="AAFC1886">
      <w:start w:val="1"/>
      <w:numFmt w:val="bullet"/>
      <w:lvlText w:val=""/>
      <w:lvlJc w:val="left"/>
      <w:pPr>
        <w:tabs>
          <w:tab w:val="num" w:pos="5040"/>
        </w:tabs>
        <w:ind w:left="5040" w:hanging="360"/>
      </w:pPr>
      <w:rPr>
        <w:rFonts w:ascii="Symbol" w:hAnsi="Symbol"/>
      </w:rPr>
    </w:lvl>
    <w:lvl w:ilvl="7" w:tplc="0C50D384">
      <w:start w:val="1"/>
      <w:numFmt w:val="bullet"/>
      <w:lvlText w:val="o"/>
      <w:lvlJc w:val="left"/>
      <w:pPr>
        <w:tabs>
          <w:tab w:val="num" w:pos="5760"/>
        </w:tabs>
        <w:ind w:left="5760" w:hanging="360"/>
      </w:pPr>
      <w:rPr>
        <w:rFonts w:ascii="Courier New" w:hAnsi="Courier New"/>
      </w:rPr>
    </w:lvl>
    <w:lvl w:ilvl="8" w:tplc="20A267BC">
      <w:start w:val="1"/>
      <w:numFmt w:val="bullet"/>
      <w:lvlText w:val=""/>
      <w:lvlJc w:val="left"/>
      <w:pPr>
        <w:tabs>
          <w:tab w:val="num" w:pos="6480"/>
        </w:tabs>
        <w:ind w:left="6480" w:hanging="360"/>
      </w:pPr>
      <w:rPr>
        <w:rFonts w:ascii="Wingdings" w:hAnsi="Wingdings"/>
      </w:rPr>
    </w:lvl>
  </w:abstractNum>
  <w:abstractNum w:abstractNumId="153" w15:restartNumberingAfterBreak="0">
    <w:nsid w:val="7DF6284E"/>
    <w:multiLevelType w:val="hybridMultilevel"/>
    <w:tmpl w:val="7DF6284E"/>
    <w:lvl w:ilvl="0" w:tplc="89108AA6">
      <w:start w:val="1"/>
      <w:numFmt w:val="bullet"/>
      <w:lvlText w:val=""/>
      <w:lvlJc w:val="left"/>
      <w:pPr>
        <w:tabs>
          <w:tab w:val="num" w:pos="720"/>
        </w:tabs>
        <w:ind w:left="720" w:hanging="360"/>
      </w:pPr>
      <w:rPr>
        <w:rFonts w:ascii="Symbol" w:hAnsi="Symbol"/>
      </w:rPr>
    </w:lvl>
    <w:lvl w:ilvl="1" w:tplc="62AE0B32">
      <w:start w:val="1"/>
      <w:numFmt w:val="bullet"/>
      <w:lvlText w:val="o"/>
      <w:lvlJc w:val="left"/>
      <w:pPr>
        <w:tabs>
          <w:tab w:val="num" w:pos="1440"/>
        </w:tabs>
        <w:ind w:left="1440" w:hanging="360"/>
      </w:pPr>
      <w:rPr>
        <w:rFonts w:ascii="Courier New" w:hAnsi="Courier New"/>
      </w:rPr>
    </w:lvl>
    <w:lvl w:ilvl="2" w:tplc="E1AC188A">
      <w:start w:val="1"/>
      <w:numFmt w:val="bullet"/>
      <w:lvlText w:val=""/>
      <w:lvlJc w:val="left"/>
      <w:pPr>
        <w:tabs>
          <w:tab w:val="num" w:pos="2160"/>
        </w:tabs>
        <w:ind w:left="2160" w:hanging="360"/>
      </w:pPr>
      <w:rPr>
        <w:rFonts w:ascii="Wingdings" w:hAnsi="Wingdings"/>
      </w:rPr>
    </w:lvl>
    <w:lvl w:ilvl="3" w:tplc="EDE64590">
      <w:start w:val="1"/>
      <w:numFmt w:val="bullet"/>
      <w:lvlText w:val=""/>
      <w:lvlJc w:val="left"/>
      <w:pPr>
        <w:tabs>
          <w:tab w:val="num" w:pos="2880"/>
        </w:tabs>
        <w:ind w:left="2880" w:hanging="360"/>
      </w:pPr>
      <w:rPr>
        <w:rFonts w:ascii="Symbol" w:hAnsi="Symbol"/>
      </w:rPr>
    </w:lvl>
    <w:lvl w:ilvl="4" w:tplc="FC505340">
      <w:start w:val="1"/>
      <w:numFmt w:val="bullet"/>
      <w:lvlText w:val="o"/>
      <w:lvlJc w:val="left"/>
      <w:pPr>
        <w:tabs>
          <w:tab w:val="num" w:pos="3600"/>
        </w:tabs>
        <w:ind w:left="3600" w:hanging="360"/>
      </w:pPr>
      <w:rPr>
        <w:rFonts w:ascii="Courier New" w:hAnsi="Courier New"/>
      </w:rPr>
    </w:lvl>
    <w:lvl w:ilvl="5" w:tplc="49E8D1AA">
      <w:start w:val="1"/>
      <w:numFmt w:val="bullet"/>
      <w:lvlText w:val=""/>
      <w:lvlJc w:val="left"/>
      <w:pPr>
        <w:tabs>
          <w:tab w:val="num" w:pos="4320"/>
        </w:tabs>
        <w:ind w:left="4320" w:hanging="360"/>
      </w:pPr>
      <w:rPr>
        <w:rFonts w:ascii="Wingdings" w:hAnsi="Wingdings"/>
      </w:rPr>
    </w:lvl>
    <w:lvl w:ilvl="6" w:tplc="E0EAF5AC">
      <w:start w:val="1"/>
      <w:numFmt w:val="bullet"/>
      <w:lvlText w:val=""/>
      <w:lvlJc w:val="left"/>
      <w:pPr>
        <w:tabs>
          <w:tab w:val="num" w:pos="5040"/>
        </w:tabs>
        <w:ind w:left="5040" w:hanging="360"/>
      </w:pPr>
      <w:rPr>
        <w:rFonts w:ascii="Symbol" w:hAnsi="Symbol"/>
      </w:rPr>
    </w:lvl>
    <w:lvl w:ilvl="7" w:tplc="93328F5C">
      <w:start w:val="1"/>
      <w:numFmt w:val="bullet"/>
      <w:lvlText w:val="o"/>
      <w:lvlJc w:val="left"/>
      <w:pPr>
        <w:tabs>
          <w:tab w:val="num" w:pos="5760"/>
        </w:tabs>
        <w:ind w:left="5760" w:hanging="360"/>
      </w:pPr>
      <w:rPr>
        <w:rFonts w:ascii="Courier New" w:hAnsi="Courier New"/>
      </w:rPr>
    </w:lvl>
    <w:lvl w:ilvl="8" w:tplc="4DE82E34">
      <w:start w:val="1"/>
      <w:numFmt w:val="bullet"/>
      <w:lvlText w:val=""/>
      <w:lvlJc w:val="left"/>
      <w:pPr>
        <w:tabs>
          <w:tab w:val="num" w:pos="6480"/>
        </w:tabs>
        <w:ind w:left="6480" w:hanging="360"/>
      </w:pPr>
      <w:rPr>
        <w:rFonts w:ascii="Wingdings" w:hAnsi="Wingdings"/>
      </w:rPr>
    </w:lvl>
  </w:abstractNum>
  <w:abstractNum w:abstractNumId="154" w15:restartNumberingAfterBreak="0">
    <w:nsid w:val="7DF6284F"/>
    <w:multiLevelType w:val="hybridMultilevel"/>
    <w:tmpl w:val="7DF6284F"/>
    <w:lvl w:ilvl="0" w:tplc="97FC45AA">
      <w:start w:val="1"/>
      <w:numFmt w:val="bullet"/>
      <w:lvlText w:val=""/>
      <w:lvlJc w:val="left"/>
      <w:pPr>
        <w:tabs>
          <w:tab w:val="num" w:pos="720"/>
        </w:tabs>
        <w:ind w:left="720" w:hanging="360"/>
      </w:pPr>
      <w:rPr>
        <w:rFonts w:ascii="Symbol" w:hAnsi="Symbol"/>
      </w:rPr>
    </w:lvl>
    <w:lvl w:ilvl="1" w:tplc="0F1E5FEE">
      <w:start w:val="1"/>
      <w:numFmt w:val="bullet"/>
      <w:lvlText w:val="o"/>
      <w:lvlJc w:val="left"/>
      <w:pPr>
        <w:tabs>
          <w:tab w:val="num" w:pos="1440"/>
        </w:tabs>
        <w:ind w:left="1440" w:hanging="360"/>
      </w:pPr>
      <w:rPr>
        <w:rFonts w:ascii="Courier New" w:hAnsi="Courier New"/>
      </w:rPr>
    </w:lvl>
    <w:lvl w:ilvl="2" w:tplc="C80603C2">
      <w:start w:val="1"/>
      <w:numFmt w:val="bullet"/>
      <w:lvlText w:val=""/>
      <w:lvlJc w:val="left"/>
      <w:pPr>
        <w:tabs>
          <w:tab w:val="num" w:pos="2160"/>
        </w:tabs>
        <w:ind w:left="2160" w:hanging="360"/>
      </w:pPr>
      <w:rPr>
        <w:rFonts w:ascii="Wingdings" w:hAnsi="Wingdings"/>
      </w:rPr>
    </w:lvl>
    <w:lvl w:ilvl="3" w:tplc="8E749F1E">
      <w:start w:val="1"/>
      <w:numFmt w:val="bullet"/>
      <w:lvlText w:val=""/>
      <w:lvlJc w:val="left"/>
      <w:pPr>
        <w:tabs>
          <w:tab w:val="num" w:pos="2880"/>
        </w:tabs>
        <w:ind w:left="2880" w:hanging="360"/>
      </w:pPr>
      <w:rPr>
        <w:rFonts w:ascii="Symbol" w:hAnsi="Symbol"/>
      </w:rPr>
    </w:lvl>
    <w:lvl w:ilvl="4" w:tplc="B956BBDC">
      <w:start w:val="1"/>
      <w:numFmt w:val="bullet"/>
      <w:lvlText w:val="o"/>
      <w:lvlJc w:val="left"/>
      <w:pPr>
        <w:tabs>
          <w:tab w:val="num" w:pos="3600"/>
        </w:tabs>
        <w:ind w:left="3600" w:hanging="360"/>
      </w:pPr>
      <w:rPr>
        <w:rFonts w:ascii="Courier New" w:hAnsi="Courier New"/>
      </w:rPr>
    </w:lvl>
    <w:lvl w:ilvl="5" w:tplc="5882D166">
      <w:start w:val="1"/>
      <w:numFmt w:val="bullet"/>
      <w:lvlText w:val=""/>
      <w:lvlJc w:val="left"/>
      <w:pPr>
        <w:tabs>
          <w:tab w:val="num" w:pos="4320"/>
        </w:tabs>
        <w:ind w:left="4320" w:hanging="360"/>
      </w:pPr>
      <w:rPr>
        <w:rFonts w:ascii="Wingdings" w:hAnsi="Wingdings"/>
      </w:rPr>
    </w:lvl>
    <w:lvl w:ilvl="6" w:tplc="ADFAF928">
      <w:start w:val="1"/>
      <w:numFmt w:val="bullet"/>
      <w:lvlText w:val=""/>
      <w:lvlJc w:val="left"/>
      <w:pPr>
        <w:tabs>
          <w:tab w:val="num" w:pos="5040"/>
        </w:tabs>
        <w:ind w:left="5040" w:hanging="360"/>
      </w:pPr>
      <w:rPr>
        <w:rFonts w:ascii="Symbol" w:hAnsi="Symbol"/>
      </w:rPr>
    </w:lvl>
    <w:lvl w:ilvl="7" w:tplc="00B47A26">
      <w:start w:val="1"/>
      <w:numFmt w:val="bullet"/>
      <w:lvlText w:val="o"/>
      <w:lvlJc w:val="left"/>
      <w:pPr>
        <w:tabs>
          <w:tab w:val="num" w:pos="5760"/>
        </w:tabs>
        <w:ind w:left="5760" w:hanging="360"/>
      </w:pPr>
      <w:rPr>
        <w:rFonts w:ascii="Courier New" w:hAnsi="Courier New"/>
      </w:rPr>
    </w:lvl>
    <w:lvl w:ilvl="8" w:tplc="8D927FAA">
      <w:start w:val="1"/>
      <w:numFmt w:val="bullet"/>
      <w:lvlText w:val=""/>
      <w:lvlJc w:val="left"/>
      <w:pPr>
        <w:tabs>
          <w:tab w:val="num" w:pos="6480"/>
        </w:tabs>
        <w:ind w:left="6480" w:hanging="360"/>
      </w:pPr>
      <w:rPr>
        <w:rFonts w:ascii="Wingdings" w:hAnsi="Wingdings"/>
      </w:rPr>
    </w:lvl>
  </w:abstractNum>
  <w:abstractNum w:abstractNumId="155" w15:restartNumberingAfterBreak="0">
    <w:nsid w:val="7DF62850"/>
    <w:multiLevelType w:val="hybridMultilevel"/>
    <w:tmpl w:val="7DF62850"/>
    <w:lvl w:ilvl="0" w:tplc="CFE2BA5A">
      <w:start w:val="1"/>
      <w:numFmt w:val="bullet"/>
      <w:lvlText w:val=""/>
      <w:lvlJc w:val="left"/>
      <w:pPr>
        <w:tabs>
          <w:tab w:val="num" w:pos="720"/>
        </w:tabs>
        <w:ind w:left="720" w:hanging="360"/>
      </w:pPr>
      <w:rPr>
        <w:rFonts w:ascii="Symbol" w:hAnsi="Symbol"/>
      </w:rPr>
    </w:lvl>
    <w:lvl w:ilvl="1" w:tplc="828213F6">
      <w:start w:val="1"/>
      <w:numFmt w:val="bullet"/>
      <w:lvlText w:val="o"/>
      <w:lvlJc w:val="left"/>
      <w:pPr>
        <w:tabs>
          <w:tab w:val="num" w:pos="1440"/>
        </w:tabs>
        <w:ind w:left="1440" w:hanging="360"/>
      </w:pPr>
      <w:rPr>
        <w:rFonts w:ascii="Courier New" w:hAnsi="Courier New"/>
      </w:rPr>
    </w:lvl>
    <w:lvl w:ilvl="2" w:tplc="1BFA9F02">
      <w:start w:val="1"/>
      <w:numFmt w:val="bullet"/>
      <w:lvlText w:val=""/>
      <w:lvlJc w:val="left"/>
      <w:pPr>
        <w:tabs>
          <w:tab w:val="num" w:pos="2160"/>
        </w:tabs>
        <w:ind w:left="2160" w:hanging="360"/>
      </w:pPr>
      <w:rPr>
        <w:rFonts w:ascii="Wingdings" w:hAnsi="Wingdings"/>
      </w:rPr>
    </w:lvl>
    <w:lvl w:ilvl="3" w:tplc="9E665282">
      <w:start w:val="1"/>
      <w:numFmt w:val="bullet"/>
      <w:lvlText w:val=""/>
      <w:lvlJc w:val="left"/>
      <w:pPr>
        <w:tabs>
          <w:tab w:val="num" w:pos="2880"/>
        </w:tabs>
        <w:ind w:left="2880" w:hanging="360"/>
      </w:pPr>
      <w:rPr>
        <w:rFonts w:ascii="Symbol" w:hAnsi="Symbol"/>
      </w:rPr>
    </w:lvl>
    <w:lvl w:ilvl="4" w:tplc="9B78D7A2">
      <w:start w:val="1"/>
      <w:numFmt w:val="bullet"/>
      <w:lvlText w:val="o"/>
      <w:lvlJc w:val="left"/>
      <w:pPr>
        <w:tabs>
          <w:tab w:val="num" w:pos="3600"/>
        </w:tabs>
        <w:ind w:left="3600" w:hanging="360"/>
      </w:pPr>
      <w:rPr>
        <w:rFonts w:ascii="Courier New" w:hAnsi="Courier New"/>
      </w:rPr>
    </w:lvl>
    <w:lvl w:ilvl="5" w:tplc="0DE459E6">
      <w:start w:val="1"/>
      <w:numFmt w:val="bullet"/>
      <w:lvlText w:val=""/>
      <w:lvlJc w:val="left"/>
      <w:pPr>
        <w:tabs>
          <w:tab w:val="num" w:pos="4320"/>
        </w:tabs>
        <w:ind w:left="4320" w:hanging="360"/>
      </w:pPr>
      <w:rPr>
        <w:rFonts w:ascii="Wingdings" w:hAnsi="Wingdings"/>
      </w:rPr>
    </w:lvl>
    <w:lvl w:ilvl="6" w:tplc="49803BA6">
      <w:start w:val="1"/>
      <w:numFmt w:val="bullet"/>
      <w:lvlText w:val=""/>
      <w:lvlJc w:val="left"/>
      <w:pPr>
        <w:tabs>
          <w:tab w:val="num" w:pos="5040"/>
        </w:tabs>
        <w:ind w:left="5040" w:hanging="360"/>
      </w:pPr>
      <w:rPr>
        <w:rFonts w:ascii="Symbol" w:hAnsi="Symbol"/>
      </w:rPr>
    </w:lvl>
    <w:lvl w:ilvl="7" w:tplc="B0DEDC76">
      <w:start w:val="1"/>
      <w:numFmt w:val="bullet"/>
      <w:lvlText w:val="o"/>
      <w:lvlJc w:val="left"/>
      <w:pPr>
        <w:tabs>
          <w:tab w:val="num" w:pos="5760"/>
        </w:tabs>
        <w:ind w:left="5760" w:hanging="360"/>
      </w:pPr>
      <w:rPr>
        <w:rFonts w:ascii="Courier New" w:hAnsi="Courier New"/>
      </w:rPr>
    </w:lvl>
    <w:lvl w:ilvl="8" w:tplc="2E6666F6">
      <w:start w:val="1"/>
      <w:numFmt w:val="bullet"/>
      <w:lvlText w:val=""/>
      <w:lvlJc w:val="left"/>
      <w:pPr>
        <w:tabs>
          <w:tab w:val="num" w:pos="6480"/>
        </w:tabs>
        <w:ind w:left="6480" w:hanging="360"/>
      </w:pPr>
      <w:rPr>
        <w:rFonts w:ascii="Wingdings" w:hAnsi="Wingdings"/>
      </w:rPr>
    </w:lvl>
  </w:abstractNum>
  <w:abstractNum w:abstractNumId="156" w15:restartNumberingAfterBreak="0">
    <w:nsid w:val="7DF62851"/>
    <w:multiLevelType w:val="hybridMultilevel"/>
    <w:tmpl w:val="7DF62851"/>
    <w:lvl w:ilvl="0" w:tplc="4A0614EE">
      <w:start w:val="1"/>
      <w:numFmt w:val="bullet"/>
      <w:lvlText w:val=""/>
      <w:lvlJc w:val="left"/>
      <w:pPr>
        <w:tabs>
          <w:tab w:val="num" w:pos="720"/>
        </w:tabs>
        <w:ind w:left="720" w:hanging="360"/>
      </w:pPr>
      <w:rPr>
        <w:rFonts w:ascii="Symbol" w:hAnsi="Symbol"/>
      </w:rPr>
    </w:lvl>
    <w:lvl w:ilvl="1" w:tplc="308E220E">
      <w:start w:val="1"/>
      <w:numFmt w:val="bullet"/>
      <w:lvlText w:val="o"/>
      <w:lvlJc w:val="left"/>
      <w:pPr>
        <w:tabs>
          <w:tab w:val="num" w:pos="1440"/>
        </w:tabs>
        <w:ind w:left="1440" w:hanging="360"/>
      </w:pPr>
      <w:rPr>
        <w:rFonts w:ascii="Courier New" w:hAnsi="Courier New"/>
      </w:rPr>
    </w:lvl>
    <w:lvl w:ilvl="2" w:tplc="DB96834A">
      <w:start w:val="1"/>
      <w:numFmt w:val="bullet"/>
      <w:lvlText w:val=""/>
      <w:lvlJc w:val="left"/>
      <w:pPr>
        <w:tabs>
          <w:tab w:val="num" w:pos="2160"/>
        </w:tabs>
        <w:ind w:left="2160" w:hanging="360"/>
      </w:pPr>
      <w:rPr>
        <w:rFonts w:ascii="Wingdings" w:hAnsi="Wingdings"/>
      </w:rPr>
    </w:lvl>
    <w:lvl w:ilvl="3" w:tplc="3602489C">
      <w:start w:val="1"/>
      <w:numFmt w:val="bullet"/>
      <w:lvlText w:val=""/>
      <w:lvlJc w:val="left"/>
      <w:pPr>
        <w:tabs>
          <w:tab w:val="num" w:pos="2880"/>
        </w:tabs>
        <w:ind w:left="2880" w:hanging="360"/>
      </w:pPr>
      <w:rPr>
        <w:rFonts w:ascii="Symbol" w:hAnsi="Symbol"/>
      </w:rPr>
    </w:lvl>
    <w:lvl w:ilvl="4" w:tplc="E4984D82">
      <w:start w:val="1"/>
      <w:numFmt w:val="bullet"/>
      <w:lvlText w:val="o"/>
      <w:lvlJc w:val="left"/>
      <w:pPr>
        <w:tabs>
          <w:tab w:val="num" w:pos="3600"/>
        </w:tabs>
        <w:ind w:left="3600" w:hanging="360"/>
      </w:pPr>
      <w:rPr>
        <w:rFonts w:ascii="Courier New" w:hAnsi="Courier New"/>
      </w:rPr>
    </w:lvl>
    <w:lvl w:ilvl="5" w:tplc="F904CE56">
      <w:start w:val="1"/>
      <w:numFmt w:val="bullet"/>
      <w:lvlText w:val=""/>
      <w:lvlJc w:val="left"/>
      <w:pPr>
        <w:tabs>
          <w:tab w:val="num" w:pos="4320"/>
        </w:tabs>
        <w:ind w:left="4320" w:hanging="360"/>
      </w:pPr>
      <w:rPr>
        <w:rFonts w:ascii="Wingdings" w:hAnsi="Wingdings"/>
      </w:rPr>
    </w:lvl>
    <w:lvl w:ilvl="6" w:tplc="788C1590">
      <w:start w:val="1"/>
      <w:numFmt w:val="bullet"/>
      <w:lvlText w:val=""/>
      <w:lvlJc w:val="left"/>
      <w:pPr>
        <w:tabs>
          <w:tab w:val="num" w:pos="5040"/>
        </w:tabs>
        <w:ind w:left="5040" w:hanging="360"/>
      </w:pPr>
      <w:rPr>
        <w:rFonts w:ascii="Symbol" w:hAnsi="Symbol"/>
      </w:rPr>
    </w:lvl>
    <w:lvl w:ilvl="7" w:tplc="B50C1F50">
      <w:start w:val="1"/>
      <w:numFmt w:val="bullet"/>
      <w:lvlText w:val="o"/>
      <w:lvlJc w:val="left"/>
      <w:pPr>
        <w:tabs>
          <w:tab w:val="num" w:pos="5760"/>
        </w:tabs>
        <w:ind w:left="5760" w:hanging="360"/>
      </w:pPr>
      <w:rPr>
        <w:rFonts w:ascii="Courier New" w:hAnsi="Courier New"/>
      </w:rPr>
    </w:lvl>
    <w:lvl w:ilvl="8" w:tplc="B2D2AC7E">
      <w:start w:val="1"/>
      <w:numFmt w:val="bullet"/>
      <w:lvlText w:val=""/>
      <w:lvlJc w:val="left"/>
      <w:pPr>
        <w:tabs>
          <w:tab w:val="num" w:pos="6480"/>
        </w:tabs>
        <w:ind w:left="6480" w:hanging="360"/>
      </w:pPr>
      <w:rPr>
        <w:rFonts w:ascii="Wingdings" w:hAnsi="Wingdings"/>
      </w:rPr>
    </w:lvl>
  </w:abstractNum>
  <w:abstractNum w:abstractNumId="157" w15:restartNumberingAfterBreak="0">
    <w:nsid w:val="7DF62852"/>
    <w:multiLevelType w:val="multilevel"/>
    <w:tmpl w:val="7DF628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DF62853"/>
    <w:multiLevelType w:val="multilevel"/>
    <w:tmpl w:val="7DF6285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7DF62854"/>
    <w:multiLevelType w:val="multilevel"/>
    <w:tmpl w:val="7DF628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7DF62855"/>
    <w:multiLevelType w:val="hybridMultilevel"/>
    <w:tmpl w:val="7DF62855"/>
    <w:lvl w:ilvl="0" w:tplc="8922508C">
      <w:start w:val="1"/>
      <w:numFmt w:val="bullet"/>
      <w:lvlText w:val=""/>
      <w:lvlJc w:val="left"/>
      <w:pPr>
        <w:tabs>
          <w:tab w:val="num" w:pos="720"/>
        </w:tabs>
        <w:ind w:left="720" w:hanging="360"/>
      </w:pPr>
      <w:rPr>
        <w:rFonts w:ascii="Symbol" w:hAnsi="Symbol"/>
      </w:rPr>
    </w:lvl>
    <w:lvl w:ilvl="1" w:tplc="96665F8A">
      <w:start w:val="1"/>
      <w:numFmt w:val="bullet"/>
      <w:lvlText w:val="o"/>
      <w:lvlJc w:val="left"/>
      <w:pPr>
        <w:tabs>
          <w:tab w:val="num" w:pos="1440"/>
        </w:tabs>
        <w:ind w:left="1440" w:hanging="360"/>
      </w:pPr>
      <w:rPr>
        <w:rFonts w:ascii="Courier New" w:hAnsi="Courier New"/>
      </w:rPr>
    </w:lvl>
    <w:lvl w:ilvl="2" w:tplc="AD6A4DAC">
      <w:start w:val="1"/>
      <w:numFmt w:val="bullet"/>
      <w:lvlText w:val=""/>
      <w:lvlJc w:val="left"/>
      <w:pPr>
        <w:tabs>
          <w:tab w:val="num" w:pos="2160"/>
        </w:tabs>
        <w:ind w:left="2160" w:hanging="360"/>
      </w:pPr>
      <w:rPr>
        <w:rFonts w:ascii="Wingdings" w:hAnsi="Wingdings"/>
      </w:rPr>
    </w:lvl>
    <w:lvl w:ilvl="3" w:tplc="297018EC">
      <w:start w:val="1"/>
      <w:numFmt w:val="bullet"/>
      <w:lvlText w:val=""/>
      <w:lvlJc w:val="left"/>
      <w:pPr>
        <w:tabs>
          <w:tab w:val="num" w:pos="2880"/>
        </w:tabs>
        <w:ind w:left="2880" w:hanging="360"/>
      </w:pPr>
      <w:rPr>
        <w:rFonts w:ascii="Symbol" w:hAnsi="Symbol"/>
      </w:rPr>
    </w:lvl>
    <w:lvl w:ilvl="4" w:tplc="712AFA0E">
      <w:start w:val="1"/>
      <w:numFmt w:val="bullet"/>
      <w:lvlText w:val="o"/>
      <w:lvlJc w:val="left"/>
      <w:pPr>
        <w:tabs>
          <w:tab w:val="num" w:pos="3600"/>
        </w:tabs>
        <w:ind w:left="3600" w:hanging="360"/>
      </w:pPr>
      <w:rPr>
        <w:rFonts w:ascii="Courier New" w:hAnsi="Courier New"/>
      </w:rPr>
    </w:lvl>
    <w:lvl w:ilvl="5" w:tplc="9E9408E6">
      <w:start w:val="1"/>
      <w:numFmt w:val="bullet"/>
      <w:lvlText w:val=""/>
      <w:lvlJc w:val="left"/>
      <w:pPr>
        <w:tabs>
          <w:tab w:val="num" w:pos="4320"/>
        </w:tabs>
        <w:ind w:left="4320" w:hanging="360"/>
      </w:pPr>
      <w:rPr>
        <w:rFonts w:ascii="Wingdings" w:hAnsi="Wingdings"/>
      </w:rPr>
    </w:lvl>
    <w:lvl w:ilvl="6" w:tplc="E01883D4">
      <w:start w:val="1"/>
      <w:numFmt w:val="bullet"/>
      <w:lvlText w:val=""/>
      <w:lvlJc w:val="left"/>
      <w:pPr>
        <w:tabs>
          <w:tab w:val="num" w:pos="5040"/>
        </w:tabs>
        <w:ind w:left="5040" w:hanging="360"/>
      </w:pPr>
      <w:rPr>
        <w:rFonts w:ascii="Symbol" w:hAnsi="Symbol"/>
      </w:rPr>
    </w:lvl>
    <w:lvl w:ilvl="7" w:tplc="BBB487C8">
      <w:start w:val="1"/>
      <w:numFmt w:val="bullet"/>
      <w:lvlText w:val="o"/>
      <w:lvlJc w:val="left"/>
      <w:pPr>
        <w:tabs>
          <w:tab w:val="num" w:pos="5760"/>
        </w:tabs>
        <w:ind w:left="5760" w:hanging="360"/>
      </w:pPr>
      <w:rPr>
        <w:rFonts w:ascii="Courier New" w:hAnsi="Courier New"/>
      </w:rPr>
    </w:lvl>
    <w:lvl w:ilvl="8" w:tplc="AE742474">
      <w:start w:val="1"/>
      <w:numFmt w:val="bullet"/>
      <w:lvlText w:val=""/>
      <w:lvlJc w:val="left"/>
      <w:pPr>
        <w:tabs>
          <w:tab w:val="num" w:pos="6480"/>
        </w:tabs>
        <w:ind w:left="6480" w:hanging="360"/>
      </w:pPr>
      <w:rPr>
        <w:rFonts w:ascii="Wingdings" w:hAnsi="Wingdings"/>
      </w:rPr>
    </w:lvl>
  </w:abstractNum>
  <w:abstractNum w:abstractNumId="161" w15:restartNumberingAfterBreak="0">
    <w:nsid w:val="7DF62856"/>
    <w:multiLevelType w:val="hybridMultilevel"/>
    <w:tmpl w:val="7DF62856"/>
    <w:lvl w:ilvl="0" w:tplc="20DAA454">
      <w:start w:val="1"/>
      <w:numFmt w:val="bullet"/>
      <w:lvlText w:val=""/>
      <w:lvlJc w:val="left"/>
      <w:pPr>
        <w:tabs>
          <w:tab w:val="num" w:pos="720"/>
        </w:tabs>
        <w:ind w:left="720" w:hanging="360"/>
      </w:pPr>
      <w:rPr>
        <w:rFonts w:ascii="Symbol" w:hAnsi="Symbol"/>
      </w:rPr>
    </w:lvl>
    <w:lvl w:ilvl="1" w:tplc="9350D280">
      <w:start w:val="1"/>
      <w:numFmt w:val="bullet"/>
      <w:lvlText w:val="o"/>
      <w:lvlJc w:val="left"/>
      <w:pPr>
        <w:tabs>
          <w:tab w:val="num" w:pos="1440"/>
        </w:tabs>
        <w:ind w:left="1440" w:hanging="360"/>
      </w:pPr>
      <w:rPr>
        <w:rFonts w:ascii="Courier New" w:hAnsi="Courier New"/>
      </w:rPr>
    </w:lvl>
    <w:lvl w:ilvl="2" w:tplc="03E60AFE">
      <w:start w:val="1"/>
      <w:numFmt w:val="bullet"/>
      <w:lvlText w:val=""/>
      <w:lvlJc w:val="left"/>
      <w:pPr>
        <w:tabs>
          <w:tab w:val="num" w:pos="2160"/>
        </w:tabs>
        <w:ind w:left="2160" w:hanging="360"/>
      </w:pPr>
      <w:rPr>
        <w:rFonts w:ascii="Wingdings" w:hAnsi="Wingdings"/>
      </w:rPr>
    </w:lvl>
    <w:lvl w:ilvl="3" w:tplc="F118C7AA">
      <w:start w:val="1"/>
      <w:numFmt w:val="bullet"/>
      <w:lvlText w:val=""/>
      <w:lvlJc w:val="left"/>
      <w:pPr>
        <w:tabs>
          <w:tab w:val="num" w:pos="2880"/>
        </w:tabs>
        <w:ind w:left="2880" w:hanging="360"/>
      </w:pPr>
      <w:rPr>
        <w:rFonts w:ascii="Symbol" w:hAnsi="Symbol"/>
      </w:rPr>
    </w:lvl>
    <w:lvl w:ilvl="4" w:tplc="5FCED8A4">
      <w:start w:val="1"/>
      <w:numFmt w:val="bullet"/>
      <w:lvlText w:val="o"/>
      <w:lvlJc w:val="left"/>
      <w:pPr>
        <w:tabs>
          <w:tab w:val="num" w:pos="3600"/>
        </w:tabs>
        <w:ind w:left="3600" w:hanging="360"/>
      </w:pPr>
      <w:rPr>
        <w:rFonts w:ascii="Courier New" w:hAnsi="Courier New"/>
      </w:rPr>
    </w:lvl>
    <w:lvl w:ilvl="5" w:tplc="93E67054">
      <w:start w:val="1"/>
      <w:numFmt w:val="bullet"/>
      <w:lvlText w:val=""/>
      <w:lvlJc w:val="left"/>
      <w:pPr>
        <w:tabs>
          <w:tab w:val="num" w:pos="4320"/>
        </w:tabs>
        <w:ind w:left="4320" w:hanging="360"/>
      </w:pPr>
      <w:rPr>
        <w:rFonts w:ascii="Wingdings" w:hAnsi="Wingdings"/>
      </w:rPr>
    </w:lvl>
    <w:lvl w:ilvl="6" w:tplc="EA067090">
      <w:start w:val="1"/>
      <w:numFmt w:val="bullet"/>
      <w:lvlText w:val=""/>
      <w:lvlJc w:val="left"/>
      <w:pPr>
        <w:tabs>
          <w:tab w:val="num" w:pos="5040"/>
        </w:tabs>
        <w:ind w:left="5040" w:hanging="360"/>
      </w:pPr>
      <w:rPr>
        <w:rFonts w:ascii="Symbol" w:hAnsi="Symbol"/>
      </w:rPr>
    </w:lvl>
    <w:lvl w:ilvl="7" w:tplc="DE04F730">
      <w:start w:val="1"/>
      <w:numFmt w:val="bullet"/>
      <w:lvlText w:val="o"/>
      <w:lvlJc w:val="left"/>
      <w:pPr>
        <w:tabs>
          <w:tab w:val="num" w:pos="5760"/>
        </w:tabs>
        <w:ind w:left="5760" w:hanging="360"/>
      </w:pPr>
      <w:rPr>
        <w:rFonts w:ascii="Courier New" w:hAnsi="Courier New"/>
      </w:rPr>
    </w:lvl>
    <w:lvl w:ilvl="8" w:tplc="6DE69B42">
      <w:start w:val="1"/>
      <w:numFmt w:val="bullet"/>
      <w:lvlText w:val=""/>
      <w:lvlJc w:val="left"/>
      <w:pPr>
        <w:tabs>
          <w:tab w:val="num" w:pos="6480"/>
        </w:tabs>
        <w:ind w:left="6480" w:hanging="360"/>
      </w:pPr>
      <w:rPr>
        <w:rFonts w:ascii="Wingdings" w:hAnsi="Wingdings"/>
      </w:rPr>
    </w:lvl>
  </w:abstractNum>
  <w:abstractNum w:abstractNumId="162" w15:restartNumberingAfterBreak="0">
    <w:nsid w:val="7DF62857"/>
    <w:multiLevelType w:val="multilevel"/>
    <w:tmpl w:val="7DF628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DF62858"/>
    <w:multiLevelType w:val="multilevel"/>
    <w:tmpl w:val="7DF62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7DF62859"/>
    <w:multiLevelType w:val="hybridMultilevel"/>
    <w:tmpl w:val="7DF62859"/>
    <w:lvl w:ilvl="0" w:tplc="C0424692">
      <w:start w:val="1"/>
      <w:numFmt w:val="bullet"/>
      <w:lvlText w:val=""/>
      <w:lvlJc w:val="left"/>
      <w:pPr>
        <w:tabs>
          <w:tab w:val="num" w:pos="720"/>
        </w:tabs>
        <w:ind w:left="720" w:hanging="360"/>
      </w:pPr>
      <w:rPr>
        <w:rFonts w:ascii="Symbol" w:hAnsi="Symbol"/>
      </w:rPr>
    </w:lvl>
    <w:lvl w:ilvl="1" w:tplc="C5C6F09A">
      <w:start w:val="1"/>
      <w:numFmt w:val="bullet"/>
      <w:lvlText w:val="o"/>
      <w:lvlJc w:val="left"/>
      <w:pPr>
        <w:tabs>
          <w:tab w:val="num" w:pos="1440"/>
        </w:tabs>
        <w:ind w:left="1440" w:hanging="360"/>
      </w:pPr>
      <w:rPr>
        <w:rFonts w:ascii="Courier New" w:hAnsi="Courier New"/>
      </w:rPr>
    </w:lvl>
    <w:lvl w:ilvl="2" w:tplc="D0A49C32">
      <w:start w:val="1"/>
      <w:numFmt w:val="bullet"/>
      <w:lvlText w:val=""/>
      <w:lvlJc w:val="left"/>
      <w:pPr>
        <w:tabs>
          <w:tab w:val="num" w:pos="2160"/>
        </w:tabs>
        <w:ind w:left="2160" w:hanging="360"/>
      </w:pPr>
      <w:rPr>
        <w:rFonts w:ascii="Wingdings" w:hAnsi="Wingdings"/>
      </w:rPr>
    </w:lvl>
    <w:lvl w:ilvl="3" w:tplc="CE52DD20">
      <w:start w:val="1"/>
      <w:numFmt w:val="bullet"/>
      <w:lvlText w:val=""/>
      <w:lvlJc w:val="left"/>
      <w:pPr>
        <w:tabs>
          <w:tab w:val="num" w:pos="2880"/>
        </w:tabs>
        <w:ind w:left="2880" w:hanging="360"/>
      </w:pPr>
      <w:rPr>
        <w:rFonts w:ascii="Symbol" w:hAnsi="Symbol"/>
      </w:rPr>
    </w:lvl>
    <w:lvl w:ilvl="4" w:tplc="D89EA3C2">
      <w:start w:val="1"/>
      <w:numFmt w:val="bullet"/>
      <w:lvlText w:val="o"/>
      <w:lvlJc w:val="left"/>
      <w:pPr>
        <w:tabs>
          <w:tab w:val="num" w:pos="3600"/>
        </w:tabs>
        <w:ind w:left="3600" w:hanging="360"/>
      </w:pPr>
      <w:rPr>
        <w:rFonts w:ascii="Courier New" w:hAnsi="Courier New"/>
      </w:rPr>
    </w:lvl>
    <w:lvl w:ilvl="5" w:tplc="F93E4D80">
      <w:start w:val="1"/>
      <w:numFmt w:val="bullet"/>
      <w:lvlText w:val=""/>
      <w:lvlJc w:val="left"/>
      <w:pPr>
        <w:tabs>
          <w:tab w:val="num" w:pos="4320"/>
        </w:tabs>
        <w:ind w:left="4320" w:hanging="360"/>
      </w:pPr>
      <w:rPr>
        <w:rFonts w:ascii="Wingdings" w:hAnsi="Wingdings"/>
      </w:rPr>
    </w:lvl>
    <w:lvl w:ilvl="6" w:tplc="BA7E28B8">
      <w:start w:val="1"/>
      <w:numFmt w:val="bullet"/>
      <w:lvlText w:val=""/>
      <w:lvlJc w:val="left"/>
      <w:pPr>
        <w:tabs>
          <w:tab w:val="num" w:pos="5040"/>
        </w:tabs>
        <w:ind w:left="5040" w:hanging="360"/>
      </w:pPr>
      <w:rPr>
        <w:rFonts w:ascii="Symbol" w:hAnsi="Symbol"/>
      </w:rPr>
    </w:lvl>
    <w:lvl w:ilvl="7" w:tplc="84BC94C0">
      <w:start w:val="1"/>
      <w:numFmt w:val="bullet"/>
      <w:lvlText w:val="o"/>
      <w:lvlJc w:val="left"/>
      <w:pPr>
        <w:tabs>
          <w:tab w:val="num" w:pos="5760"/>
        </w:tabs>
        <w:ind w:left="5760" w:hanging="360"/>
      </w:pPr>
      <w:rPr>
        <w:rFonts w:ascii="Courier New" w:hAnsi="Courier New"/>
      </w:rPr>
    </w:lvl>
    <w:lvl w:ilvl="8" w:tplc="2670F406">
      <w:start w:val="1"/>
      <w:numFmt w:val="bullet"/>
      <w:lvlText w:val=""/>
      <w:lvlJc w:val="left"/>
      <w:pPr>
        <w:tabs>
          <w:tab w:val="num" w:pos="6480"/>
        </w:tabs>
        <w:ind w:left="6480" w:hanging="360"/>
      </w:pPr>
      <w:rPr>
        <w:rFonts w:ascii="Wingdings" w:hAnsi="Wingdings"/>
      </w:rPr>
    </w:lvl>
  </w:abstractNum>
  <w:abstractNum w:abstractNumId="165" w15:restartNumberingAfterBreak="0">
    <w:nsid w:val="7DF6285A"/>
    <w:multiLevelType w:val="multilevel"/>
    <w:tmpl w:val="7DF62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7DF6285B"/>
    <w:multiLevelType w:val="multilevel"/>
    <w:tmpl w:val="7DF6285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DF6285C"/>
    <w:multiLevelType w:val="hybridMultilevel"/>
    <w:tmpl w:val="7DF6285C"/>
    <w:lvl w:ilvl="0" w:tplc="A2D2E558">
      <w:start w:val="1"/>
      <w:numFmt w:val="bullet"/>
      <w:lvlText w:val=""/>
      <w:lvlJc w:val="left"/>
      <w:pPr>
        <w:tabs>
          <w:tab w:val="num" w:pos="720"/>
        </w:tabs>
        <w:ind w:left="720" w:hanging="360"/>
      </w:pPr>
      <w:rPr>
        <w:rFonts w:ascii="Symbol" w:hAnsi="Symbol"/>
      </w:rPr>
    </w:lvl>
    <w:lvl w:ilvl="1" w:tplc="FDF40870">
      <w:start w:val="1"/>
      <w:numFmt w:val="bullet"/>
      <w:lvlText w:val="o"/>
      <w:lvlJc w:val="left"/>
      <w:pPr>
        <w:tabs>
          <w:tab w:val="num" w:pos="1440"/>
        </w:tabs>
        <w:ind w:left="1440" w:hanging="360"/>
      </w:pPr>
      <w:rPr>
        <w:rFonts w:ascii="Courier New" w:hAnsi="Courier New"/>
      </w:rPr>
    </w:lvl>
    <w:lvl w:ilvl="2" w:tplc="026E8082">
      <w:start w:val="1"/>
      <w:numFmt w:val="bullet"/>
      <w:lvlText w:val=""/>
      <w:lvlJc w:val="left"/>
      <w:pPr>
        <w:tabs>
          <w:tab w:val="num" w:pos="2160"/>
        </w:tabs>
        <w:ind w:left="2160" w:hanging="360"/>
      </w:pPr>
      <w:rPr>
        <w:rFonts w:ascii="Wingdings" w:hAnsi="Wingdings"/>
      </w:rPr>
    </w:lvl>
    <w:lvl w:ilvl="3" w:tplc="5DEE0DA8">
      <w:start w:val="1"/>
      <w:numFmt w:val="bullet"/>
      <w:lvlText w:val=""/>
      <w:lvlJc w:val="left"/>
      <w:pPr>
        <w:tabs>
          <w:tab w:val="num" w:pos="2880"/>
        </w:tabs>
        <w:ind w:left="2880" w:hanging="360"/>
      </w:pPr>
      <w:rPr>
        <w:rFonts w:ascii="Symbol" w:hAnsi="Symbol"/>
      </w:rPr>
    </w:lvl>
    <w:lvl w:ilvl="4" w:tplc="3E8E3484">
      <w:start w:val="1"/>
      <w:numFmt w:val="bullet"/>
      <w:lvlText w:val="o"/>
      <w:lvlJc w:val="left"/>
      <w:pPr>
        <w:tabs>
          <w:tab w:val="num" w:pos="3600"/>
        </w:tabs>
        <w:ind w:left="3600" w:hanging="360"/>
      </w:pPr>
      <w:rPr>
        <w:rFonts w:ascii="Courier New" w:hAnsi="Courier New"/>
      </w:rPr>
    </w:lvl>
    <w:lvl w:ilvl="5" w:tplc="143A78EA">
      <w:start w:val="1"/>
      <w:numFmt w:val="bullet"/>
      <w:lvlText w:val=""/>
      <w:lvlJc w:val="left"/>
      <w:pPr>
        <w:tabs>
          <w:tab w:val="num" w:pos="4320"/>
        </w:tabs>
        <w:ind w:left="4320" w:hanging="360"/>
      </w:pPr>
      <w:rPr>
        <w:rFonts w:ascii="Wingdings" w:hAnsi="Wingdings"/>
      </w:rPr>
    </w:lvl>
    <w:lvl w:ilvl="6" w:tplc="371A6390">
      <w:start w:val="1"/>
      <w:numFmt w:val="bullet"/>
      <w:lvlText w:val=""/>
      <w:lvlJc w:val="left"/>
      <w:pPr>
        <w:tabs>
          <w:tab w:val="num" w:pos="5040"/>
        </w:tabs>
        <w:ind w:left="5040" w:hanging="360"/>
      </w:pPr>
      <w:rPr>
        <w:rFonts w:ascii="Symbol" w:hAnsi="Symbol"/>
      </w:rPr>
    </w:lvl>
    <w:lvl w:ilvl="7" w:tplc="2A848412">
      <w:start w:val="1"/>
      <w:numFmt w:val="bullet"/>
      <w:lvlText w:val="o"/>
      <w:lvlJc w:val="left"/>
      <w:pPr>
        <w:tabs>
          <w:tab w:val="num" w:pos="5760"/>
        </w:tabs>
        <w:ind w:left="5760" w:hanging="360"/>
      </w:pPr>
      <w:rPr>
        <w:rFonts w:ascii="Courier New" w:hAnsi="Courier New"/>
      </w:rPr>
    </w:lvl>
    <w:lvl w:ilvl="8" w:tplc="477CDE92">
      <w:start w:val="1"/>
      <w:numFmt w:val="bullet"/>
      <w:lvlText w:val=""/>
      <w:lvlJc w:val="left"/>
      <w:pPr>
        <w:tabs>
          <w:tab w:val="num" w:pos="6480"/>
        </w:tabs>
        <w:ind w:left="6480" w:hanging="360"/>
      </w:pPr>
      <w:rPr>
        <w:rFonts w:ascii="Wingdings" w:hAnsi="Wingdings"/>
      </w:rPr>
    </w:lvl>
  </w:abstractNum>
  <w:abstractNum w:abstractNumId="168" w15:restartNumberingAfterBreak="0">
    <w:nsid w:val="7DF6285D"/>
    <w:multiLevelType w:val="multilevel"/>
    <w:tmpl w:val="7DF6285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7DF6285E"/>
    <w:multiLevelType w:val="multilevel"/>
    <w:tmpl w:val="7DF628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7DF6285F"/>
    <w:multiLevelType w:val="multilevel"/>
    <w:tmpl w:val="7DF6285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7DF62860"/>
    <w:multiLevelType w:val="hybridMultilevel"/>
    <w:tmpl w:val="7DF62860"/>
    <w:lvl w:ilvl="0" w:tplc="01CADA74">
      <w:start w:val="1"/>
      <w:numFmt w:val="bullet"/>
      <w:lvlText w:val=""/>
      <w:lvlJc w:val="left"/>
      <w:pPr>
        <w:tabs>
          <w:tab w:val="num" w:pos="720"/>
        </w:tabs>
        <w:ind w:left="720" w:hanging="360"/>
      </w:pPr>
      <w:rPr>
        <w:rFonts w:ascii="Symbol" w:hAnsi="Symbol"/>
      </w:rPr>
    </w:lvl>
    <w:lvl w:ilvl="1" w:tplc="2E4A48E6">
      <w:start w:val="1"/>
      <w:numFmt w:val="bullet"/>
      <w:lvlText w:val="o"/>
      <w:lvlJc w:val="left"/>
      <w:pPr>
        <w:tabs>
          <w:tab w:val="num" w:pos="1440"/>
        </w:tabs>
        <w:ind w:left="1440" w:hanging="360"/>
      </w:pPr>
      <w:rPr>
        <w:rFonts w:ascii="Courier New" w:hAnsi="Courier New"/>
      </w:rPr>
    </w:lvl>
    <w:lvl w:ilvl="2" w:tplc="2B20DAE0">
      <w:start w:val="1"/>
      <w:numFmt w:val="bullet"/>
      <w:lvlText w:val=""/>
      <w:lvlJc w:val="left"/>
      <w:pPr>
        <w:tabs>
          <w:tab w:val="num" w:pos="2160"/>
        </w:tabs>
        <w:ind w:left="2160" w:hanging="360"/>
      </w:pPr>
      <w:rPr>
        <w:rFonts w:ascii="Wingdings" w:hAnsi="Wingdings"/>
      </w:rPr>
    </w:lvl>
    <w:lvl w:ilvl="3" w:tplc="6FB03EFE">
      <w:start w:val="1"/>
      <w:numFmt w:val="bullet"/>
      <w:lvlText w:val=""/>
      <w:lvlJc w:val="left"/>
      <w:pPr>
        <w:tabs>
          <w:tab w:val="num" w:pos="2880"/>
        </w:tabs>
        <w:ind w:left="2880" w:hanging="360"/>
      </w:pPr>
      <w:rPr>
        <w:rFonts w:ascii="Symbol" w:hAnsi="Symbol"/>
      </w:rPr>
    </w:lvl>
    <w:lvl w:ilvl="4" w:tplc="1A8E38D8">
      <w:start w:val="1"/>
      <w:numFmt w:val="bullet"/>
      <w:lvlText w:val="o"/>
      <w:lvlJc w:val="left"/>
      <w:pPr>
        <w:tabs>
          <w:tab w:val="num" w:pos="3600"/>
        </w:tabs>
        <w:ind w:left="3600" w:hanging="360"/>
      </w:pPr>
      <w:rPr>
        <w:rFonts w:ascii="Courier New" w:hAnsi="Courier New"/>
      </w:rPr>
    </w:lvl>
    <w:lvl w:ilvl="5" w:tplc="3DA8CAEE">
      <w:start w:val="1"/>
      <w:numFmt w:val="bullet"/>
      <w:lvlText w:val=""/>
      <w:lvlJc w:val="left"/>
      <w:pPr>
        <w:tabs>
          <w:tab w:val="num" w:pos="4320"/>
        </w:tabs>
        <w:ind w:left="4320" w:hanging="360"/>
      </w:pPr>
      <w:rPr>
        <w:rFonts w:ascii="Wingdings" w:hAnsi="Wingdings"/>
      </w:rPr>
    </w:lvl>
    <w:lvl w:ilvl="6" w:tplc="8CF40D4C">
      <w:start w:val="1"/>
      <w:numFmt w:val="bullet"/>
      <w:lvlText w:val=""/>
      <w:lvlJc w:val="left"/>
      <w:pPr>
        <w:tabs>
          <w:tab w:val="num" w:pos="5040"/>
        </w:tabs>
        <w:ind w:left="5040" w:hanging="360"/>
      </w:pPr>
      <w:rPr>
        <w:rFonts w:ascii="Symbol" w:hAnsi="Symbol"/>
      </w:rPr>
    </w:lvl>
    <w:lvl w:ilvl="7" w:tplc="98C8AE98">
      <w:start w:val="1"/>
      <w:numFmt w:val="bullet"/>
      <w:lvlText w:val="o"/>
      <w:lvlJc w:val="left"/>
      <w:pPr>
        <w:tabs>
          <w:tab w:val="num" w:pos="5760"/>
        </w:tabs>
        <w:ind w:left="5760" w:hanging="360"/>
      </w:pPr>
      <w:rPr>
        <w:rFonts w:ascii="Courier New" w:hAnsi="Courier New"/>
      </w:rPr>
    </w:lvl>
    <w:lvl w:ilvl="8" w:tplc="79E255CE">
      <w:start w:val="1"/>
      <w:numFmt w:val="bullet"/>
      <w:lvlText w:val=""/>
      <w:lvlJc w:val="left"/>
      <w:pPr>
        <w:tabs>
          <w:tab w:val="num" w:pos="6480"/>
        </w:tabs>
        <w:ind w:left="6480" w:hanging="360"/>
      </w:pPr>
      <w:rPr>
        <w:rFonts w:ascii="Wingdings" w:hAnsi="Wingdings"/>
      </w:rPr>
    </w:lvl>
  </w:abstractNum>
  <w:abstractNum w:abstractNumId="172" w15:restartNumberingAfterBreak="0">
    <w:nsid w:val="7DF62861"/>
    <w:multiLevelType w:val="hybridMultilevel"/>
    <w:tmpl w:val="7DF62861"/>
    <w:lvl w:ilvl="0" w:tplc="833031D6">
      <w:start w:val="1"/>
      <w:numFmt w:val="bullet"/>
      <w:lvlText w:val=""/>
      <w:lvlJc w:val="left"/>
      <w:pPr>
        <w:tabs>
          <w:tab w:val="num" w:pos="720"/>
        </w:tabs>
        <w:ind w:left="720" w:hanging="360"/>
      </w:pPr>
      <w:rPr>
        <w:rFonts w:ascii="Symbol" w:hAnsi="Symbol"/>
      </w:rPr>
    </w:lvl>
    <w:lvl w:ilvl="1" w:tplc="4F32C0A0">
      <w:start w:val="1"/>
      <w:numFmt w:val="bullet"/>
      <w:lvlText w:val="o"/>
      <w:lvlJc w:val="left"/>
      <w:pPr>
        <w:tabs>
          <w:tab w:val="num" w:pos="1440"/>
        </w:tabs>
        <w:ind w:left="1440" w:hanging="360"/>
      </w:pPr>
      <w:rPr>
        <w:rFonts w:ascii="Courier New" w:hAnsi="Courier New"/>
      </w:rPr>
    </w:lvl>
    <w:lvl w:ilvl="2" w:tplc="64BA9474">
      <w:start w:val="1"/>
      <w:numFmt w:val="bullet"/>
      <w:lvlText w:val=""/>
      <w:lvlJc w:val="left"/>
      <w:pPr>
        <w:tabs>
          <w:tab w:val="num" w:pos="2160"/>
        </w:tabs>
        <w:ind w:left="2160" w:hanging="360"/>
      </w:pPr>
      <w:rPr>
        <w:rFonts w:ascii="Wingdings" w:hAnsi="Wingdings"/>
      </w:rPr>
    </w:lvl>
    <w:lvl w:ilvl="3" w:tplc="947E2C34">
      <w:start w:val="1"/>
      <w:numFmt w:val="bullet"/>
      <w:lvlText w:val=""/>
      <w:lvlJc w:val="left"/>
      <w:pPr>
        <w:tabs>
          <w:tab w:val="num" w:pos="2880"/>
        </w:tabs>
        <w:ind w:left="2880" w:hanging="360"/>
      </w:pPr>
      <w:rPr>
        <w:rFonts w:ascii="Symbol" w:hAnsi="Symbol"/>
      </w:rPr>
    </w:lvl>
    <w:lvl w:ilvl="4" w:tplc="247648D6">
      <w:start w:val="1"/>
      <w:numFmt w:val="bullet"/>
      <w:lvlText w:val="o"/>
      <w:lvlJc w:val="left"/>
      <w:pPr>
        <w:tabs>
          <w:tab w:val="num" w:pos="3600"/>
        </w:tabs>
        <w:ind w:left="3600" w:hanging="360"/>
      </w:pPr>
      <w:rPr>
        <w:rFonts w:ascii="Courier New" w:hAnsi="Courier New"/>
      </w:rPr>
    </w:lvl>
    <w:lvl w:ilvl="5" w:tplc="A686FB2C">
      <w:start w:val="1"/>
      <w:numFmt w:val="bullet"/>
      <w:lvlText w:val=""/>
      <w:lvlJc w:val="left"/>
      <w:pPr>
        <w:tabs>
          <w:tab w:val="num" w:pos="4320"/>
        </w:tabs>
        <w:ind w:left="4320" w:hanging="360"/>
      </w:pPr>
      <w:rPr>
        <w:rFonts w:ascii="Wingdings" w:hAnsi="Wingdings"/>
      </w:rPr>
    </w:lvl>
    <w:lvl w:ilvl="6" w:tplc="72B4FBD4">
      <w:start w:val="1"/>
      <w:numFmt w:val="bullet"/>
      <w:lvlText w:val=""/>
      <w:lvlJc w:val="left"/>
      <w:pPr>
        <w:tabs>
          <w:tab w:val="num" w:pos="5040"/>
        </w:tabs>
        <w:ind w:left="5040" w:hanging="360"/>
      </w:pPr>
      <w:rPr>
        <w:rFonts w:ascii="Symbol" w:hAnsi="Symbol"/>
      </w:rPr>
    </w:lvl>
    <w:lvl w:ilvl="7" w:tplc="A9FA8F3C">
      <w:start w:val="1"/>
      <w:numFmt w:val="bullet"/>
      <w:lvlText w:val="o"/>
      <w:lvlJc w:val="left"/>
      <w:pPr>
        <w:tabs>
          <w:tab w:val="num" w:pos="5760"/>
        </w:tabs>
        <w:ind w:left="5760" w:hanging="360"/>
      </w:pPr>
      <w:rPr>
        <w:rFonts w:ascii="Courier New" w:hAnsi="Courier New"/>
      </w:rPr>
    </w:lvl>
    <w:lvl w:ilvl="8" w:tplc="62BE86A0">
      <w:start w:val="1"/>
      <w:numFmt w:val="bullet"/>
      <w:lvlText w:val=""/>
      <w:lvlJc w:val="left"/>
      <w:pPr>
        <w:tabs>
          <w:tab w:val="num" w:pos="6480"/>
        </w:tabs>
        <w:ind w:left="6480" w:hanging="360"/>
      </w:pPr>
      <w:rPr>
        <w:rFonts w:ascii="Wingdings" w:hAnsi="Wingdings"/>
      </w:rPr>
    </w:lvl>
  </w:abstractNum>
  <w:abstractNum w:abstractNumId="173" w15:restartNumberingAfterBreak="0">
    <w:nsid w:val="7DF62862"/>
    <w:multiLevelType w:val="multilevel"/>
    <w:tmpl w:val="7DF6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7DF62863"/>
    <w:multiLevelType w:val="hybridMultilevel"/>
    <w:tmpl w:val="7DF62863"/>
    <w:lvl w:ilvl="0" w:tplc="299A56EA">
      <w:start w:val="1"/>
      <w:numFmt w:val="bullet"/>
      <w:lvlText w:val=""/>
      <w:lvlJc w:val="left"/>
      <w:pPr>
        <w:tabs>
          <w:tab w:val="num" w:pos="720"/>
        </w:tabs>
        <w:ind w:left="720" w:hanging="360"/>
      </w:pPr>
      <w:rPr>
        <w:rFonts w:ascii="Symbol" w:hAnsi="Symbol"/>
      </w:rPr>
    </w:lvl>
    <w:lvl w:ilvl="1" w:tplc="B876194C">
      <w:start w:val="1"/>
      <w:numFmt w:val="bullet"/>
      <w:lvlText w:val="o"/>
      <w:lvlJc w:val="left"/>
      <w:pPr>
        <w:tabs>
          <w:tab w:val="num" w:pos="1440"/>
        </w:tabs>
        <w:ind w:left="1440" w:hanging="360"/>
      </w:pPr>
      <w:rPr>
        <w:rFonts w:ascii="Courier New" w:hAnsi="Courier New"/>
      </w:rPr>
    </w:lvl>
    <w:lvl w:ilvl="2" w:tplc="E3EA4C48">
      <w:start w:val="1"/>
      <w:numFmt w:val="bullet"/>
      <w:lvlText w:val=""/>
      <w:lvlJc w:val="left"/>
      <w:pPr>
        <w:tabs>
          <w:tab w:val="num" w:pos="2160"/>
        </w:tabs>
        <w:ind w:left="2160" w:hanging="360"/>
      </w:pPr>
      <w:rPr>
        <w:rFonts w:ascii="Wingdings" w:hAnsi="Wingdings"/>
      </w:rPr>
    </w:lvl>
    <w:lvl w:ilvl="3" w:tplc="FD068D56">
      <w:start w:val="1"/>
      <w:numFmt w:val="bullet"/>
      <w:lvlText w:val=""/>
      <w:lvlJc w:val="left"/>
      <w:pPr>
        <w:tabs>
          <w:tab w:val="num" w:pos="2880"/>
        </w:tabs>
        <w:ind w:left="2880" w:hanging="360"/>
      </w:pPr>
      <w:rPr>
        <w:rFonts w:ascii="Symbol" w:hAnsi="Symbol"/>
      </w:rPr>
    </w:lvl>
    <w:lvl w:ilvl="4" w:tplc="95683B3C">
      <w:start w:val="1"/>
      <w:numFmt w:val="bullet"/>
      <w:lvlText w:val="o"/>
      <w:lvlJc w:val="left"/>
      <w:pPr>
        <w:tabs>
          <w:tab w:val="num" w:pos="3600"/>
        </w:tabs>
        <w:ind w:left="3600" w:hanging="360"/>
      </w:pPr>
      <w:rPr>
        <w:rFonts w:ascii="Courier New" w:hAnsi="Courier New"/>
      </w:rPr>
    </w:lvl>
    <w:lvl w:ilvl="5" w:tplc="E86E79EA">
      <w:start w:val="1"/>
      <w:numFmt w:val="bullet"/>
      <w:lvlText w:val=""/>
      <w:lvlJc w:val="left"/>
      <w:pPr>
        <w:tabs>
          <w:tab w:val="num" w:pos="4320"/>
        </w:tabs>
        <w:ind w:left="4320" w:hanging="360"/>
      </w:pPr>
      <w:rPr>
        <w:rFonts w:ascii="Wingdings" w:hAnsi="Wingdings"/>
      </w:rPr>
    </w:lvl>
    <w:lvl w:ilvl="6" w:tplc="92AC5D0E">
      <w:start w:val="1"/>
      <w:numFmt w:val="bullet"/>
      <w:lvlText w:val=""/>
      <w:lvlJc w:val="left"/>
      <w:pPr>
        <w:tabs>
          <w:tab w:val="num" w:pos="5040"/>
        </w:tabs>
        <w:ind w:left="5040" w:hanging="360"/>
      </w:pPr>
      <w:rPr>
        <w:rFonts w:ascii="Symbol" w:hAnsi="Symbol"/>
      </w:rPr>
    </w:lvl>
    <w:lvl w:ilvl="7" w:tplc="6F9C0CB0">
      <w:start w:val="1"/>
      <w:numFmt w:val="bullet"/>
      <w:lvlText w:val="o"/>
      <w:lvlJc w:val="left"/>
      <w:pPr>
        <w:tabs>
          <w:tab w:val="num" w:pos="5760"/>
        </w:tabs>
        <w:ind w:left="5760" w:hanging="360"/>
      </w:pPr>
      <w:rPr>
        <w:rFonts w:ascii="Courier New" w:hAnsi="Courier New"/>
      </w:rPr>
    </w:lvl>
    <w:lvl w:ilvl="8" w:tplc="009A7EC2">
      <w:start w:val="1"/>
      <w:numFmt w:val="bullet"/>
      <w:lvlText w:val=""/>
      <w:lvlJc w:val="left"/>
      <w:pPr>
        <w:tabs>
          <w:tab w:val="num" w:pos="6480"/>
        </w:tabs>
        <w:ind w:left="6480" w:hanging="360"/>
      </w:pPr>
      <w:rPr>
        <w:rFonts w:ascii="Wingdings" w:hAnsi="Wingdings"/>
      </w:rPr>
    </w:lvl>
  </w:abstractNum>
  <w:abstractNum w:abstractNumId="175" w15:restartNumberingAfterBreak="0">
    <w:nsid w:val="7DF62864"/>
    <w:multiLevelType w:val="hybridMultilevel"/>
    <w:tmpl w:val="7DF62864"/>
    <w:lvl w:ilvl="0" w:tplc="B136D02C">
      <w:start w:val="1"/>
      <w:numFmt w:val="bullet"/>
      <w:lvlText w:val=""/>
      <w:lvlJc w:val="left"/>
      <w:pPr>
        <w:tabs>
          <w:tab w:val="num" w:pos="720"/>
        </w:tabs>
        <w:ind w:left="720" w:hanging="360"/>
      </w:pPr>
      <w:rPr>
        <w:rFonts w:ascii="Symbol" w:hAnsi="Symbol"/>
      </w:rPr>
    </w:lvl>
    <w:lvl w:ilvl="1" w:tplc="BE2652EE">
      <w:start w:val="1"/>
      <w:numFmt w:val="bullet"/>
      <w:lvlText w:val="o"/>
      <w:lvlJc w:val="left"/>
      <w:pPr>
        <w:tabs>
          <w:tab w:val="num" w:pos="1440"/>
        </w:tabs>
        <w:ind w:left="1440" w:hanging="360"/>
      </w:pPr>
      <w:rPr>
        <w:rFonts w:ascii="Courier New" w:hAnsi="Courier New"/>
      </w:rPr>
    </w:lvl>
    <w:lvl w:ilvl="2" w:tplc="E43C6F14">
      <w:start w:val="1"/>
      <w:numFmt w:val="bullet"/>
      <w:lvlText w:val=""/>
      <w:lvlJc w:val="left"/>
      <w:pPr>
        <w:tabs>
          <w:tab w:val="num" w:pos="2160"/>
        </w:tabs>
        <w:ind w:left="2160" w:hanging="360"/>
      </w:pPr>
      <w:rPr>
        <w:rFonts w:ascii="Wingdings" w:hAnsi="Wingdings"/>
      </w:rPr>
    </w:lvl>
    <w:lvl w:ilvl="3" w:tplc="D4A43198">
      <w:start w:val="1"/>
      <w:numFmt w:val="bullet"/>
      <w:lvlText w:val=""/>
      <w:lvlJc w:val="left"/>
      <w:pPr>
        <w:tabs>
          <w:tab w:val="num" w:pos="2880"/>
        </w:tabs>
        <w:ind w:left="2880" w:hanging="360"/>
      </w:pPr>
      <w:rPr>
        <w:rFonts w:ascii="Symbol" w:hAnsi="Symbol"/>
      </w:rPr>
    </w:lvl>
    <w:lvl w:ilvl="4" w:tplc="14F66ED6">
      <w:start w:val="1"/>
      <w:numFmt w:val="bullet"/>
      <w:lvlText w:val="o"/>
      <w:lvlJc w:val="left"/>
      <w:pPr>
        <w:tabs>
          <w:tab w:val="num" w:pos="3600"/>
        </w:tabs>
        <w:ind w:left="3600" w:hanging="360"/>
      </w:pPr>
      <w:rPr>
        <w:rFonts w:ascii="Courier New" w:hAnsi="Courier New"/>
      </w:rPr>
    </w:lvl>
    <w:lvl w:ilvl="5" w:tplc="983485F2">
      <w:start w:val="1"/>
      <w:numFmt w:val="bullet"/>
      <w:lvlText w:val=""/>
      <w:lvlJc w:val="left"/>
      <w:pPr>
        <w:tabs>
          <w:tab w:val="num" w:pos="4320"/>
        </w:tabs>
        <w:ind w:left="4320" w:hanging="360"/>
      </w:pPr>
      <w:rPr>
        <w:rFonts w:ascii="Wingdings" w:hAnsi="Wingdings"/>
      </w:rPr>
    </w:lvl>
    <w:lvl w:ilvl="6" w:tplc="19424F98">
      <w:start w:val="1"/>
      <w:numFmt w:val="bullet"/>
      <w:lvlText w:val=""/>
      <w:lvlJc w:val="left"/>
      <w:pPr>
        <w:tabs>
          <w:tab w:val="num" w:pos="5040"/>
        </w:tabs>
        <w:ind w:left="5040" w:hanging="360"/>
      </w:pPr>
      <w:rPr>
        <w:rFonts w:ascii="Symbol" w:hAnsi="Symbol"/>
      </w:rPr>
    </w:lvl>
    <w:lvl w:ilvl="7" w:tplc="ECCA86E2">
      <w:start w:val="1"/>
      <w:numFmt w:val="bullet"/>
      <w:lvlText w:val="o"/>
      <w:lvlJc w:val="left"/>
      <w:pPr>
        <w:tabs>
          <w:tab w:val="num" w:pos="5760"/>
        </w:tabs>
        <w:ind w:left="5760" w:hanging="360"/>
      </w:pPr>
      <w:rPr>
        <w:rFonts w:ascii="Courier New" w:hAnsi="Courier New"/>
      </w:rPr>
    </w:lvl>
    <w:lvl w:ilvl="8" w:tplc="185A91EC">
      <w:start w:val="1"/>
      <w:numFmt w:val="bullet"/>
      <w:lvlText w:val=""/>
      <w:lvlJc w:val="left"/>
      <w:pPr>
        <w:tabs>
          <w:tab w:val="num" w:pos="6480"/>
        </w:tabs>
        <w:ind w:left="6480" w:hanging="360"/>
      </w:pPr>
      <w:rPr>
        <w:rFonts w:ascii="Wingdings" w:hAnsi="Wingdings"/>
      </w:rPr>
    </w:lvl>
  </w:abstractNum>
  <w:abstractNum w:abstractNumId="176" w15:restartNumberingAfterBreak="0">
    <w:nsid w:val="7DF62865"/>
    <w:multiLevelType w:val="hybridMultilevel"/>
    <w:tmpl w:val="7DF62865"/>
    <w:lvl w:ilvl="0" w:tplc="05305302">
      <w:start w:val="1"/>
      <w:numFmt w:val="bullet"/>
      <w:lvlText w:val=""/>
      <w:lvlJc w:val="left"/>
      <w:pPr>
        <w:tabs>
          <w:tab w:val="num" w:pos="720"/>
        </w:tabs>
        <w:ind w:left="720" w:hanging="360"/>
      </w:pPr>
      <w:rPr>
        <w:rFonts w:ascii="Symbol" w:hAnsi="Symbol"/>
      </w:rPr>
    </w:lvl>
    <w:lvl w:ilvl="1" w:tplc="C7744E96">
      <w:start w:val="1"/>
      <w:numFmt w:val="bullet"/>
      <w:lvlText w:val="o"/>
      <w:lvlJc w:val="left"/>
      <w:pPr>
        <w:tabs>
          <w:tab w:val="num" w:pos="1440"/>
        </w:tabs>
        <w:ind w:left="1440" w:hanging="360"/>
      </w:pPr>
      <w:rPr>
        <w:rFonts w:ascii="Courier New" w:hAnsi="Courier New"/>
      </w:rPr>
    </w:lvl>
    <w:lvl w:ilvl="2" w:tplc="31D65ED4">
      <w:start w:val="1"/>
      <w:numFmt w:val="bullet"/>
      <w:lvlText w:val=""/>
      <w:lvlJc w:val="left"/>
      <w:pPr>
        <w:tabs>
          <w:tab w:val="num" w:pos="2160"/>
        </w:tabs>
        <w:ind w:left="2160" w:hanging="360"/>
      </w:pPr>
      <w:rPr>
        <w:rFonts w:ascii="Wingdings" w:hAnsi="Wingdings"/>
      </w:rPr>
    </w:lvl>
    <w:lvl w:ilvl="3" w:tplc="5602E6FA">
      <w:start w:val="1"/>
      <w:numFmt w:val="bullet"/>
      <w:lvlText w:val=""/>
      <w:lvlJc w:val="left"/>
      <w:pPr>
        <w:tabs>
          <w:tab w:val="num" w:pos="2880"/>
        </w:tabs>
        <w:ind w:left="2880" w:hanging="360"/>
      </w:pPr>
      <w:rPr>
        <w:rFonts w:ascii="Symbol" w:hAnsi="Symbol"/>
      </w:rPr>
    </w:lvl>
    <w:lvl w:ilvl="4" w:tplc="B8D65902">
      <w:start w:val="1"/>
      <w:numFmt w:val="bullet"/>
      <w:lvlText w:val="o"/>
      <w:lvlJc w:val="left"/>
      <w:pPr>
        <w:tabs>
          <w:tab w:val="num" w:pos="3600"/>
        </w:tabs>
        <w:ind w:left="3600" w:hanging="360"/>
      </w:pPr>
      <w:rPr>
        <w:rFonts w:ascii="Courier New" w:hAnsi="Courier New"/>
      </w:rPr>
    </w:lvl>
    <w:lvl w:ilvl="5" w:tplc="2B22443A">
      <w:start w:val="1"/>
      <w:numFmt w:val="bullet"/>
      <w:lvlText w:val=""/>
      <w:lvlJc w:val="left"/>
      <w:pPr>
        <w:tabs>
          <w:tab w:val="num" w:pos="4320"/>
        </w:tabs>
        <w:ind w:left="4320" w:hanging="360"/>
      </w:pPr>
      <w:rPr>
        <w:rFonts w:ascii="Wingdings" w:hAnsi="Wingdings"/>
      </w:rPr>
    </w:lvl>
    <w:lvl w:ilvl="6" w:tplc="C15A3932">
      <w:start w:val="1"/>
      <w:numFmt w:val="bullet"/>
      <w:lvlText w:val=""/>
      <w:lvlJc w:val="left"/>
      <w:pPr>
        <w:tabs>
          <w:tab w:val="num" w:pos="5040"/>
        </w:tabs>
        <w:ind w:left="5040" w:hanging="360"/>
      </w:pPr>
      <w:rPr>
        <w:rFonts w:ascii="Symbol" w:hAnsi="Symbol"/>
      </w:rPr>
    </w:lvl>
    <w:lvl w:ilvl="7" w:tplc="C39CC81E">
      <w:start w:val="1"/>
      <w:numFmt w:val="bullet"/>
      <w:lvlText w:val="o"/>
      <w:lvlJc w:val="left"/>
      <w:pPr>
        <w:tabs>
          <w:tab w:val="num" w:pos="5760"/>
        </w:tabs>
        <w:ind w:left="5760" w:hanging="360"/>
      </w:pPr>
      <w:rPr>
        <w:rFonts w:ascii="Courier New" w:hAnsi="Courier New"/>
      </w:rPr>
    </w:lvl>
    <w:lvl w:ilvl="8" w:tplc="9A08D436">
      <w:start w:val="1"/>
      <w:numFmt w:val="bullet"/>
      <w:lvlText w:val=""/>
      <w:lvlJc w:val="left"/>
      <w:pPr>
        <w:tabs>
          <w:tab w:val="num" w:pos="6480"/>
        </w:tabs>
        <w:ind w:left="6480" w:hanging="360"/>
      </w:pPr>
      <w:rPr>
        <w:rFonts w:ascii="Wingdings" w:hAnsi="Wingdings"/>
      </w:rPr>
    </w:lvl>
  </w:abstractNum>
  <w:abstractNum w:abstractNumId="177" w15:restartNumberingAfterBreak="0">
    <w:nsid w:val="7DF62866"/>
    <w:multiLevelType w:val="hybridMultilevel"/>
    <w:tmpl w:val="7DF62866"/>
    <w:lvl w:ilvl="0" w:tplc="C4CAFBF2">
      <w:start w:val="1"/>
      <w:numFmt w:val="bullet"/>
      <w:lvlText w:val=""/>
      <w:lvlJc w:val="left"/>
      <w:pPr>
        <w:tabs>
          <w:tab w:val="num" w:pos="720"/>
        </w:tabs>
        <w:ind w:left="720" w:hanging="360"/>
      </w:pPr>
      <w:rPr>
        <w:rFonts w:ascii="Symbol" w:hAnsi="Symbol"/>
      </w:rPr>
    </w:lvl>
    <w:lvl w:ilvl="1" w:tplc="0F545C02">
      <w:start w:val="1"/>
      <w:numFmt w:val="bullet"/>
      <w:lvlText w:val="o"/>
      <w:lvlJc w:val="left"/>
      <w:pPr>
        <w:tabs>
          <w:tab w:val="num" w:pos="1440"/>
        </w:tabs>
        <w:ind w:left="1440" w:hanging="360"/>
      </w:pPr>
      <w:rPr>
        <w:rFonts w:ascii="Courier New" w:hAnsi="Courier New"/>
      </w:rPr>
    </w:lvl>
    <w:lvl w:ilvl="2" w:tplc="2F402522">
      <w:start w:val="1"/>
      <w:numFmt w:val="bullet"/>
      <w:lvlText w:val=""/>
      <w:lvlJc w:val="left"/>
      <w:pPr>
        <w:tabs>
          <w:tab w:val="num" w:pos="2160"/>
        </w:tabs>
        <w:ind w:left="2160" w:hanging="360"/>
      </w:pPr>
      <w:rPr>
        <w:rFonts w:ascii="Wingdings" w:hAnsi="Wingdings"/>
      </w:rPr>
    </w:lvl>
    <w:lvl w:ilvl="3" w:tplc="16621CD2">
      <w:start w:val="1"/>
      <w:numFmt w:val="bullet"/>
      <w:lvlText w:val=""/>
      <w:lvlJc w:val="left"/>
      <w:pPr>
        <w:tabs>
          <w:tab w:val="num" w:pos="2880"/>
        </w:tabs>
        <w:ind w:left="2880" w:hanging="360"/>
      </w:pPr>
      <w:rPr>
        <w:rFonts w:ascii="Symbol" w:hAnsi="Symbol"/>
      </w:rPr>
    </w:lvl>
    <w:lvl w:ilvl="4" w:tplc="04D24194">
      <w:start w:val="1"/>
      <w:numFmt w:val="bullet"/>
      <w:lvlText w:val="o"/>
      <w:lvlJc w:val="left"/>
      <w:pPr>
        <w:tabs>
          <w:tab w:val="num" w:pos="3600"/>
        </w:tabs>
        <w:ind w:left="3600" w:hanging="360"/>
      </w:pPr>
      <w:rPr>
        <w:rFonts w:ascii="Courier New" w:hAnsi="Courier New"/>
      </w:rPr>
    </w:lvl>
    <w:lvl w:ilvl="5" w:tplc="5986D51A">
      <w:start w:val="1"/>
      <w:numFmt w:val="bullet"/>
      <w:lvlText w:val=""/>
      <w:lvlJc w:val="left"/>
      <w:pPr>
        <w:tabs>
          <w:tab w:val="num" w:pos="4320"/>
        </w:tabs>
        <w:ind w:left="4320" w:hanging="360"/>
      </w:pPr>
      <w:rPr>
        <w:rFonts w:ascii="Wingdings" w:hAnsi="Wingdings"/>
      </w:rPr>
    </w:lvl>
    <w:lvl w:ilvl="6" w:tplc="055CE318">
      <w:start w:val="1"/>
      <w:numFmt w:val="bullet"/>
      <w:lvlText w:val=""/>
      <w:lvlJc w:val="left"/>
      <w:pPr>
        <w:tabs>
          <w:tab w:val="num" w:pos="5040"/>
        </w:tabs>
        <w:ind w:left="5040" w:hanging="360"/>
      </w:pPr>
      <w:rPr>
        <w:rFonts w:ascii="Symbol" w:hAnsi="Symbol"/>
      </w:rPr>
    </w:lvl>
    <w:lvl w:ilvl="7" w:tplc="AAB44052">
      <w:start w:val="1"/>
      <w:numFmt w:val="bullet"/>
      <w:lvlText w:val="o"/>
      <w:lvlJc w:val="left"/>
      <w:pPr>
        <w:tabs>
          <w:tab w:val="num" w:pos="5760"/>
        </w:tabs>
        <w:ind w:left="5760" w:hanging="360"/>
      </w:pPr>
      <w:rPr>
        <w:rFonts w:ascii="Courier New" w:hAnsi="Courier New"/>
      </w:rPr>
    </w:lvl>
    <w:lvl w:ilvl="8" w:tplc="F1E68328">
      <w:start w:val="1"/>
      <w:numFmt w:val="bullet"/>
      <w:lvlText w:val=""/>
      <w:lvlJc w:val="left"/>
      <w:pPr>
        <w:tabs>
          <w:tab w:val="num" w:pos="6480"/>
        </w:tabs>
        <w:ind w:left="6480" w:hanging="360"/>
      </w:pPr>
      <w:rPr>
        <w:rFonts w:ascii="Wingdings" w:hAnsi="Wingdings"/>
      </w:rPr>
    </w:lvl>
  </w:abstractNum>
  <w:abstractNum w:abstractNumId="178" w15:restartNumberingAfterBreak="0">
    <w:nsid w:val="7DF62867"/>
    <w:multiLevelType w:val="hybridMultilevel"/>
    <w:tmpl w:val="7DF62867"/>
    <w:lvl w:ilvl="0" w:tplc="C22C8E28">
      <w:start w:val="1"/>
      <w:numFmt w:val="bullet"/>
      <w:lvlText w:val=""/>
      <w:lvlJc w:val="left"/>
      <w:pPr>
        <w:tabs>
          <w:tab w:val="num" w:pos="720"/>
        </w:tabs>
        <w:ind w:left="720" w:hanging="360"/>
      </w:pPr>
      <w:rPr>
        <w:rFonts w:ascii="Symbol" w:hAnsi="Symbol"/>
      </w:rPr>
    </w:lvl>
    <w:lvl w:ilvl="1" w:tplc="155848AC">
      <w:start w:val="1"/>
      <w:numFmt w:val="bullet"/>
      <w:lvlText w:val="o"/>
      <w:lvlJc w:val="left"/>
      <w:pPr>
        <w:tabs>
          <w:tab w:val="num" w:pos="1440"/>
        </w:tabs>
        <w:ind w:left="1440" w:hanging="360"/>
      </w:pPr>
      <w:rPr>
        <w:rFonts w:ascii="Courier New" w:hAnsi="Courier New"/>
      </w:rPr>
    </w:lvl>
    <w:lvl w:ilvl="2" w:tplc="6CFEC96E">
      <w:start w:val="1"/>
      <w:numFmt w:val="bullet"/>
      <w:lvlText w:val=""/>
      <w:lvlJc w:val="left"/>
      <w:pPr>
        <w:tabs>
          <w:tab w:val="num" w:pos="2160"/>
        </w:tabs>
        <w:ind w:left="2160" w:hanging="360"/>
      </w:pPr>
      <w:rPr>
        <w:rFonts w:ascii="Wingdings" w:hAnsi="Wingdings"/>
      </w:rPr>
    </w:lvl>
    <w:lvl w:ilvl="3" w:tplc="3C888E50">
      <w:start w:val="1"/>
      <w:numFmt w:val="bullet"/>
      <w:lvlText w:val=""/>
      <w:lvlJc w:val="left"/>
      <w:pPr>
        <w:tabs>
          <w:tab w:val="num" w:pos="2880"/>
        </w:tabs>
        <w:ind w:left="2880" w:hanging="360"/>
      </w:pPr>
      <w:rPr>
        <w:rFonts w:ascii="Symbol" w:hAnsi="Symbol"/>
      </w:rPr>
    </w:lvl>
    <w:lvl w:ilvl="4" w:tplc="0264FD78">
      <w:start w:val="1"/>
      <w:numFmt w:val="bullet"/>
      <w:lvlText w:val="o"/>
      <w:lvlJc w:val="left"/>
      <w:pPr>
        <w:tabs>
          <w:tab w:val="num" w:pos="3600"/>
        </w:tabs>
        <w:ind w:left="3600" w:hanging="360"/>
      </w:pPr>
      <w:rPr>
        <w:rFonts w:ascii="Courier New" w:hAnsi="Courier New"/>
      </w:rPr>
    </w:lvl>
    <w:lvl w:ilvl="5" w:tplc="6C4E5C72">
      <w:start w:val="1"/>
      <w:numFmt w:val="bullet"/>
      <w:lvlText w:val=""/>
      <w:lvlJc w:val="left"/>
      <w:pPr>
        <w:tabs>
          <w:tab w:val="num" w:pos="4320"/>
        </w:tabs>
        <w:ind w:left="4320" w:hanging="360"/>
      </w:pPr>
      <w:rPr>
        <w:rFonts w:ascii="Wingdings" w:hAnsi="Wingdings"/>
      </w:rPr>
    </w:lvl>
    <w:lvl w:ilvl="6" w:tplc="0C603CFC">
      <w:start w:val="1"/>
      <w:numFmt w:val="bullet"/>
      <w:lvlText w:val=""/>
      <w:lvlJc w:val="left"/>
      <w:pPr>
        <w:tabs>
          <w:tab w:val="num" w:pos="5040"/>
        </w:tabs>
        <w:ind w:left="5040" w:hanging="360"/>
      </w:pPr>
      <w:rPr>
        <w:rFonts w:ascii="Symbol" w:hAnsi="Symbol"/>
      </w:rPr>
    </w:lvl>
    <w:lvl w:ilvl="7" w:tplc="F432D076">
      <w:start w:val="1"/>
      <w:numFmt w:val="bullet"/>
      <w:lvlText w:val="o"/>
      <w:lvlJc w:val="left"/>
      <w:pPr>
        <w:tabs>
          <w:tab w:val="num" w:pos="5760"/>
        </w:tabs>
        <w:ind w:left="5760" w:hanging="360"/>
      </w:pPr>
      <w:rPr>
        <w:rFonts w:ascii="Courier New" w:hAnsi="Courier New"/>
      </w:rPr>
    </w:lvl>
    <w:lvl w:ilvl="8" w:tplc="EC2AC322">
      <w:start w:val="1"/>
      <w:numFmt w:val="bullet"/>
      <w:lvlText w:val=""/>
      <w:lvlJc w:val="left"/>
      <w:pPr>
        <w:tabs>
          <w:tab w:val="num" w:pos="6480"/>
        </w:tabs>
        <w:ind w:left="6480" w:hanging="360"/>
      </w:pPr>
      <w:rPr>
        <w:rFonts w:ascii="Wingdings" w:hAnsi="Wingdings"/>
      </w:rPr>
    </w:lvl>
  </w:abstractNum>
  <w:abstractNum w:abstractNumId="179" w15:restartNumberingAfterBreak="0">
    <w:nsid w:val="7DF62868"/>
    <w:multiLevelType w:val="hybridMultilevel"/>
    <w:tmpl w:val="7DF62868"/>
    <w:lvl w:ilvl="0" w:tplc="613212C6">
      <w:start w:val="1"/>
      <w:numFmt w:val="bullet"/>
      <w:lvlText w:val=""/>
      <w:lvlJc w:val="left"/>
      <w:pPr>
        <w:tabs>
          <w:tab w:val="num" w:pos="720"/>
        </w:tabs>
        <w:ind w:left="720" w:hanging="360"/>
      </w:pPr>
      <w:rPr>
        <w:rFonts w:ascii="Symbol" w:hAnsi="Symbol"/>
      </w:rPr>
    </w:lvl>
    <w:lvl w:ilvl="1" w:tplc="B038E36E">
      <w:start w:val="1"/>
      <w:numFmt w:val="bullet"/>
      <w:lvlText w:val="o"/>
      <w:lvlJc w:val="left"/>
      <w:pPr>
        <w:tabs>
          <w:tab w:val="num" w:pos="1440"/>
        </w:tabs>
        <w:ind w:left="1440" w:hanging="360"/>
      </w:pPr>
      <w:rPr>
        <w:rFonts w:ascii="Courier New" w:hAnsi="Courier New"/>
      </w:rPr>
    </w:lvl>
    <w:lvl w:ilvl="2" w:tplc="7F488034">
      <w:start w:val="1"/>
      <w:numFmt w:val="bullet"/>
      <w:lvlText w:val=""/>
      <w:lvlJc w:val="left"/>
      <w:pPr>
        <w:tabs>
          <w:tab w:val="num" w:pos="2160"/>
        </w:tabs>
        <w:ind w:left="2160" w:hanging="360"/>
      </w:pPr>
      <w:rPr>
        <w:rFonts w:ascii="Wingdings" w:hAnsi="Wingdings"/>
      </w:rPr>
    </w:lvl>
    <w:lvl w:ilvl="3" w:tplc="DC1E1F52">
      <w:start w:val="1"/>
      <w:numFmt w:val="bullet"/>
      <w:lvlText w:val=""/>
      <w:lvlJc w:val="left"/>
      <w:pPr>
        <w:tabs>
          <w:tab w:val="num" w:pos="2880"/>
        </w:tabs>
        <w:ind w:left="2880" w:hanging="360"/>
      </w:pPr>
      <w:rPr>
        <w:rFonts w:ascii="Symbol" w:hAnsi="Symbol"/>
      </w:rPr>
    </w:lvl>
    <w:lvl w:ilvl="4" w:tplc="F3BC3ADA">
      <w:start w:val="1"/>
      <w:numFmt w:val="bullet"/>
      <w:lvlText w:val="o"/>
      <w:lvlJc w:val="left"/>
      <w:pPr>
        <w:tabs>
          <w:tab w:val="num" w:pos="3600"/>
        </w:tabs>
        <w:ind w:left="3600" w:hanging="360"/>
      </w:pPr>
      <w:rPr>
        <w:rFonts w:ascii="Courier New" w:hAnsi="Courier New"/>
      </w:rPr>
    </w:lvl>
    <w:lvl w:ilvl="5" w:tplc="39BAF6A4">
      <w:start w:val="1"/>
      <w:numFmt w:val="bullet"/>
      <w:lvlText w:val=""/>
      <w:lvlJc w:val="left"/>
      <w:pPr>
        <w:tabs>
          <w:tab w:val="num" w:pos="4320"/>
        </w:tabs>
        <w:ind w:left="4320" w:hanging="360"/>
      </w:pPr>
      <w:rPr>
        <w:rFonts w:ascii="Wingdings" w:hAnsi="Wingdings"/>
      </w:rPr>
    </w:lvl>
    <w:lvl w:ilvl="6" w:tplc="AFEA3BA8">
      <w:start w:val="1"/>
      <w:numFmt w:val="bullet"/>
      <w:lvlText w:val=""/>
      <w:lvlJc w:val="left"/>
      <w:pPr>
        <w:tabs>
          <w:tab w:val="num" w:pos="5040"/>
        </w:tabs>
        <w:ind w:left="5040" w:hanging="360"/>
      </w:pPr>
      <w:rPr>
        <w:rFonts w:ascii="Symbol" w:hAnsi="Symbol"/>
      </w:rPr>
    </w:lvl>
    <w:lvl w:ilvl="7" w:tplc="E6422552">
      <w:start w:val="1"/>
      <w:numFmt w:val="bullet"/>
      <w:lvlText w:val="o"/>
      <w:lvlJc w:val="left"/>
      <w:pPr>
        <w:tabs>
          <w:tab w:val="num" w:pos="5760"/>
        </w:tabs>
        <w:ind w:left="5760" w:hanging="360"/>
      </w:pPr>
      <w:rPr>
        <w:rFonts w:ascii="Courier New" w:hAnsi="Courier New"/>
      </w:rPr>
    </w:lvl>
    <w:lvl w:ilvl="8" w:tplc="17C06E7C">
      <w:start w:val="1"/>
      <w:numFmt w:val="bullet"/>
      <w:lvlText w:val=""/>
      <w:lvlJc w:val="left"/>
      <w:pPr>
        <w:tabs>
          <w:tab w:val="num" w:pos="6480"/>
        </w:tabs>
        <w:ind w:left="6480" w:hanging="360"/>
      </w:pPr>
      <w:rPr>
        <w:rFonts w:ascii="Wingdings" w:hAnsi="Wingdings"/>
      </w:rPr>
    </w:lvl>
  </w:abstractNum>
  <w:abstractNum w:abstractNumId="180" w15:restartNumberingAfterBreak="0">
    <w:nsid w:val="7DF62869"/>
    <w:multiLevelType w:val="hybridMultilevel"/>
    <w:tmpl w:val="7DF62869"/>
    <w:lvl w:ilvl="0" w:tplc="66BA43F0">
      <w:start w:val="1"/>
      <w:numFmt w:val="bullet"/>
      <w:lvlText w:val=""/>
      <w:lvlJc w:val="left"/>
      <w:pPr>
        <w:tabs>
          <w:tab w:val="num" w:pos="720"/>
        </w:tabs>
        <w:ind w:left="720" w:hanging="360"/>
      </w:pPr>
      <w:rPr>
        <w:rFonts w:ascii="Symbol" w:hAnsi="Symbol"/>
      </w:rPr>
    </w:lvl>
    <w:lvl w:ilvl="1" w:tplc="C8DE891E">
      <w:start w:val="1"/>
      <w:numFmt w:val="bullet"/>
      <w:lvlText w:val="o"/>
      <w:lvlJc w:val="left"/>
      <w:pPr>
        <w:tabs>
          <w:tab w:val="num" w:pos="1440"/>
        </w:tabs>
        <w:ind w:left="1440" w:hanging="360"/>
      </w:pPr>
      <w:rPr>
        <w:rFonts w:ascii="Courier New" w:hAnsi="Courier New"/>
      </w:rPr>
    </w:lvl>
    <w:lvl w:ilvl="2" w:tplc="DBAA9144">
      <w:start w:val="1"/>
      <w:numFmt w:val="bullet"/>
      <w:lvlText w:val=""/>
      <w:lvlJc w:val="left"/>
      <w:pPr>
        <w:tabs>
          <w:tab w:val="num" w:pos="2160"/>
        </w:tabs>
        <w:ind w:left="2160" w:hanging="360"/>
      </w:pPr>
      <w:rPr>
        <w:rFonts w:ascii="Wingdings" w:hAnsi="Wingdings"/>
      </w:rPr>
    </w:lvl>
    <w:lvl w:ilvl="3" w:tplc="41304B08">
      <w:start w:val="1"/>
      <w:numFmt w:val="bullet"/>
      <w:lvlText w:val=""/>
      <w:lvlJc w:val="left"/>
      <w:pPr>
        <w:tabs>
          <w:tab w:val="num" w:pos="2880"/>
        </w:tabs>
        <w:ind w:left="2880" w:hanging="360"/>
      </w:pPr>
      <w:rPr>
        <w:rFonts w:ascii="Symbol" w:hAnsi="Symbol"/>
      </w:rPr>
    </w:lvl>
    <w:lvl w:ilvl="4" w:tplc="DF4283D0">
      <w:start w:val="1"/>
      <w:numFmt w:val="bullet"/>
      <w:lvlText w:val="o"/>
      <w:lvlJc w:val="left"/>
      <w:pPr>
        <w:tabs>
          <w:tab w:val="num" w:pos="3600"/>
        </w:tabs>
        <w:ind w:left="3600" w:hanging="360"/>
      </w:pPr>
      <w:rPr>
        <w:rFonts w:ascii="Courier New" w:hAnsi="Courier New"/>
      </w:rPr>
    </w:lvl>
    <w:lvl w:ilvl="5" w:tplc="3706508E">
      <w:start w:val="1"/>
      <w:numFmt w:val="bullet"/>
      <w:lvlText w:val=""/>
      <w:lvlJc w:val="left"/>
      <w:pPr>
        <w:tabs>
          <w:tab w:val="num" w:pos="4320"/>
        </w:tabs>
        <w:ind w:left="4320" w:hanging="360"/>
      </w:pPr>
      <w:rPr>
        <w:rFonts w:ascii="Wingdings" w:hAnsi="Wingdings"/>
      </w:rPr>
    </w:lvl>
    <w:lvl w:ilvl="6" w:tplc="D50472A6">
      <w:start w:val="1"/>
      <w:numFmt w:val="bullet"/>
      <w:lvlText w:val=""/>
      <w:lvlJc w:val="left"/>
      <w:pPr>
        <w:tabs>
          <w:tab w:val="num" w:pos="5040"/>
        </w:tabs>
        <w:ind w:left="5040" w:hanging="360"/>
      </w:pPr>
      <w:rPr>
        <w:rFonts w:ascii="Symbol" w:hAnsi="Symbol"/>
      </w:rPr>
    </w:lvl>
    <w:lvl w:ilvl="7" w:tplc="D0169A42">
      <w:start w:val="1"/>
      <w:numFmt w:val="bullet"/>
      <w:lvlText w:val="o"/>
      <w:lvlJc w:val="left"/>
      <w:pPr>
        <w:tabs>
          <w:tab w:val="num" w:pos="5760"/>
        </w:tabs>
        <w:ind w:left="5760" w:hanging="360"/>
      </w:pPr>
      <w:rPr>
        <w:rFonts w:ascii="Courier New" w:hAnsi="Courier New"/>
      </w:rPr>
    </w:lvl>
    <w:lvl w:ilvl="8" w:tplc="624447E4">
      <w:start w:val="1"/>
      <w:numFmt w:val="bullet"/>
      <w:lvlText w:val=""/>
      <w:lvlJc w:val="left"/>
      <w:pPr>
        <w:tabs>
          <w:tab w:val="num" w:pos="6480"/>
        </w:tabs>
        <w:ind w:left="6480" w:hanging="360"/>
      </w:pPr>
      <w:rPr>
        <w:rFonts w:ascii="Wingdings" w:hAnsi="Wingdings"/>
      </w:rPr>
    </w:lvl>
  </w:abstractNum>
  <w:abstractNum w:abstractNumId="181" w15:restartNumberingAfterBreak="0">
    <w:nsid w:val="7DF6286A"/>
    <w:multiLevelType w:val="hybridMultilevel"/>
    <w:tmpl w:val="7DF6286A"/>
    <w:lvl w:ilvl="0" w:tplc="C3309822">
      <w:start w:val="1"/>
      <w:numFmt w:val="bullet"/>
      <w:lvlText w:val=""/>
      <w:lvlJc w:val="left"/>
      <w:pPr>
        <w:tabs>
          <w:tab w:val="num" w:pos="720"/>
        </w:tabs>
        <w:ind w:left="720" w:hanging="360"/>
      </w:pPr>
      <w:rPr>
        <w:rFonts w:ascii="Symbol" w:hAnsi="Symbol"/>
      </w:rPr>
    </w:lvl>
    <w:lvl w:ilvl="1" w:tplc="D26AB44A">
      <w:start w:val="1"/>
      <w:numFmt w:val="bullet"/>
      <w:lvlText w:val="o"/>
      <w:lvlJc w:val="left"/>
      <w:pPr>
        <w:tabs>
          <w:tab w:val="num" w:pos="1440"/>
        </w:tabs>
        <w:ind w:left="1440" w:hanging="360"/>
      </w:pPr>
      <w:rPr>
        <w:rFonts w:ascii="Courier New" w:hAnsi="Courier New"/>
      </w:rPr>
    </w:lvl>
    <w:lvl w:ilvl="2" w:tplc="F7C85268">
      <w:start w:val="1"/>
      <w:numFmt w:val="bullet"/>
      <w:lvlText w:val=""/>
      <w:lvlJc w:val="left"/>
      <w:pPr>
        <w:tabs>
          <w:tab w:val="num" w:pos="2160"/>
        </w:tabs>
        <w:ind w:left="2160" w:hanging="360"/>
      </w:pPr>
      <w:rPr>
        <w:rFonts w:ascii="Wingdings" w:hAnsi="Wingdings"/>
      </w:rPr>
    </w:lvl>
    <w:lvl w:ilvl="3" w:tplc="E598A06C">
      <w:start w:val="1"/>
      <w:numFmt w:val="bullet"/>
      <w:lvlText w:val=""/>
      <w:lvlJc w:val="left"/>
      <w:pPr>
        <w:tabs>
          <w:tab w:val="num" w:pos="2880"/>
        </w:tabs>
        <w:ind w:left="2880" w:hanging="360"/>
      </w:pPr>
      <w:rPr>
        <w:rFonts w:ascii="Symbol" w:hAnsi="Symbol"/>
      </w:rPr>
    </w:lvl>
    <w:lvl w:ilvl="4" w:tplc="E29AD57C">
      <w:start w:val="1"/>
      <w:numFmt w:val="bullet"/>
      <w:lvlText w:val="o"/>
      <w:lvlJc w:val="left"/>
      <w:pPr>
        <w:tabs>
          <w:tab w:val="num" w:pos="3600"/>
        </w:tabs>
        <w:ind w:left="3600" w:hanging="360"/>
      </w:pPr>
      <w:rPr>
        <w:rFonts w:ascii="Courier New" w:hAnsi="Courier New"/>
      </w:rPr>
    </w:lvl>
    <w:lvl w:ilvl="5" w:tplc="82C07628">
      <w:start w:val="1"/>
      <w:numFmt w:val="bullet"/>
      <w:lvlText w:val=""/>
      <w:lvlJc w:val="left"/>
      <w:pPr>
        <w:tabs>
          <w:tab w:val="num" w:pos="4320"/>
        </w:tabs>
        <w:ind w:left="4320" w:hanging="360"/>
      </w:pPr>
      <w:rPr>
        <w:rFonts w:ascii="Wingdings" w:hAnsi="Wingdings"/>
      </w:rPr>
    </w:lvl>
    <w:lvl w:ilvl="6" w:tplc="5FF84946">
      <w:start w:val="1"/>
      <w:numFmt w:val="bullet"/>
      <w:lvlText w:val=""/>
      <w:lvlJc w:val="left"/>
      <w:pPr>
        <w:tabs>
          <w:tab w:val="num" w:pos="5040"/>
        </w:tabs>
        <w:ind w:left="5040" w:hanging="360"/>
      </w:pPr>
      <w:rPr>
        <w:rFonts w:ascii="Symbol" w:hAnsi="Symbol"/>
      </w:rPr>
    </w:lvl>
    <w:lvl w:ilvl="7" w:tplc="808E4B62">
      <w:start w:val="1"/>
      <w:numFmt w:val="bullet"/>
      <w:lvlText w:val="o"/>
      <w:lvlJc w:val="left"/>
      <w:pPr>
        <w:tabs>
          <w:tab w:val="num" w:pos="5760"/>
        </w:tabs>
        <w:ind w:left="5760" w:hanging="360"/>
      </w:pPr>
      <w:rPr>
        <w:rFonts w:ascii="Courier New" w:hAnsi="Courier New"/>
      </w:rPr>
    </w:lvl>
    <w:lvl w:ilvl="8" w:tplc="6AD6FAB0">
      <w:start w:val="1"/>
      <w:numFmt w:val="bullet"/>
      <w:lvlText w:val=""/>
      <w:lvlJc w:val="left"/>
      <w:pPr>
        <w:tabs>
          <w:tab w:val="num" w:pos="6480"/>
        </w:tabs>
        <w:ind w:left="6480" w:hanging="360"/>
      </w:pPr>
      <w:rPr>
        <w:rFonts w:ascii="Wingdings" w:hAnsi="Wingdings"/>
      </w:rPr>
    </w:lvl>
  </w:abstractNum>
  <w:abstractNum w:abstractNumId="182" w15:restartNumberingAfterBreak="0">
    <w:nsid w:val="7DF6286B"/>
    <w:multiLevelType w:val="multilevel"/>
    <w:tmpl w:val="7DF628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DF6286C"/>
    <w:multiLevelType w:val="multilevel"/>
    <w:tmpl w:val="7DF628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DF6286D"/>
    <w:multiLevelType w:val="hybridMultilevel"/>
    <w:tmpl w:val="7DF6286D"/>
    <w:lvl w:ilvl="0" w:tplc="C6D4670A">
      <w:start w:val="1"/>
      <w:numFmt w:val="bullet"/>
      <w:lvlText w:val=""/>
      <w:lvlJc w:val="left"/>
      <w:pPr>
        <w:tabs>
          <w:tab w:val="num" w:pos="720"/>
        </w:tabs>
        <w:ind w:left="720" w:hanging="360"/>
      </w:pPr>
      <w:rPr>
        <w:rFonts w:ascii="Symbol" w:hAnsi="Symbol"/>
      </w:rPr>
    </w:lvl>
    <w:lvl w:ilvl="1" w:tplc="76064ECC">
      <w:start w:val="1"/>
      <w:numFmt w:val="bullet"/>
      <w:lvlText w:val="o"/>
      <w:lvlJc w:val="left"/>
      <w:pPr>
        <w:tabs>
          <w:tab w:val="num" w:pos="1440"/>
        </w:tabs>
        <w:ind w:left="1440" w:hanging="360"/>
      </w:pPr>
      <w:rPr>
        <w:rFonts w:ascii="Courier New" w:hAnsi="Courier New"/>
      </w:rPr>
    </w:lvl>
    <w:lvl w:ilvl="2" w:tplc="4FC0CFEA">
      <w:start w:val="1"/>
      <w:numFmt w:val="bullet"/>
      <w:lvlText w:val=""/>
      <w:lvlJc w:val="left"/>
      <w:pPr>
        <w:tabs>
          <w:tab w:val="num" w:pos="2160"/>
        </w:tabs>
        <w:ind w:left="2160" w:hanging="360"/>
      </w:pPr>
      <w:rPr>
        <w:rFonts w:ascii="Wingdings" w:hAnsi="Wingdings"/>
      </w:rPr>
    </w:lvl>
    <w:lvl w:ilvl="3" w:tplc="FD1CD7CE">
      <w:start w:val="1"/>
      <w:numFmt w:val="bullet"/>
      <w:lvlText w:val=""/>
      <w:lvlJc w:val="left"/>
      <w:pPr>
        <w:tabs>
          <w:tab w:val="num" w:pos="2880"/>
        </w:tabs>
        <w:ind w:left="2880" w:hanging="360"/>
      </w:pPr>
      <w:rPr>
        <w:rFonts w:ascii="Symbol" w:hAnsi="Symbol"/>
      </w:rPr>
    </w:lvl>
    <w:lvl w:ilvl="4" w:tplc="8DAED7D8">
      <w:start w:val="1"/>
      <w:numFmt w:val="bullet"/>
      <w:lvlText w:val="o"/>
      <w:lvlJc w:val="left"/>
      <w:pPr>
        <w:tabs>
          <w:tab w:val="num" w:pos="3600"/>
        </w:tabs>
        <w:ind w:left="3600" w:hanging="360"/>
      </w:pPr>
      <w:rPr>
        <w:rFonts w:ascii="Courier New" w:hAnsi="Courier New"/>
      </w:rPr>
    </w:lvl>
    <w:lvl w:ilvl="5" w:tplc="0D42FDEC">
      <w:start w:val="1"/>
      <w:numFmt w:val="bullet"/>
      <w:lvlText w:val=""/>
      <w:lvlJc w:val="left"/>
      <w:pPr>
        <w:tabs>
          <w:tab w:val="num" w:pos="4320"/>
        </w:tabs>
        <w:ind w:left="4320" w:hanging="360"/>
      </w:pPr>
      <w:rPr>
        <w:rFonts w:ascii="Wingdings" w:hAnsi="Wingdings"/>
      </w:rPr>
    </w:lvl>
    <w:lvl w:ilvl="6" w:tplc="E752F980">
      <w:start w:val="1"/>
      <w:numFmt w:val="bullet"/>
      <w:lvlText w:val=""/>
      <w:lvlJc w:val="left"/>
      <w:pPr>
        <w:tabs>
          <w:tab w:val="num" w:pos="5040"/>
        </w:tabs>
        <w:ind w:left="5040" w:hanging="360"/>
      </w:pPr>
      <w:rPr>
        <w:rFonts w:ascii="Symbol" w:hAnsi="Symbol"/>
      </w:rPr>
    </w:lvl>
    <w:lvl w:ilvl="7" w:tplc="5D1A24B8">
      <w:start w:val="1"/>
      <w:numFmt w:val="bullet"/>
      <w:lvlText w:val="o"/>
      <w:lvlJc w:val="left"/>
      <w:pPr>
        <w:tabs>
          <w:tab w:val="num" w:pos="5760"/>
        </w:tabs>
        <w:ind w:left="5760" w:hanging="360"/>
      </w:pPr>
      <w:rPr>
        <w:rFonts w:ascii="Courier New" w:hAnsi="Courier New"/>
      </w:rPr>
    </w:lvl>
    <w:lvl w:ilvl="8" w:tplc="ED8A69B4">
      <w:start w:val="1"/>
      <w:numFmt w:val="bullet"/>
      <w:lvlText w:val=""/>
      <w:lvlJc w:val="left"/>
      <w:pPr>
        <w:tabs>
          <w:tab w:val="num" w:pos="6480"/>
        </w:tabs>
        <w:ind w:left="6480" w:hanging="360"/>
      </w:pPr>
      <w:rPr>
        <w:rFonts w:ascii="Wingdings" w:hAnsi="Wingdings"/>
      </w:rPr>
    </w:lvl>
  </w:abstractNum>
  <w:abstractNum w:abstractNumId="185" w15:restartNumberingAfterBreak="0">
    <w:nsid w:val="7DF6286E"/>
    <w:multiLevelType w:val="multilevel"/>
    <w:tmpl w:val="7DF6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7DF6286F"/>
    <w:multiLevelType w:val="hybridMultilevel"/>
    <w:tmpl w:val="7DF6286F"/>
    <w:lvl w:ilvl="0" w:tplc="8EAA7CEC">
      <w:start w:val="1"/>
      <w:numFmt w:val="bullet"/>
      <w:lvlText w:val=""/>
      <w:lvlJc w:val="left"/>
      <w:pPr>
        <w:tabs>
          <w:tab w:val="num" w:pos="720"/>
        </w:tabs>
        <w:ind w:left="720" w:hanging="360"/>
      </w:pPr>
      <w:rPr>
        <w:rFonts w:ascii="Symbol" w:hAnsi="Symbol"/>
      </w:rPr>
    </w:lvl>
    <w:lvl w:ilvl="1" w:tplc="F9C0EF70">
      <w:start w:val="1"/>
      <w:numFmt w:val="bullet"/>
      <w:lvlText w:val="o"/>
      <w:lvlJc w:val="left"/>
      <w:pPr>
        <w:tabs>
          <w:tab w:val="num" w:pos="1440"/>
        </w:tabs>
        <w:ind w:left="1440" w:hanging="360"/>
      </w:pPr>
      <w:rPr>
        <w:rFonts w:ascii="Courier New" w:hAnsi="Courier New"/>
      </w:rPr>
    </w:lvl>
    <w:lvl w:ilvl="2" w:tplc="3460B418">
      <w:start w:val="1"/>
      <w:numFmt w:val="bullet"/>
      <w:lvlText w:val=""/>
      <w:lvlJc w:val="left"/>
      <w:pPr>
        <w:tabs>
          <w:tab w:val="num" w:pos="2160"/>
        </w:tabs>
        <w:ind w:left="2160" w:hanging="360"/>
      </w:pPr>
      <w:rPr>
        <w:rFonts w:ascii="Wingdings" w:hAnsi="Wingdings"/>
      </w:rPr>
    </w:lvl>
    <w:lvl w:ilvl="3" w:tplc="A8D45486">
      <w:start w:val="1"/>
      <w:numFmt w:val="bullet"/>
      <w:lvlText w:val=""/>
      <w:lvlJc w:val="left"/>
      <w:pPr>
        <w:tabs>
          <w:tab w:val="num" w:pos="2880"/>
        </w:tabs>
        <w:ind w:left="2880" w:hanging="360"/>
      </w:pPr>
      <w:rPr>
        <w:rFonts w:ascii="Symbol" w:hAnsi="Symbol"/>
      </w:rPr>
    </w:lvl>
    <w:lvl w:ilvl="4" w:tplc="2E7801B6">
      <w:start w:val="1"/>
      <w:numFmt w:val="bullet"/>
      <w:lvlText w:val="o"/>
      <w:lvlJc w:val="left"/>
      <w:pPr>
        <w:tabs>
          <w:tab w:val="num" w:pos="3600"/>
        </w:tabs>
        <w:ind w:left="3600" w:hanging="360"/>
      </w:pPr>
      <w:rPr>
        <w:rFonts w:ascii="Courier New" w:hAnsi="Courier New"/>
      </w:rPr>
    </w:lvl>
    <w:lvl w:ilvl="5" w:tplc="F8D006A4">
      <w:start w:val="1"/>
      <w:numFmt w:val="bullet"/>
      <w:lvlText w:val=""/>
      <w:lvlJc w:val="left"/>
      <w:pPr>
        <w:tabs>
          <w:tab w:val="num" w:pos="4320"/>
        </w:tabs>
        <w:ind w:left="4320" w:hanging="360"/>
      </w:pPr>
      <w:rPr>
        <w:rFonts w:ascii="Wingdings" w:hAnsi="Wingdings"/>
      </w:rPr>
    </w:lvl>
    <w:lvl w:ilvl="6" w:tplc="28E4F978">
      <w:start w:val="1"/>
      <w:numFmt w:val="bullet"/>
      <w:lvlText w:val=""/>
      <w:lvlJc w:val="left"/>
      <w:pPr>
        <w:tabs>
          <w:tab w:val="num" w:pos="5040"/>
        </w:tabs>
        <w:ind w:left="5040" w:hanging="360"/>
      </w:pPr>
      <w:rPr>
        <w:rFonts w:ascii="Symbol" w:hAnsi="Symbol"/>
      </w:rPr>
    </w:lvl>
    <w:lvl w:ilvl="7" w:tplc="28D280AE">
      <w:start w:val="1"/>
      <w:numFmt w:val="bullet"/>
      <w:lvlText w:val="o"/>
      <w:lvlJc w:val="left"/>
      <w:pPr>
        <w:tabs>
          <w:tab w:val="num" w:pos="5760"/>
        </w:tabs>
        <w:ind w:left="5760" w:hanging="360"/>
      </w:pPr>
      <w:rPr>
        <w:rFonts w:ascii="Courier New" w:hAnsi="Courier New"/>
      </w:rPr>
    </w:lvl>
    <w:lvl w:ilvl="8" w:tplc="FA4E06C8">
      <w:start w:val="1"/>
      <w:numFmt w:val="bullet"/>
      <w:lvlText w:val=""/>
      <w:lvlJc w:val="left"/>
      <w:pPr>
        <w:tabs>
          <w:tab w:val="num" w:pos="6480"/>
        </w:tabs>
        <w:ind w:left="6480" w:hanging="360"/>
      </w:pPr>
      <w:rPr>
        <w:rFonts w:ascii="Wingdings" w:hAnsi="Wingdings"/>
      </w:rPr>
    </w:lvl>
  </w:abstractNum>
  <w:abstractNum w:abstractNumId="187" w15:restartNumberingAfterBreak="0">
    <w:nsid w:val="7DF62870"/>
    <w:multiLevelType w:val="multilevel"/>
    <w:tmpl w:val="7DF628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8" w15:restartNumberingAfterBreak="0">
    <w:nsid w:val="7DF62871"/>
    <w:multiLevelType w:val="multilevel"/>
    <w:tmpl w:val="7DF6287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DF62872"/>
    <w:multiLevelType w:val="hybridMultilevel"/>
    <w:tmpl w:val="7DF62872"/>
    <w:lvl w:ilvl="0" w:tplc="253A9B78">
      <w:start w:val="1"/>
      <w:numFmt w:val="bullet"/>
      <w:lvlText w:val=""/>
      <w:lvlJc w:val="left"/>
      <w:pPr>
        <w:tabs>
          <w:tab w:val="num" w:pos="720"/>
        </w:tabs>
        <w:ind w:left="720" w:hanging="360"/>
      </w:pPr>
      <w:rPr>
        <w:rFonts w:ascii="Symbol" w:hAnsi="Symbol"/>
      </w:rPr>
    </w:lvl>
    <w:lvl w:ilvl="1" w:tplc="DA7AFCB6">
      <w:start w:val="1"/>
      <w:numFmt w:val="bullet"/>
      <w:lvlText w:val="o"/>
      <w:lvlJc w:val="left"/>
      <w:pPr>
        <w:tabs>
          <w:tab w:val="num" w:pos="1440"/>
        </w:tabs>
        <w:ind w:left="1440" w:hanging="360"/>
      </w:pPr>
      <w:rPr>
        <w:rFonts w:ascii="Courier New" w:hAnsi="Courier New"/>
      </w:rPr>
    </w:lvl>
    <w:lvl w:ilvl="2" w:tplc="5596B084">
      <w:start w:val="1"/>
      <w:numFmt w:val="bullet"/>
      <w:lvlText w:val=""/>
      <w:lvlJc w:val="left"/>
      <w:pPr>
        <w:tabs>
          <w:tab w:val="num" w:pos="2160"/>
        </w:tabs>
        <w:ind w:left="2160" w:hanging="360"/>
      </w:pPr>
      <w:rPr>
        <w:rFonts w:ascii="Wingdings" w:hAnsi="Wingdings"/>
      </w:rPr>
    </w:lvl>
    <w:lvl w:ilvl="3" w:tplc="585EA2BE">
      <w:start w:val="1"/>
      <w:numFmt w:val="bullet"/>
      <w:lvlText w:val=""/>
      <w:lvlJc w:val="left"/>
      <w:pPr>
        <w:tabs>
          <w:tab w:val="num" w:pos="2880"/>
        </w:tabs>
        <w:ind w:left="2880" w:hanging="360"/>
      </w:pPr>
      <w:rPr>
        <w:rFonts w:ascii="Symbol" w:hAnsi="Symbol"/>
      </w:rPr>
    </w:lvl>
    <w:lvl w:ilvl="4" w:tplc="EA626ED8">
      <w:start w:val="1"/>
      <w:numFmt w:val="bullet"/>
      <w:lvlText w:val="o"/>
      <w:lvlJc w:val="left"/>
      <w:pPr>
        <w:tabs>
          <w:tab w:val="num" w:pos="3600"/>
        </w:tabs>
        <w:ind w:left="3600" w:hanging="360"/>
      </w:pPr>
      <w:rPr>
        <w:rFonts w:ascii="Courier New" w:hAnsi="Courier New"/>
      </w:rPr>
    </w:lvl>
    <w:lvl w:ilvl="5" w:tplc="B3625A40">
      <w:start w:val="1"/>
      <w:numFmt w:val="bullet"/>
      <w:lvlText w:val=""/>
      <w:lvlJc w:val="left"/>
      <w:pPr>
        <w:tabs>
          <w:tab w:val="num" w:pos="4320"/>
        </w:tabs>
        <w:ind w:left="4320" w:hanging="360"/>
      </w:pPr>
      <w:rPr>
        <w:rFonts w:ascii="Wingdings" w:hAnsi="Wingdings"/>
      </w:rPr>
    </w:lvl>
    <w:lvl w:ilvl="6" w:tplc="CFD22FBE">
      <w:start w:val="1"/>
      <w:numFmt w:val="bullet"/>
      <w:lvlText w:val=""/>
      <w:lvlJc w:val="left"/>
      <w:pPr>
        <w:tabs>
          <w:tab w:val="num" w:pos="5040"/>
        </w:tabs>
        <w:ind w:left="5040" w:hanging="360"/>
      </w:pPr>
      <w:rPr>
        <w:rFonts w:ascii="Symbol" w:hAnsi="Symbol"/>
      </w:rPr>
    </w:lvl>
    <w:lvl w:ilvl="7" w:tplc="DCDC5D7C">
      <w:start w:val="1"/>
      <w:numFmt w:val="bullet"/>
      <w:lvlText w:val="o"/>
      <w:lvlJc w:val="left"/>
      <w:pPr>
        <w:tabs>
          <w:tab w:val="num" w:pos="5760"/>
        </w:tabs>
        <w:ind w:left="5760" w:hanging="360"/>
      </w:pPr>
      <w:rPr>
        <w:rFonts w:ascii="Courier New" w:hAnsi="Courier New"/>
      </w:rPr>
    </w:lvl>
    <w:lvl w:ilvl="8" w:tplc="CCDC9634">
      <w:start w:val="1"/>
      <w:numFmt w:val="bullet"/>
      <w:lvlText w:val=""/>
      <w:lvlJc w:val="left"/>
      <w:pPr>
        <w:tabs>
          <w:tab w:val="num" w:pos="6480"/>
        </w:tabs>
        <w:ind w:left="6480" w:hanging="360"/>
      </w:pPr>
      <w:rPr>
        <w:rFonts w:ascii="Wingdings" w:hAnsi="Wingdings"/>
      </w:rPr>
    </w:lvl>
  </w:abstractNum>
  <w:abstractNum w:abstractNumId="190" w15:restartNumberingAfterBreak="0">
    <w:nsid w:val="7DF62873"/>
    <w:multiLevelType w:val="hybridMultilevel"/>
    <w:tmpl w:val="7DF62873"/>
    <w:lvl w:ilvl="0" w:tplc="925C4ED0">
      <w:start w:val="1"/>
      <w:numFmt w:val="bullet"/>
      <w:lvlText w:val=""/>
      <w:lvlJc w:val="left"/>
      <w:pPr>
        <w:tabs>
          <w:tab w:val="num" w:pos="720"/>
        </w:tabs>
        <w:ind w:left="720" w:hanging="360"/>
      </w:pPr>
      <w:rPr>
        <w:rFonts w:ascii="Symbol" w:hAnsi="Symbol"/>
      </w:rPr>
    </w:lvl>
    <w:lvl w:ilvl="1" w:tplc="F3584032">
      <w:start w:val="1"/>
      <w:numFmt w:val="bullet"/>
      <w:lvlText w:val="o"/>
      <w:lvlJc w:val="left"/>
      <w:pPr>
        <w:tabs>
          <w:tab w:val="num" w:pos="1440"/>
        </w:tabs>
        <w:ind w:left="1440" w:hanging="360"/>
      </w:pPr>
      <w:rPr>
        <w:rFonts w:ascii="Courier New" w:hAnsi="Courier New"/>
      </w:rPr>
    </w:lvl>
    <w:lvl w:ilvl="2" w:tplc="1E74C8AC">
      <w:start w:val="1"/>
      <w:numFmt w:val="bullet"/>
      <w:lvlText w:val=""/>
      <w:lvlJc w:val="left"/>
      <w:pPr>
        <w:tabs>
          <w:tab w:val="num" w:pos="2160"/>
        </w:tabs>
        <w:ind w:left="2160" w:hanging="360"/>
      </w:pPr>
      <w:rPr>
        <w:rFonts w:ascii="Wingdings" w:hAnsi="Wingdings"/>
      </w:rPr>
    </w:lvl>
    <w:lvl w:ilvl="3" w:tplc="0960EA7C">
      <w:start w:val="1"/>
      <w:numFmt w:val="bullet"/>
      <w:lvlText w:val=""/>
      <w:lvlJc w:val="left"/>
      <w:pPr>
        <w:tabs>
          <w:tab w:val="num" w:pos="2880"/>
        </w:tabs>
        <w:ind w:left="2880" w:hanging="360"/>
      </w:pPr>
      <w:rPr>
        <w:rFonts w:ascii="Symbol" w:hAnsi="Symbol"/>
      </w:rPr>
    </w:lvl>
    <w:lvl w:ilvl="4" w:tplc="549E8406">
      <w:start w:val="1"/>
      <w:numFmt w:val="bullet"/>
      <w:lvlText w:val="o"/>
      <w:lvlJc w:val="left"/>
      <w:pPr>
        <w:tabs>
          <w:tab w:val="num" w:pos="3600"/>
        </w:tabs>
        <w:ind w:left="3600" w:hanging="360"/>
      </w:pPr>
      <w:rPr>
        <w:rFonts w:ascii="Courier New" w:hAnsi="Courier New"/>
      </w:rPr>
    </w:lvl>
    <w:lvl w:ilvl="5" w:tplc="807CA97E">
      <w:start w:val="1"/>
      <w:numFmt w:val="bullet"/>
      <w:lvlText w:val=""/>
      <w:lvlJc w:val="left"/>
      <w:pPr>
        <w:tabs>
          <w:tab w:val="num" w:pos="4320"/>
        </w:tabs>
        <w:ind w:left="4320" w:hanging="360"/>
      </w:pPr>
      <w:rPr>
        <w:rFonts w:ascii="Wingdings" w:hAnsi="Wingdings"/>
      </w:rPr>
    </w:lvl>
    <w:lvl w:ilvl="6" w:tplc="D2DA7C8E">
      <w:start w:val="1"/>
      <w:numFmt w:val="bullet"/>
      <w:lvlText w:val=""/>
      <w:lvlJc w:val="left"/>
      <w:pPr>
        <w:tabs>
          <w:tab w:val="num" w:pos="5040"/>
        </w:tabs>
        <w:ind w:left="5040" w:hanging="360"/>
      </w:pPr>
      <w:rPr>
        <w:rFonts w:ascii="Symbol" w:hAnsi="Symbol"/>
      </w:rPr>
    </w:lvl>
    <w:lvl w:ilvl="7" w:tplc="EFD2F38A">
      <w:start w:val="1"/>
      <w:numFmt w:val="bullet"/>
      <w:lvlText w:val="o"/>
      <w:lvlJc w:val="left"/>
      <w:pPr>
        <w:tabs>
          <w:tab w:val="num" w:pos="5760"/>
        </w:tabs>
        <w:ind w:left="5760" w:hanging="360"/>
      </w:pPr>
      <w:rPr>
        <w:rFonts w:ascii="Courier New" w:hAnsi="Courier New"/>
      </w:rPr>
    </w:lvl>
    <w:lvl w:ilvl="8" w:tplc="76A8AC72">
      <w:start w:val="1"/>
      <w:numFmt w:val="bullet"/>
      <w:lvlText w:val=""/>
      <w:lvlJc w:val="left"/>
      <w:pPr>
        <w:tabs>
          <w:tab w:val="num" w:pos="6480"/>
        </w:tabs>
        <w:ind w:left="6480" w:hanging="360"/>
      </w:pPr>
      <w:rPr>
        <w:rFonts w:ascii="Wingdings" w:hAnsi="Wingdings"/>
      </w:rPr>
    </w:lvl>
  </w:abstractNum>
  <w:abstractNum w:abstractNumId="191" w15:restartNumberingAfterBreak="0">
    <w:nsid w:val="7DF62874"/>
    <w:multiLevelType w:val="multilevel"/>
    <w:tmpl w:val="7DF628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7DF62875"/>
    <w:multiLevelType w:val="hybridMultilevel"/>
    <w:tmpl w:val="7DF62875"/>
    <w:lvl w:ilvl="0" w:tplc="B252854E">
      <w:start w:val="1"/>
      <w:numFmt w:val="bullet"/>
      <w:lvlText w:val=""/>
      <w:lvlJc w:val="left"/>
      <w:pPr>
        <w:tabs>
          <w:tab w:val="num" w:pos="720"/>
        </w:tabs>
        <w:ind w:left="720" w:hanging="360"/>
      </w:pPr>
      <w:rPr>
        <w:rFonts w:ascii="Symbol" w:hAnsi="Symbol"/>
      </w:rPr>
    </w:lvl>
    <w:lvl w:ilvl="1" w:tplc="66AE9E92">
      <w:start w:val="1"/>
      <w:numFmt w:val="bullet"/>
      <w:lvlText w:val="o"/>
      <w:lvlJc w:val="left"/>
      <w:pPr>
        <w:tabs>
          <w:tab w:val="num" w:pos="1440"/>
        </w:tabs>
        <w:ind w:left="1440" w:hanging="360"/>
      </w:pPr>
      <w:rPr>
        <w:rFonts w:ascii="Courier New" w:hAnsi="Courier New"/>
      </w:rPr>
    </w:lvl>
    <w:lvl w:ilvl="2" w:tplc="B9D49EEA">
      <w:start w:val="1"/>
      <w:numFmt w:val="bullet"/>
      <w:lvlText w:val=""/>
      <w:lvlJc w:val="left"/>
      <w:pPr>
        <w:tabs>
          <w:tab w:val="num" w:pos="2160"/>
        </w:tabs>
        <w:ind w:left="2160" w:hanging="360"/>
      </w:pPr>
      <w:rPr>
        <w:rFonts w:ascii="Wingdings" w:hAnsi="Wingdings"/>
      </w:rPr>
    </w:lvl>
    <w:lvl w:ilvl="3" w:tplc="0A3A98B4">
      <w:start w:val="1"/>
      <w:numFmt w:val="bullet"/>
      <w:lvlText w:val=""/>
      <w:lvlJc w:val="left"/>
      <w:pPr>
        <w:tabs>
          <w:tab w:val="num" w:pos="2880"/>
        </w:tabs>
        <w:ind w:left="2880" w:hanging="360"/>
      </w:pPr>
      <w:rPr>
        <w:rFonts w:ascii="Symbol" w:hAnsi="Symbol"/>
      </w:rPr>
    </w:lvl>
    <w:lvl w:ilvl="4" w:tplc="DA94F562">
      <w:start w:val="1"/>
      <w:numFmt w:val="bullet"/>
      <w:lvlText w:val="o"/>
      <w:lvlJc w:val="left"/>
      <w:pPr>
        <w:tabs>
          <w:tab w:val="num" w:pos="3600"/>
        </w:tabs>
        <w:ind w:left="3600" w:hanging="360"/>
      </w:pPr>
      <w:rPr>
        <w:rFonts w:ascii="Courier New" w:hAnsi="Courier New"/>
      </w:rPr>
    </w:lvl>
    <w:lvl w:ilvl="5" w:tplc="7C741572">
      <w:start w:val="1"/>
      <w:numFmt w:val="bullet"/>
      <w:lvlText w:val=""/>
      <w:lvlJc w:val="left"/>
      <w:pPr>
        <w:tabs>
          <w:tab w:val="num" w:pos="4320"/>
        </w:tabs>
        <w:ind w:left="4320" w:hanging="360"/>
      </w:pPr>
      <w:rPr>
        <w:rFonts w:ascii="Wingdings" w:hAnsi="Wingdings"/>
      </w:rPr>
    </w:lvl>
    <w:lvl w:ilvl="6" w:tplc="3480746E">
      <w:start w:val="1"/>
      <w:numFmt w:val="bullet"/>
      <w:lvlText w:val=""/>
      <w:lvlJc w:val="left"/>
      <w:pPr>
        <w:tabs>
          <w:tab w:val="num" w:pos="5040"/>
        </w:tabs>
        <w:ind w:left="5040" w:hanging="360"/>
      </w:pPr>
      <w:rPr>
        <w:rFonts w:ascii="Symbol" w:hAnsi="Symbol"/>
      </w:rPr>
    </w:lvl>
    <w:lvl w:ilvl="7" w:tplc="30AA58B4">
      <w:start w:val="1"/>
      <w:numFmt w:val="bullet"/>
      <w:lvlText w:val="o"/>
      <w:lvlJc w:val="left"/>
      <w:pPr>
        <w:tabs>
          <w:tab w:val="num" w:pos="5760"/>
        </w:tabs>
        <w:ind w:left="5760" w:hanging="360"/>
      </w:pPr>
      <w:rPr>
        <w:rFonts w:ascii="Courier New" w:hAnsi="Courier New"/>
      </w:rPr>
    </w:lvl>
    <w:lvl w:ilvl="8" w:tplc="54DCFEC2">
      <w:start w:val="1"/>
      <w:numFmt w:val="bullet"/>
      <w:lvlText w:val=""/>
      <w:lvlJc w:val="left"/>
      <w:pPr>
        <w:tabs>
          <w:tab w:val="num" w:pos="6480"/>
        </w:tabs>
        <w:ind w:left="6480" w:hanging="360"/>
      </w:pPr>
      <w:rPr>
        <w:rFonts w:ascii="Wingdings" w:hAnsi="Wingdings"/>
      </w:rPr>
    </w:lvl>
  </w:abstractNum>
  <w:abstractNum w:abstractNumId="193" w15:restartNumberingAfterBreak="0">
    <w:nsid w:val="7DF62876"/>
    <w:multiLevelType w:val="hybridMultilevel"/>
    <w:tmpl w:val="7DF62876"/>
    <w:lvl w:ilvl="0" w:tplc="A8ECDEB6">
      <w:start w:val="1"/>
      <w:numFmt w:val="bullet"/>
      <w:lvlText w:val=""/>
      <w:lvlJc w:val="left"/>
      <w:pPr>
        <w:tabs>
          <w:tab w:val="num" w:pos="720"/>
        </w:tabs>
        <w:ind w:left="720" w:hanging="360"/>
      </w:pPr>
      <w:rPr>
        <w:rFonts w:ascii="Symbol" w:hAnsi="Symbol"/>
      </w:rPr>
    </w:lvl>
    <w:lvl w:ilvl="1" w:tplc="924A8C70">
      <w:start w:val="1"/>
      <w:numFmt w:val="bullet"/>
      <w:lvlText w:val="o"/>
      <w:lvlJc w:val="left"/>
      <w:pPr>
        <w:tabs>
          <w:tab w:val="num" w:pos="1440"/>
        </w:tabs>
        <w:ind w:left="1440" w:hanging="360"/>
      </w:pPr>
      <w:rPr>
        <w:rFonts w:ascii="Courier New" w:hAnsi="Courier New"/>
      </w:rPr>
    </w:lvl>
    <w:lvl w:ilvl="2" w:tplc="3B48B6C4">
      <w:start w:val="1"/>
      <w:numFmt w:val="bullet"/>
      <w:lvlText w:val=""/>
      <w:lvlJc w:val="left"/>
      <w:pPr>
        <w:tabs>
          <w:tab w:val="num" w:pos="2160"/>
        </w:tabs>
        <w:ind w:left="2160" w:hanging="360"/>
      </w:pPr>
      <w:rPr>
        <w:rFonts w:ascii="Wingdings" w:hAnsi="Wingdings"/>
      </w:rPr>
    </w:lvl>
    <w:lvl w:ilvl="3" w:tplc="2EE67A78">
      <w:start w:val="1"/>
      <w:numFmt w:val="bullet"/>
      <w:lvlText w:val=""/>
      <w:lvlJc w:val="left"/>
      <w:pPr>
        <w:tabs>
          <w:tab w:val="num" w:pos="2880"/>
        </w:tabs>
        <w:ind w:left="2880" w:hanging="360"/>
      </w:pPr>
      <w:rPr>
        <w:rFonts w:ascii="Symbol" w:hAnsi="Symbol"/>
      </w:rPr>
    </w:lvl>
    <w:lvl w:ilvl="4" w:tplc="CEC61946">
      <w:start w:val="1"/>
      <w:numFmt w:val="bullet"/>
      <w:lvlText w:val="o"/>
      <w:lvlJc w:val="left"/>
      <w:pPr>
        <w:tabs>
          <w:tab w:val="num" w:pos="3600"/>
        </w:tabs>
        <w:ind w:left="3600" w:hanging="360"/>
      </w:pPr>
      <w:rPr>
        <w:rFonts w:ascii="Courier New" w:hAnsi="Courier New"/>
      </w:rPr>
    </w:lvl>
    <w:lvl w:ilvl="5" w:tplc="EDC2C632">
      <w:start w:val="1"/>
      <w:numFmt w:val="bullet"/>
      <w:lvlText w:val=""/>
      <w:lvlJc w:val="left"/>
      <w:pPr>
        <w:tabs>
          <w:tab w:val="num" w:pos="4320"/>
        </w:tabs>
        <w:ind w:left="4320" w:hanging="360"/>
      </w:pPr>
      <w:rPr>
        <w:rFonts w:ascii="Wingdings" w:hAnsi="Wingdings"/>
      </w:rPr>
    </w:lvl>
    <w:lvl w:ilvl="6" w:tplc="1D86F9E2">
      <w:start w:val="1"/>
      <w:numFmt w:val="bullet"/>
      <w:lvlText w:val=""/>
      <w:lvlJc w:val="left"/>
      <w:pPr>
        <w:tabs>
          <w:tab w:val="num" w:pos="5040"/>
        </w:tabs>
        <w:ind w:left="5040" w:hanging="360"/>
      </w:pPr>
      <w:rPr>
        <w:rFonts w:ascii="Symbol" w:hAnsi="Symbol"/>
      </w:rPr>
    </w:lvl>
    <w:lvl w:ilvl="7" w:tplc="D4320E50">
      <w:start w:val="1"/>
      <w:numFmt w:val="bullet"/>
      <w:lvlText w:val="o"/>
      <w:lvlJc w:val="left"/>
      <w:pPr>
        <w:tabs>
          <w:tab w:val="num" w:pos="5760"/>
        </w:tabs>
        <w:ind w:left="5760" w:hanging="360"/>
      </w:pPr>
      <w:rPr>
        <w:rFonts w:ascii="Courier New" w:hAnsi="Courier New"/>
      </w:rPr>
    </w:lvl>
    <w:lvl w:ilvl="8" w:tplc="8A3E187E">
      <w:start w:val="1"/>
      <w:numFmt w:val="bullet"/>
      <w:lvlText w:val=""/>
      <w:lvlJc w:val="left"/>
      <w:pPr>
        <w:tabs>
          <w:tab w:val="num" w:pos="6480"/>
        </w:tabs>
        <w:ind w:left="6480" w:hanging="360"/>
      </w:pPr>
      <w:rPr>
        <w:rFonts w:ascii="Wingdings" w:hAnsi="Wingdings"/>
      </w:rPr>
    </w:lvl>
  </w:abstractNum>
  <w:abstractNum w:abstractNumId="194" w15:restartNumberingAfterBreak="0">
    <w:nsid w:val="7DF62877"/>
    <w:multiLevelType w:val="multilevel"/>
    <w:tmpl w:val="7DF6287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15:restartNumberingAfterBreak="0">
    <w:nsid w:val="7DF62878"/>
    <w:multiLevelType w:val="hybridMultilevel"/>
    <w:tmpl w:val="7DF62878"/>
    <w:lvl w:ilvl="0" w:tplc="F09E8D1A">
      <w:start w:val="1"/>
      <w:numFmt w:val="bullet"/>
      <w:lvlText w:val=""/>
      <w:lvlJc w:val="left"/>
      <w:pPr>
        <w:tabs>
          <w:tab w:val="num" w:pos="720"/>
        </w:tabs>
        <w:ind w:left="720" w:hanging="360"/>
      </w:pPr>
      <w:rPr>
        <w:rFonts w:ascii="Symbol" w:hAnsi="Symbol"/>
      </w:rPr>
    </w:lvl>
    <w:lvl w:ilvl="1" w:tplc="7FE8886C">
      <w:start w:val="1"/>
      <w:numFmt w:val="bullet"/>
      <w:lvlText w:val="o"/>
      <w:lvlJc w:val="left"/>
      <w:pPr>
        <w:tabs>
          <w:tab w:val="num" w:pos="1440"/>
        </w:tabs>
        <w:ind w:left="1440" w:hanging="360"/>
      </w:pPr>
      <w:rPr>
        <w:rFonts w:ascii="Courier New" w:hAnsi="Courier New"/>
      </w:rPr>
    </w:lvl>
    <w:lvl w:ilvl="2" w:tplc="14C07AE2">
      <w:start w:val="1"/>
      <w:numFmt w:val="bullet"/>
      <w:lvlText w:val=""/>
      <w:lvlJc w:val="left"/>
      <w:pPr>
        <w:tabs>
          <w:tab w:val="num" w:pos="2160"/>
        </w:tabs>
        <w:ind w:left="2160" w:hanging="360"/>
      </w:pPr>
      <w:rPr>
        <w:rFonts w:ascii="Wingdings" w:hAnsi="Wingdings"/>
      </w:rPr>
    </w:lvl>
    <w:lvl w:ilvl="3" w:tplc="9CCCCB98">
      <w:start w:val="1"/>
      <w:numFmt w:val="bullet"/>
      <w:lvlText w:val=""/>
      <w:lvlJc w:val="left"/>
      <w:pPr>
        <w:tabs>
          <w:tab w:val="num" w:pos="2880"/>
        </w:tabs>
        <w:ind w:left="2880" w:hanging="360"/>
      </w:pPr>
      <w:rPr>
        <w:rFonts w:ascii="Symbol" w:hAnsi="Symbol"/>
      </w:rPr>
    </w:lvl>
    <w:lvl w:ilvl="4" w:tplc="00BCAA9A">
      <w:start w:val="1"/>
      <w:numFmt w:val="bullet"/>
      <w:lvlText w:val="o"/>
      <w:lvlJc w:val="left"/>
      <w:pPr>
        <w:tabs>
          <w:tab w:val="num" w:pos="3600"/>
        </w:tabs>
        <w:ind w:left="3600" w:hanging="360"/>
      </w:pPr>
      <w:rPr>
        <w:rFonts w:ascii="Courier New" w:hAnsi="Courier New"/>
      </w:rPr>
    </w:lvl>
    <w:lvl w:ilvl="5" w:tplc="41909824">
      <w:start w:val="1"/>
      <w:numFmt w:val="bullet"/>
      <w:lvlText w:val=""/>
      <w:lvlJc w:val="left"/>
      <w:pPr>
        <w:tabs>
          <w:tab w:val="num" w:pos="4320"/>
        </w:tabs>
        <w:ind w:left="4320" w:hanging="360"/>
      </w:pPr>
      <w:rPr>
        <w:rFonts w:ascii="Wingdings" w:hAnsi="Wingdings"/>
      </w:rPr>
    </w:lvl>
    <w:lvl w:ilvl="6" w:tplc="46A21996">
      <w:start w:val="1"/>
      <w:numFmt w:val="bullet"/>
      <w:lvlText w:val=""/>
      <w:lvlJc w:val="left"/>
      <w:pPr>
        <w:tabs>
          <w:tab w:val="num" w:pos="5040"/>
        </w:tabs>
        <w:ind w:left="5040" w:hanging="360"/>
      </w:pPr>
      <w:rPr>
        <w:rFonts w:ascii="Symbol" w:hAnsi="Symbol"/>
      </w:rPr>
    </w:lvl>
    <w:lvl w:ilvl="7" w:tplc="F02A295A">
      <w:start w:val="1"/>
      <w:numFmt w:val="bullet"/>
      <w:lvlText w:val="o"/>
      <w:lvlJc w:val="left"/>
      <w:pPr>
        <w:tabs>
          <w:tab w:val="num" w:pos="5760"/>
        </w:tabs>
        <w:ind w:left="5760" w:hanging="360"/>
      </w:pPr>
      <w:rPr>
        <w:rFonts w:ascii="Courier New" w:hAnsi="Courier New"/>
      </w:rPr>
    </w:lvl>
    <w:lvl w:ilvl="8" w:tplc="BB788A16">
      <w:start w:val="1"/>
      <w:numFmt w:val="bullet"/>
      <w:lvlText w:val=""/>
      <w:lvlJc w:val="left"/>
      <w:pPr>
        <w:tabs>
          <w:tab w:val="num" w:pos="6480"/>
        </w:tabs>
        <w:ind w:left="6480" w:hanging="360"/>
      </w:pPr>
      <w:rPr>
        <w:rFonts w:ascii="Wingdings" w:hAnsi="Wingdings"/>
      </w:rPr>
    </w:lvl>
  </w:abstractNum>
  <w:abstractNum w:abstractNumId="196" w15:restartNumberingAfterBreak="0">
    <w:nsid w:val="7DF62879"/>
    <w:multiLevelType w:val="hybridMultilevel"/>
    <w:tmpl w:val="7DF62879"/>
    <w:lvl w:ilvl="0" w:tplc="C51E8118">
      <w:start w:val="1"/>
      <w:numFmt w:val="bullet"/>
      <w:lvlText w:val=""/>
      <w:lvlJc w:val="left"/>
      <w:pPr>
        <w:tabs>
          <w:tab w:val="num" w:pos="720"/>
        </w:tabs>
        <w:ind w:left="720" w:hanging="360"/>
      </w:pPr>
      <w:rPr>
        <w:rFonts w:ascii="Symbol" w:hAnsi="Symbol"/>
      </w:rPr>
    </w:lvl>
    <w:lvl w:ilvl="1" w:tplc="FD24EC1E">
      <w:start w:val="1"/>
      <w:numFmt w:val="bullet"/>
      <w:lvlText w:val="o"/>
      <w:lvlJc w:val="left"/>
      <w:pPr>
        <w:tabs>
          <w:tab w:val="num" w:pos="1440"/>
        </w:tabs>
        <w:ind w:left="1440" w:hanging="360"/>
      </w:pPr>
      <w:rPr>
        <w:rFonts w:ascii="Courier New" w:hAnsi="Courier New"/>
      </w:rPr>
    </w:lvl>
    <w:lvl w:ilvl="2" w:tplc="BED2FEDC">
      <w:start w:val="1"/>
      <w:numFmt w:val="bullet"/>
      <w:lvlText w:val=""/>
      <w:lvlJc w:val="left"/>
      <w:pPr>
        <w:tabs>
          <w:tab w:val="num" w:pos="2160"/>
        </w:tabs>
        <w:ind w:left="2160" w:hanging="360"/>
      </w:pPr>
      <w:rPr>
        <w:rFonts w:ascii="Wingdings" w:hAnsi="Wingdings"/>
      </w:rPr>
    </w:lvl>
    <w:lvl w:ilvl="3" w:tplc="EAD0D6FA">
      <w:start w:val="1"/>
      <w:numFmt w:val="bullet"/>
      <w:lvlText w:val=""/>
      <w:lvlJc w:val="left"/>
      <w:pPr>
        <w:tabs>
          <w:tab w:val="num" w:pos="2880"/>
        </w:tabs>
        <w:ind w:left="2880" w:hanging="360"/>
      </w:pPr>
      <w:rPr>
        <w:rFonts w:ascii="Symbol" w:hAnsi="Symbol"/>
      </w:rPr>
    </w:lvl>
    <w:lvl w:ilvl="4" w:tplc="E85828E0">
      <w:start w:val="1"/>
      <w:numFmt w:val="bullet"/>
      <w:lvlText w:val="o"/>
      <w:lvlJc w:val="left"/>
      <w:pPr>
        <w:tabs>
          <w:tab w:val="num" w:pos="3600"/>
        </w:tabs>
        <w:ind w:left="3600" w:hanging="360"/>
      </w:pPr>
      <w:rPr>
        <w:rFonts w:ascii="Courier New" w:hAnsi="Courier New"/>
      </w:rPr>
    </w:lvl>
    <w:lvl w:ilvl="5" w:tplc="86D88B3C">
      <w:start w:val="1"/>
      <w:numFmt w:val="bullet"/>
      <w:lvlText w:val=""/>
      <w:lvlJc w:val="left"/>
      <w:pPr>
        <w:tabs>
          <w:tab w:val="num" w:pos="4320"/>
        </w:tabs>
        <w:ind w:left="4320" w:hanging="360"/>
      </w:pPr>
      <w:rPr>
        <w:rFonts w:ascii="Wingdings" w:hAnsi="Wingdings"/>
      </w:rPr>
    </w:lvl>
    <w:lvl w:ilvl="6" w:tplc="F40E561E">
      <w:start w:val="1"/>
      <w:numFmt w:val="bullet"/>
      <w:lvlText w:val=""/>
      <w:lvlJc w:val="left"/>
      <w:pPr>
        <w:tabs>
          <w:tab w:val="num" w:pos="5040"/>
        </w:tabs>
        <w:ind w:left="5040" w:hanging="360"/>
      </w:pPr>
      <w:rPr>
        <w:rFonts w:ascii="Symbol" w:hAnsi="Symbol"/>
      </w:rPr>
    </w:lvl>
    <w:lvl w:ilvl="7" w:tplc="5986BEAE">
      <w:start w:val="1"/>
      <w:numFmt w:val="bullet"/>
      <w:lvlText w:val="o"/>
      <w:lvlJc w:val="left"/>
      <w:pPr>
        <w:tabs>
          <w:tab w:val="num" w:pos="5760"/>
        </w:tabs>
        <w:ind w:left="5760" w:hanging="360"/>
      </w:pPr>
      <w:rPr>
        <w:rFonts w:ascii="Courier New" w:hAnsi="Courier New"/>
      </w:rPr>
    </w:lvl>
    <w:lvl w:ilvl="8" w:tplc="A9EC6350">
      <w:start w:val="1"/>
      <w:numFmt w:val="bullet"/>
      <w:lvlText w:val=""/>
      <w:lvlJc w:val="left"/>
      <w:pPr>
        <w:tabs>
          <w:tab w:val="num" w:pos="6480"/>
        </w:tabs>
        <w:ind w:left="6480" w:hanging="360"/>
      </w:pPr>
      <w:rPr>
        <w:rFonts w:ascii="Wingdings" w:hAnsi="Wingdings"/>
      </w:rPr>
    </w:lvl>
  </w:abstractNum>
  <w:abstractNum w:abstractNumId="197" w15:restartNumberingAfterBreak="0">
    <w:nsid w:val="7DF6287A"/>
    <w:multiLevelType w:val="hybridMultilevel"/>
    <w:tmpl w:val="7DF6287A"/>
    <w:lvl w:ilvl="0" w:tplc="1A7C7FEE">
      <w:start w:val="1"/>
      <w:numFmt w:val="bullet"/>
      <w:lvlText w:val=""/>
      <w:lvlJc w:val="left"/>
      <w:pPr>
        <w:tabs>
          <w:tab w:val="num" w:pos="720"/>
        </w:tabs>
        <w:ind w:left="720" w:hanging="360"/>
      </w:pPr>
      <w:rPr>
        <w:rFonts w:ascii="Symbol" w:hAnsi="Symbol"/>
      </w:rPr>
    </w:lvl>
    <w:lvl w:ilvl="1" w:tplc="42589AF4">
      <w:start w:val="1"/>
      <w:numFmt w:val="bullet"/>
      <w:lvlText w:val="o"/>
      <w:lvlJc w:val="left"/>
      <w:pPr>
        <w:tabs>
          <w:tab w:val="num" w:pos="1440"/>
        </w:tabs>
        <w:ind w:left="1440" w:hanging="360"/>
      </w:pPr>
      <w:rPr>
        <w:rFonts w:ascii="Courier New" w:hAnsi="Courier New"/>
      </w:rPr>
    </w:lvl>
    <w:lvl w:ilvl="2" w:tplc="EDA80024">
      <w:start w:val="1"/>
      <w:numFmt w:val="bullet"/>
      <w:lvlText w:val=""/>
      <w:lvlJc w:val="left"/>
      <w:pPr>
        <w:tabs>
          <w:tab w:val="num" w:pos="2160"/>
        </w:tabs>
        <w:ind w:left="2160" w:hanging="360"/>
      </w:pPr>
      <w:rPr>
        <w:rFonts w:ascii="Wingdings" w:hAnsi="Wingdings"/>
      </w:rPr>
    </w:lvl>
    <w:lvl w:ilvl="3" w:tplc="D2F217AC">
      <w:start w:val="1"/>
      <w:numFmt w:val="bullet"/>
      <w:lvlText w:val=""/>
      <w:lvlJc w:val="left"/>
      <w:pPr>
        <w:tabs>
          <w:tab w:val="num" w:pos="2880"/>
        </w:tabs>
        <w:ind w:left="2880" w:hanging="360"/>
      </w:pPr>
      <w:rPr>
        <w:rFonts w:ascii="Symbol" w:hAnsi="Symbol"/>
      </w:rPr>
    </w:lvl>
    <w:lvl w:ilvl="4" w:tplc="83CCC5E8">
      <w:start w:val="1"/>
      <w:numFmt w:val="bullet"/>
      <w:lvlText w:val="o"/>
      <w:lvlJc w:val="left"/>
      <w:pPr>
        <w:tabs>
          <w:tab w:val="num" w:pos="3600"/>
        </w:tabs>
        <w:ind w:left="3600" w:hanging="360"/>
      </w:pPr>
      <w:rPr>
        <w:rFonts w:ascii="Courier New" w:hAnsi="Courier New"/>
      </w:rPr>
    </w:lvl>
    <w:lvl w:ilvl="5" w:tplc="D00C045E">
      <w:start w:val="1"/>
      <w:numFmt w:val="bullet"/>
      <w:lvlText w:val=""/>
      <w:lvlJc w:val="left"/>
      <w:pPr>
        <w:tabs>
          <w:tab w:val="num" w:pos="4320"/>
        </w:tabs>
        <w:ind w:left="4320" w:hanging="360"/>
      </w:pPr>
      <w:rPr>
        <w:rFonts w:ascii="Wingdings" w:hAnsi="Wingdings"/>
      </w:rPr>
    </w:lvl>
    <w:lvl w:ilvl="6" w:tplc="C25E0D7A">
      <w:start w:val="1"/>
      <w:numFmt w:val="bullet"/>
      <w:lvlText w:val=""/>
      <w:lvlJc w:val="left"/>
      <w:pPr>
        <w:tabs>
          <w:tab w:val="num" w:pos="5040"/>
        </w:tabs>
        <w:ind w:left="5040" w:hanging="360"/>
      </w:pPr>
      <w:rPr>
        <w:rFonts w:ascii="Symbol" w:hAnsi="Symbol"/>
      </w:rPr>
    </w:lvl>
    <w:lvl w:ilvl="7" w:tplc="722C66A2">
      <w:start w:val="1"/>
      <w:numFmt w:val="bullet"/>
      <w:lvlText w:val="o"/>
      <w:lvlJc w:val="left"/>
      <w:pPr>
        <w:tabs>
          <w:tab w:val="num" w:pos="5760"/>
        </w:tabs>
        <w:ind w:left="5760" w:hanging="360"/>
      </w:pPr>
      <w:rPr>
        <w:rFonts w:ascii="Courier New" w:hAnsi="Courier New"/>
      </w:rPr>
    </w:lvl>
    <w:lvl w:ilvl="8" w:tplc="D448760A">
      <w:start w:val="1"/>
      <w:numFmt w:val="bullet"/>
      <w:lvlText w:val=""/>
      <w:lvlJc w:val="left"/>
      <w:pPr>
        <w:tabs>
          <w:tab w:val="num" w:pos="6480"/>
        </w:tabs>
        <w:ind w:left="6480" w:hanging="360"/>
      </w:pPr>
      <w:rPr>
        <w:rFonts w:ascii="Wingdings" w:hAnsi="Wingdings"/>
      </w:rPr>
    </w:lvl>
  </w:abstractNum>
  <w:abstractNum w:abstractNumId="198" w15:restartNumberingAfterBreak="0">
    <w:nsid w:val="7DF6287B"/>
    <w:multiLevelType w:val="hybridMultilevel"/>
    <w:tmpl w:val="7DF6287B"/>
    <w:lvl w:ilvl="0" w:tplc="DFA8B48A">
      <w:start w:val="1"/>
      <w:numFmt w:val="bullet"/>
      <w:lvlText w:val=""/>
      <w:lvlJc w:val="left"/>
      <w:pPr>
        <w:tabs>
          <w:tab w:val="num" w:pos="720"/>
        </w:tabs>
        <w:ind w:left="720" w:hanging="360"/>
      </w:pPr>
      <w:rPr>
        <w:rFonts w:ascii="Symbol" w:hAnsi="Symbol"/>
      </w:rPr>
    </w:lvl>
    <w:lvl w:ilvl="1" w:tplc="9BA0B0F4">
      <w:start w:val="1"/>
      <w:numFmt w:val="bullet"/>
      <w:lvlText w:val="o"/>
      <w:lvlJc w:val="left"/>
      <w:pPr>
        <w:tabs>
          <w:tab w:val="num" w:pos="1440"/>
        </w:tabs>
        <w:ind w:left="1440" w:hanging="360"/>
      </w:pPr>
      <w:rPr>
        <w:rFonts w:ascii="Courier New" w:hAnsi="Courier New"/>
      </w:rPr>
    </w:lvl>
    <w:lvl w:ilvl="2" w:tplc="EDFC8866">
      <w:start w:val="1"/>
      <w:numFmt w:val="bullet"/>
      <w:lvlText w:val=""/>
      <w:lvlJc w:val="left"/>
      <w:pPr>
        <w:tabs>
          <w:tab w:val="num" w:pos="2160"/>
        </w:tabs>
        <w:ind w:left="2160" w:hanging="360"/>
      </w:pPr>
      <w:rPr>
        <w:rFonts w:ascii="Wingdings" w:hAnsi="Wingdings"/>
      </w:rPr>
    </w:lvl>
    <w:lvl w:ilvl="3" w:tplc="1CF0ABE0">
      <w:start w:val="1"/>
      <w:numFmt w:val="bullet"/>
      <w:lvlText w:val=""/>
      <w:lvlJc w:val="left"/>
      <w:pPr>
        <w:tabs>
          <w:tab w:val="num" w:pos="2880"/>
        </w:tabs>
        <w:ind w:left="2880" w:hanging="360"/>
      </w:pPr>
      <w:rPr>
        <w:rFonts w:ascii="Symbol" w:hAnsi="Symbol"/>
      </w:rPr>
    </w:lvl>
    <w:lvl w:ilvl="4" w:tplc="3370D346">
      <w:start w:val="1"/>
      <w:numFmt w:val="bullet"/>
      <w:lvlText w:val="o"/>
      <w:lvlJc w:val="left"/>
      <w:pPr>
        <w:tabs>
          <w:tab w:val="num" w:pos="3600"/>
        </w:tabs>
        <w:ind w:left="3600" w:hanging="360"/>
      </w:pPr>
      <w:rPr>
        <w:rFonts w:ascii="Courier New" w:hAnsi="Courier New"/>
      </w:rPr>
    </w:lvl>
    <w:lvl w:ilvl="5" w:tplc="9AF65B26">
      <w:start w:val="1"/>
      <w:numFmt w:val="bullet"/>
      <w:lvlText w:val=""/>
      <w:lvlJc w:val="left"/>
      <w:pPr>
        <w:tabs>
          <w:tab w:val="num" w:pos="4320"/>
        </w:tabs>
        <w:ind w:left="4320" w:hanging="360"/>
      </w:pPr>
      <w:rPr>
        <w:rFonts w:ascii="Wingdings" w:hAnsi="Wingdings"/>
      </w:rPr>
    </w:lvl>
    <w:lvl w:ilvl="6" w:tplc="3C1A42E2">
      <w:start w:val="1"/>
      <w:numFmt w:val="bullet"/>
      <w:lvlText w:val=""/>
      <w:lvlJc w:val="left"/>
      <w:pPr>
        <w:tabs>
          <w:tab w:val="num" w:pos="5040"/>
        </w:tabs>
        <w:ind w:left="5040" w:hanging="360"/>
      </w:pPr>
      <w:rPr>
        <w:rFonts w:ascii="Symbol" w:hAnsi="Symbol"/>
      </w:rPr>
    </w:lvl>
    <w:lvl w:ilvl="7" w:tplc="416C39E8">
      <w:start w:val="1"/>
      <w:numFmt w:val="bullet"/>
      <w:lvlText w:val="o"/>
      <w:lvlJc w:val="left"/>
      <w:pPr>
        <w:tabs>
          <w:tab w:val="num" w:pos="5760"/>
        </w:tabs>
        <w:ind w:left="5760" w:hanging="360"/>
      </w:pPr>
      <w:rPr>
        <w:rFonts w:ascii="Courier New" w:hAnsi="Courier New"/>
      </w:rPr>
    </w:lvl>
    <w:lvl w:ilvl="8" w:tplc="E7F4FB6C">
      <w:start w:val="1"/>
      <w:numFmt w:val="bullet"/>
      <w:lvlText w:val=""/>
      <w:lvlJc w:val="left"/>
      <w:pPr>
        <w:tabs>
          <w:tab w:val="num" w:pos="6480"/>
        </w:tabs>
        <w:ind w:left="6480" w:hanging="360"/>
      </w:pPr>
      <w:rPr>
        <w:rFonts w:ascii="Wingdings" w:hAnsi="Wingdings"/>
      </w:rPr>
    </w:lvl>
  </w:abstractNum>
  <w:abstractNum w:abstractNumId="199" w15:restartNumberingAfterBreak="0">
    <w:nsid w:val="7DF6287C"/>
    <w:multiLevelType w:val="hybridMultilevel"/>
    <w:tmpl w:val="7DF6287C"/>
    <w:lvl w:ilvl="0" w:tplc="90EE8CA4">
      <w:start w:val="1"/>
      <w:numFmt w:val="bullet"/>
      <w:lvlText w:val=""/>
      <w:lvlJc w:val="left"/>
      <w:pPr>
        <w:tabs>
          <w:tab w:val="num" w:pos="720"/>
        </w:tabs>
        <w:ind w:left="720" w:hanging="360"/>
      </w:pPr>
      <w:rPr>
        <w:rFonts w:ascii="Symbol" w:hAnsi="Symbol"/>
      </w:rPr>
    </w:lvl>
    <w:lvl w:ilvl="1" w:tplc="02F01BC6">
      <w:start w:val="1"/>
      <w:numFmt w:val="bullet"/>
      <w:lvlText w:val="o"/>
      <w:lvlJc w:val="left"/>
      <w:pPr>
        <w:tabs>
          <w:tab w:val="num" w:pos="1440"/>
        </w:tabs>
        <w:ind w:left="1440" w:hanging="360"/>
      </w:pPr>
      <w:rPr>
        <w:rFonts w:ascii="Courier New" w:hAnsi="Courier New"/>
      </w:rPr>
    </w:lvl>
    <w:lvl w:ilvl="2" w:tplc="DF22DE8A">
      <w:start w:val="1"/>
      <w:numFmt w:val="bullet"/>
      <w:lvlText w:val=""/>
      <w:lvlJc w:val="left"/>
      <w:pPr>
        <w:tabs>
          <w:tab w:val="num" w:pos="2160"/>
        </w:tabs>
        <w:ind w:left="2160" w:hanging="360"/>
      </w:pPr>
      <w:rPr>
        <w:rFonts w:ascii="Wingdings" w:hAnsi="Wingdings"/>
      </w:rPr>
    </w:lvl>
    <w:lvl w:ilvl="3" w:tplc="FE1C39DE">
      <w:start w:val="1"/>
      <w:numFmt w:val="bullet"/>
      <w:lvlText w:val=""/>
      <w:lvlJc w:val="left"/>
      <w:pPr>
        <w:tabs>
          <w:tab w:val="num" w:pos="2880"/>
        </w:tabs>
        <w:ind w:left="2880" w:hanging="360"/>
      </w:pPr>
      <w:rPr>
        <w:rFonts w:ascii="Symbol" w:hAnsi="Symbol"/>
      </w:rPr>
    </w:lvl>
    <w:lvl w:ilvl="4" w:tplc="6A140186">
      <w:start w:val="1"/>
      <w:numFmt w:val="bullet"/>
      <w:lvlText w:val="o"/>
      <w:lvlJc w:val="left"/>
      <w:pPr>
        <w:tabs>
          <w:tab w:val="num" w:pos="3600"/>
        </w:tabs>
        <w:ind w:left="3600" w:hanging="360"/>
      </w:pPr>
      <w:rPr>
        <w:rFonts w:ascii="Courier New" w:hAnsi="Courier New"/>
      </w:rPr>
    </w:lvl>
    <w:lvl w:ilvl="5" w:tplc="EDDCCE54">
      <w:start w:val="1"/>
      <w:numFmt w:val="bullet"/>
      <w:lvlText w:val=""/>
      <w:lvlJc w:val="left"/>
      <w:pPr>
        <w:tabs>
          <w:tab w:val="num" w:pos="4320"/>
        </w:tabs>
        <w:ind w:left="4320" w:hanging="360"/>
      </w:pPr>
      <w:rPr>
        <w:rFonts w:ascii="Wingdings" w:hAnsi="Wingdings"/>
      </w:rPr>
    </w:lvl>
    <w:lvl w:ilvl="6" w:tplc="0D56EEAC">
      <w:start w:val="1"/>
      <w:numFmt w:val="bullet"/>
      <w:lvlText w:val=""/>
      <w:lvlJc w:val="left"/>
      <w:pPr>
        <w:tabs>
          <w:tab w:val="num" w:pos="5040"/>
        </w:tabs>
        <w:ind w:left="5040" w:hanging="360"/>
      </w:pPr>
      <w:rPr>
        <w:rFonts w:ascii="Symbol" w:hAnsi="Symbol"/>
      </w:rPr>
    </w:lvl>
    <w:lvl w:ilvl="7" w:tplc="DC6A4982">
      <w:start w:val="1"/>
      <w:numFmt w:val="bullet"/>
      <w:lvlText w:val="o"/>
      <w:lvlJc w:val="left"/>
      <w:pPr>
        <w:tabs>
          <w:tab w:val="num" w:pos="5760"/>
        </w:tabs>
        <w:ind w:left="5760" w:hanging="360"/>
      </w:pPr>
      <w:rPr>
        <w:rFonts w:ascii="Courier New" w:hAnsi="Courier New"/>
      </w:rPr>
    </w:lvl>
    <w:lvl w:ilvl="8" w:tplc="818EB076">
      <w:start w:val="1"/>
      <w:numFmt w:val="bullet"/>
      <w:lvlText w:val=""/>
      <w:lvlJc w:val="left"/>
      <w:pPr>
        <w:tabs>
          <w:tab w:val="num" w:pos="6480"/>
        </w:tabs>
        <w:ind w:left="6480" w:hanging="360"/>
      </w:pPr>
      <w:rPr>
        <w:rFonts w:ascii="Wingdings" w:hAnsi="Wingdings"/>
      </w:rPr>
    </w:lvl>
  </w:abstractNum>
  <w:abstractNum w:abstractNumId="200" w15:restartNumberingAfterBreak="0">
    <w:nsid w:val="7DF6287D"/>
    <w:multiLevelType w:val="multilevel"/>
    <w:tmpl w:val="7DF6287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7DF6287E"/>
    <w:multiLevelType w:val="multilevel"/>
    <w:tmpl w:val="7DF628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7DF6287F"/>
    <w:multiLevelType w:val="hybridMultilevel"/>
    <w:tmpl w:val="7DF6287F"/>
    <w:lvl w:ilvl="0" w:tplc="0B9CD510">
      <w:start w:val="1"/>
      <w:numFmt w:val="bullet"/>
      <w:lvlText w:val=""/>
      <w:lvlJc w:val="left"/>
      <w:pPr>
        <w:tabs>
          <w:tab w:val="num" w:pos="720"/>
        </w:tabs>
        <w:ind w:left="720" w:hanging="360"/>
      </w:pPr>
      <w:rPr>
        <w:rFonts w:ascii="Symbol" w:hAnsi="Symbol"/>
      </w:rPr>
    </w:lvl>
    <w:lvl w:ilvl="1" w:tplc="5E044374">
      <w:start w:val="1"/>
      <w:numFmt w:val="bullet"/>
      <w:lvlText w:val="o"/>
      <w:lvlJc w:val="left"/>
      <w:pPr>
        <w:tabs>
          <w:tab w:val="num" w:pos="1440"/>
        </w:tabs>
        <w:ind w:left="1440" w:hanging="360"/>
      </w:pPr>
      <w:rPr>
        <w:rFonts w:ascii="Courier New" w:hAnsi="Courier New"/>
      </w:rPr>
    </w:lvl>
    <w:lvl w:ilvl="2" w:tplc="12E41418">
      <w:start w:val="1"/>
      <w:numFmt w:val="bullet"/>
      <w:lvlText w:val=""/>
      <w:lvlJc w:val="left"/>
      <w:pPr>
        <w:tabs>
          <w:tab w:val="num" w:pos="2160"/>
        </w:tabs>
        <w:ind w:left="2160" w:hanging="360"/>
      </w:pPr>
      <w:rPr>
        <w:rFonts w:ascii="Wingdings" w:hAnsi="Wingdings"/>
      </w:rPr>
    </w:lvl>
    <w:lvl w:ilvl="3" w:tplc="4A12EF20">
      <w:start w:val="1"/>
      <w:numFmt w:val="bullet"/>
      <w:lvlText w:val=""/>
      <w:lvlJc w:val="left"/>
      <w:pPr>
        <w:tabs>
          <w:tab w:val="num" w:pos="2880"/>
        </w:tabs>
        <w:ind w:left="2880" w:hanging="360"/>
      </w:pPr>
      <w:rPr>
        <w:rFonts w:ascii="Symbol" w:hAnsi="Symbol"/>
      </w:rPr>
    </w:lvl>
    <w:lvl w:ilvl="4" w:tplc="2586E3D4">
      <w:start w:val="1"/>
      <w:numFmt w:val="bullet"/>
      <w:lvlText w:val="o"/>
      <w:lvlJc w:val="left"/>
      <w:pPr>
        <w:tabs>
          <w:tab w:val="num" w:pos="3600"/>
        </w:tabs>
        <w:ind w:left="3600" w:hanging="360"/>
      </w:pPr>
      <w:rPr>
        <w:rFonts w:ascii="Courier New" w:hAnsi="Courier New"/>
      </w:rPr>
    </w:lvl>
    <w:lvl w:ilvl="5" w:tplc="F5F45CF6">
      <w:start w:val="1"/>
      <w:numFmt w:val="bullet"/>
      <w:lvlText w:val=""/>
      <w:lvlJc w:val="left"/>
      <w:pPr>
        <w:tabs>
          <w:tab w:val="num" w:pos="4320"/>
        </w:tabs>
        <w:ind w:left="4320" w:hanging="360"/>
      </w:pPr>
      <w:rPr>
        <w:rFonts w:ascii="Wingdings" w:hAnsi="Wingdings"/>
      </w:rPr>
    </w:lvl>
    <w:lvl w:ilvl="6" w:tplc="A2C4AD54">
      <w:start w:val="1"/>
      <w:numFmt w:val="bullet"/>
      <w:lvlText w:val=""/>
      <w:lvlJc w:val="left"/>
      <w:pPr>
        <w:tabs>
          <w:tab w:val="num" w:pos="5040"/>
        </w:tabs>
        <w:ind w:left="5040" w:hanging="360"/>
      </w:pPr>
      <w:rPr>
        <w:rFonts w:ascii="Symbol" w:hAnsi="Symbol"/>
      </w:rPr>
    </w:lvl>
    <w:lvl w:ilvl="7" w:tplc="FF6C7E88">
      <w:start w:val="1"/>
      <w:numFmt w:val="bullet"/>
      <w:lvlText w:val="o"/>
      <w:lvlJc w:val="left"/>
      <w:pPr>
        <w:tabs>
          <w:tab w:val="num" w:pos="5760"/>
        </w:tabs>
        <w:ind w:left="5760" w:hanging="360"/>
      </w:pPr>
      <w:rPr>
        <w:rFonts w:ascii="Courier New" w:hAnsi="Courier New"/>
      </w:rPr>
    </w:lvl>
    <w:lvl w:ilvl="8" w:tplc="C7F8F8A8">
      <w:start w:val="1"/>
      <w:numFmt w:val="bullet"/>
      <w:lvlText w:val=""/>
      <w:lvlJc w:val="left"/>
      <w:pPr>
        <w:tabs>
          <w:tab w:val="num" w:pos="6480"/>
        </w:tabs>
        <w:ind w:left="6480" w:hanging="360"/>
      </w:pPr>
      <w:rPr>
        <w:rFonts w:ascii="Wingdings" w:hAnsi="Wingdings"/>
      </w:rPr>
    </w:lvl>
  </w:abstractNum>
  <w:abstractNum w:abstractNumId="203" w15:restartNumberingAfterBreak="0">
    <w:nsid w:val="7DF62880"/>
    <w:multiLevelType w:val="multilevel"/>
    <w:tmpl w:val="7DF628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7DF62881"/>
    <w:multiLevelType w:val="multilevel"/>
    <w:tmpl w:val="7DF6288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5" w15:restartNumberingAfterBreak="0">
    <w:nsid w:val="7DF62882"/>
    <w:multiLevelType w:val="hybridMultilevel"/>
    <w:tmpl w:val="7DF62882"/>
    <w:lvl w:ilvl="0" w:tplc="B860E63E">
      <w:start w:val="1"/>
      <w:numFmt w:val="bullet"/>
      <w:lvlText w:val=""/>
      <w:lvlJc w:val="left"/>
      <w:pPr>
        <w:tabs>
          <w:tab w:val="num" w:pos="720"/>
        </w:tabs>
        <w:ind w:left="720" w:hanging="360"/>
      </w:pPr>
      <w:rPr>
        <w:rFonts w:ascii="Symbol" w:hAnsi="Symbol"/>
      </w:rPr>
    </w:lvl>
    <w:lvl w:ilvl="1" w:tplc="9468C2CA">
      <w:start w:val="1"/>
      <w:numFmt w:val="bullet"/>
      <w:lvlText w:val="o"/>
      <w:lvlJc w:val="left"/>
      <w:pPr>
        <w:tabs>
          <w:tab w:val="num" w:pos="1440"/>
        </w:tabs>
        <w:ind w:left="1440" w:hanging="360"/>
      </w:pPr>
      <w:rPr>
        <w:rFonts w:ascii="Courier New" w:hAnsi="Courier New"/>
      </w:rPr>
    </w:lvl>
    <w:lvl w:ilvl="2" w:tplc="60CCD742">
      <w:start w:val="1"/>
      <w:numFmt w:val="bullet"/>
      <w:lvlText w:val=""/>
      <w:lvlJc w:val="left"/>
      <w:pPr>
        <w:tabs>
          <w:tab w:val="num" w:pos="2160"/>
        </w:tabs>
        <w:ind w:left="2160" w:hanging="360"/>
      </w:pPr>
      <w:rPr>
        <w:rFonts w:ascii="Wingdings" w:hAnsi="Wingdings"/>
      </w:rPr>
    </w:lvl>
    <w:lvl w:ilvl="3" w:tplc="7AB85C56">
      <w:start w:val="1"/>
      <w:numFmt w:val="bullet"/>
      <w:lvlText w:val=""/>
      <w:lvlJc w:val="left"/>
      <w:pPr>
        <w:tabs>
          <w:tab w:val="num" w:pos="2880"/>
        </w:tabs>
        <w:ind w:left="2880" w:hanging="360"/>
      </w:pPr>
      <w:rPr>
        <w:rFonts w:ascii="Symbol" w:hAnsi="Symbol"/>
      </w:rPr>
    </w:lvl>
    <w:lvl w:ilvl="4" w:tplc="D1A2F540">
      <w:start w:val="1"/>
      <w:numFmt w:val="bullet"/>
      <w:lvlText w:val="o"/>
      <w:lvlJc w:val="left"/>
      <w:pPr>
        <w:tabs>
          <w:tab w:val="num" w:pos="3600"/>
        </w:tabs>
        <w:ind w:left="3600" w:hanging="360"/>
      </w:pPr>
      <w:rPr>
        <w:rFonts w:ascii="Courier New" w:hAnsi="Courier New"/>
      </w:rPr>
    </w:lvl>
    <w:lvl w:ilvl="5" w:tplc="2F04F144">
      <w:start w:val="1"/>
      <w:numFmt w:val="bullet"/>
      <w:lvlText w:val=""/>
      <w:lvlJc w:val="left"/>
      <w:pPr>
        <w:tabs>
          <w:tab w:val="num" w:pos="4320"/>
        </w:tabs>
        <w:ind w:left="4320" w:hanging="360"/>
      </w:pPr>
      <w:rPr>
        <w:rFonts w:ascii="Wingdings" w:hAnsi="Wingdings"/>
      </w:rPr>
    </w:lvl>
    <w:lvl w:ilvl="6" w:tplc="607E4DB0">
      <w:start w:val="1"/>
      <w:numFmt w:val="bullet"/>
      <w:lvlText w:val=""/>
      <w:lvlJc w:val="left"/>
      <w:pPr>
        <w:tabs>
          <w:tab w:val="num" w:pos="5040"/>
        </w:tabs>
        <w:ind w:left="5040" w:hanging="360"/>
      </w:pPr>
      <w:rPr>
        <w:rFonts w:ascii="Symbol" w:hAnsi="Symbol"/>
      </w:rPr>
    </w:lvl>
    <w:lvl w:ilvl="7" w:tplc="EFC87CCE">
      <w:start w:val="1"/>
      <w:numFmt w:val="bullet"/>
      <w:lvlText w:val="o"/>
      <w:lvlJc w:val="left"/>
      <w:pPr>
        <w:tabs>
          <w:tab w:val="num" w:pos="5760"/>
        </w:tabs>
        <w:ind w:left="5760" w:hanging="360"/>
      </w:pPr>
      <w:rPr>
        <w:rFonts w:ascii="Courier New" w:hAnsi="Courier New"/>
      </w:rPr>
    </w:lvl>
    <w:lvl w:ilvl="8" w:tplc="6B5632E6">
      <w:start w:val="1"/>
      <w:numFmt w:val="bullet"/>
      <w:lvlText w:val=""/>
      <w:lvlJc w:val="left"/>
      <w:pPr>
        <w:tabs>
          <w:tab w:val="num" w:pos="6480"/>
        </w:tabs>
        <w:ind w:left="6480" w:hanging="360"/>
      </w:pPr>
      <w:rPr>
        <w:rFonts w:ascii="Wingdings" w:hAnsi="Wingdings"/>
      </w:rPr>
    </w:lvl>
  </w:abstractNum>
  <w:abstractNum w:abstractNumId="206" w15:restartNumberingAfterBreak="0">
    <w:nsid w:val="7DF62883"/>
    <w:multiLevelType w:val="hybridMultilevel"/>
    <w:tmpl w:val="7DF62883"/>
    <w:lvl w:ilvl="0" w:tplc="E16A228A">
      <w:start w:val="1"/>
      <w:numFmt w:val="bullet"/>
      <w:lvlText w:val=""/>
      <w:lvlJc w:val="left"/>
      <w:pPr>
        <w:tabs>
          <w:tab w:val="num" w:pos="720"/>
        </w:tabs>
        <w:ind w:left="720" w:hanging="360"/>
      </w:pPr>
      <w:rPr>
        <w:rFonts w:ascii="Symbol" w:hAnsi="Symbol"/>
      </w:rPr>
    </w:lvl>
    <w:lvl w:ilvl="1" w:tplc="7F10FAA8">
      <w:start w:val="1"/>
      <w:numFmt w:val="bullet"/>
      <w:lvlText w:val="o"/>
      <w:lvlJc w:val="left"/>
      <w:pPr>
        <w:tabs>
          <w:tab w:val="num" w:pos="1440"/>
        </w:tabs>
        <w:ind w:left="1440" w:hanging="360"/>
      </w:pPr>
      <w:rPr>
        <w:rFonts w:ascii="Courier New" w:hAnsi="Courier New"/>
      </w:rPr>
    </w:lvl>
    <w:lvl w:ilvl="2" w:tplc="CB784A6E">
      <w:start w:val="1"/>
      <w:numFmt w:val="bullet"/>
      <w:lvlText w:val=""/>
      <w:lvlJc w:val="left"/>
      <w:pPr>
        <w:tabs>
          <w:tab w:val="num" w:pos="2160"/>
        </w:tabs>
        <w:ind w:left="2160" w:hanging="360"/>
      </w:pPr>
      <w:rPr>
        <w:rFonts w:ascii="Wingdings" w:hAnsi="Wingdings"/>
      </w:rPr>
    </w:lvl>
    <w:lvl w:ilvl="3" w:tplc="E20C8234">
      <w:start w:val="1"/>
      <w:numFmt w:val="bullet"/>
      <w:lvlText w:val=""/>
      <w:lvlJc w:val="left"/>
      <w:pPr>
        <w:tabs>
          <w:tab w:val="num" w:pos="2880"/>
        </w:tabs>
        <w:ind w:left="2880" w:hanging="360"/>
      </w:pPr>
      <w:rPr>
        <w:rFonts w:ascii="Symbol" w:hAnsi="Symbol"/>
      </w:rPr>
    </w:lvl>
    <w:lvl w:ilvl="4" w:tplc="9FC82822">
      <w:start w:val="1"/>
      <w:numFmt w:val="bullet"/>
      <w:lvlText w:val="o"/>
      <w:lvlJc w:val="left"/>
      <w:pPr>
        <w:tabs>
          <w:tab w:val="num" w:pos="3600"/>
        </w:tabs>
        <w:ind w:left="3600" w:hanging="360"/>
      </w:pPr>
      <w:rPr>
        <w:rFonts w:ascii="Courier New" w:hAnsi="Courier New"/>
      </w:rPr>
    </w:lvl>
    <w:lvl w:ilvl="5" w:tplc="15ACBB5E">
      <w:start w:val="1"/>
      <w:numFmt w:val="bullet"/>
      <w:lvlText w:val=""/>
      <w:lvlJc w:val="left"/>
      <w:pPr>
        <w:tabs>
          <w:tab w:val="num" w:pos="4320"/>
        </w:tabs>
        <w:ind w:left="4320" w:hanging="360"/>
      </w:pPr>
      <w:rPr>
        <w:rFonts w:ascii="Wingdings" w:hAnsi="Wingdings"/>
      </w:rPr>
    </w:lvl>
    <w:lvl w:ilvl="6" w:tplc="A99EBC68">
      <w:start w:val="1"/>
      <w:numFmt w:val="bullet"/>
      <w:lvlText w:val=""/>
      <w:lvlJc w:val="left"/>
      <w:pPr>
        <w:tabs>
          <w:tab w:val="num" w:pos="5040"/>
        </w:tabs>
        <w:ind w:left="5040" w:hanging="360"/>
      </w:pPr>
      <w:rPr>
        <w:rFonts w:ascii="Symbol" w:hAnsi="Symbol"/>
      </w:rPr>
    </w:lvl>
    <w:lvl w:ilvl="7" w:tplc="5A98F21A">
      <w:start w:val="1"/>
      <w:numFmt w:val="bullet"/>
      <w:lvlText w:val="o"/>
      <w:lvlJc w:val="left"/>
      <w:pPr>
        <w:tabs>
          <w:tab w:val="num" w:pos="5760"/>
        </w:tabs>
        <w:ind w:left="5760" w:hanging="360"/>
      </w:pPr>
      <w:rPr>
        <w:rFonts w:ascii="Courier New" w:hAnsi="Courier New"/>
      </w:rPr>
    </w:lvl>
    <w:lvl w:ilvl="8" w:tplc="7F405EFA">
      <w:start w:val="1"/>
      <w:numFmt w:val="bullet"/>
      <w:lvlText w:val=""/>
      <w:lvlJc w:val="left"/>
      <w:pPr>
        <w:tabs>
          <w:tab w:val="num" w:pos="6480"/>
        </w:tabs>
        <w:ind w:left="6480" w:hanging="360"/>
      </w:pPr>
      <w:rPr>
        <w:rFonts w:ascii="Wingdings" w:hAnsi="Wingdings"/>
      </w:rPr>
    </w:lvl>
  </w:abstractNum>
  <w:abstractNum w:abstractNumId="207" w15:restartNumberingAfterBreak="0">
    <w:nsid w:val="7DF62884"/>
    <w:multiLevelType w:val="hybridMultilevel"/>
    <w:tmpl w:val="7DF62884"/>
    <w:lvl w:ilvl="0" w:tplc="0CA4349C">
      <w:start w:val="1"/>
      <w:numFmt w:val="bullet"/>
      <w:lvlText w:val=""/>
      <w:lvlJc w:val="left"/>
      <w:pPr>
        <w:tabs>
          <w:tab w:val="num" w:pos="720"/>
        </w:tabs>
        <w:ind w:left="720" w:hanging="360"/>
      </w:pPr>
      <w:rPr>
        <w:rFonts w:ascii="Symbol" w:hAnsi="Symbol"/>
      </w:rPr>
    </w:lvl>
    <w:lvl w:ilvl="1" w:tplc="C78E160E">
      <w:start w:val="1"/>
      <w:numFmt w:val="bullet"/>
      <w:lvlText w:val="o"/>
      <w:lvlJc w:val="left"/>
      <w:pPr>
        <w:tabs>
          <w:tab w:val="num" w:pos="1440"/>
        </w:tabs>
        <w:ind w:left="1440" w:hanging="360"/>
      </w:pPr>
      <w:rPr>
        <w:rFonts w:ascii="Courier New" w:hAnsi="Courier New"/>
      </w:rPr>
    </w:lvl>
    <w:lvl w:ilvl="2" w:tplc="936AB940">
      <w:start w:val="1"/>
      <w:numFmt w:val="bullet"/>
      <w:lvlText w:val=""/>
      <w:lvlJc w:val="left"/>
      <w:pPr>
        <w:tabs>
          <w:tab w:val="num" w:pos="2160"/>
        </w:tabs>
        <w:ind w:left="2160" w:hanging="360"/>
      </w:pPr>
      <w:rPr>
        <w:rFonts w:ascii="Wingdings" w:hAnsi="Wingdings"/>
      </w:rPr>
    </w:lvl>
    <w:lvl w:ilvl="3" w:tplc="5FE2ECC2">
      <w:start w:val="1"/>
      <w:numFmt w:val="bullet"/>
      <w:lvlText w:val=""/>
      <w:lvlJc w:val="left"/>
      <w:pPr>
        <w:tabs>
          <w:tab w:val="num" w:pos="2880"/>
        </w:tabs>
        <w:ind w:left="2880" w:hanging="360"/>
      </w:pPr>
      <w:rPr>
        <w:rFonts w:ascii="Symbol" w:hAnsi="Symbol"/>
      </w:rPr>
    </w:lvl>
    <w:lvl w:ilvl="4" w:tplc="86C82E02">
      <w:start w:val="1"/>
      <w:numFmt w:val="bullet"/>
      <w:lvlText w:val="o"/>
      <w:lvlJc w:val="left"/>
      <w:pPr>
        <w:tabs>
          <w:tab w:val="num" w:pos="3600"/>
        </w:tabs>
        <w:ind w:left="3600" w:hanging="360"/>
      </w:pPr>
      <w:rPr>
        <w:rFonts w:ascii="Courier New" w:hAnsi="Courier New"/>
      </w:rPr>
    </w:lvl>
    <w:lvl w:ilvl="5" w:tplc="703ABEB4">
      <w:start w:val="1"/>
      <w:numFmt w:val="bullet"/>
      <w:lvlText w:val=""/>
      <w:lvlJc w:val="left"/>
      <w:pPr>
        <w:tabs>
          <w:tab w:val="num" w:pos="4320"/>
        </w:tabs>
        <w:ind w:left="4320" w:hanging="360"/>
      </w:pPr>
      <w:rPr>
        <w:rFonts w:ascii="Wingdings" w:hAnsi="Wingdings"/>
      </w:rPr>
    </w:lvl>
    <w:lvl w:ilvl="6" w:tplc="74125320">
      <w:start w:val="1"/>
      <w:numFmt w:val="bullet"/>
      <w:lvlText w:val=""/>
      <w:lvlJc w:val="left"/>
      <w:pPr>
        <w:tabs>
          <w:tab w:val="num" w:pos="5040"/>
        </w:tabs>
        <w:ind w:left="5040" w:hanging="360"/>
      </w:pPr>
      <w:rPr>
        <w:rFonts w:ascii="Symbol" w:hAnsi="Symbol"/>
      </w:rPr>
    </w:lvl>
    <w:lvl w:ilvl="7" w:tplc="5CE05A98">
      <w:start w:val="1"/>
      <w:numFmt w:val="bullet"/>
      <w:lvlText w:val="o"/>
      <w:lvlJc w:val="left"/>
      <w:pPr>
        <w:tabs>
          <w:tab w:val="num" w:pos="5760"/>
        </w:tabs>
        <w:ind w:left="5760" w:hanging="360"/>
      </w:pPr>
      <w:rPr>
        <w:rFonts w:ascii="Courier New" w:hAnsi="Courier New"/>
      </w:rPr>
    </w:lvl>
    <w:lvl w:ilvl="8" w:tplc="160C4CAA">
      <w:start w:val="1"/>
      <w:numFmt w:val="bullet"/>
      <w:lvlText w:val=""/>
      <w:lvlJc w:val="left"/>
      <w:pPr>
        <w:tabs>
          <w:tab w:val="num" w:pos="6480"/>
        </w:tabs>
        <w:ind w:left="6480" w:hanging="360"/>
      </w:pPr>
      <w:rPr>
        <w:rFonts w:ascii="Wingdings" w:hAnsi="Wingdings"/>
      </w:rPr>
    </w:lvl>
  </w:abstractNum>
  <w:abstractNum w:abstractNumId="208" w15:restartNumberingAfterBreak="0">
    <w:nsid w:val="7DF62885"/>
    <w:multiLevelType w:val="hybridMultilevel"/>
    <w:tmpl w:val="7DF62885"/>
    <w:lvl w:ilvl="0" w:tplc="CADCFE84">
      <w:start w:val="1"/>
      <w:numFmt w:val="bullet"/>
      <w:lvlText w:val=""/>
      <w:lvlJc w:val="left"/>
      <w:pPr>
        <w:tabs>
          <w:tab w:val="num" w:pos="720"/>
        </w:tabs>
        <w:ind w:left="720" w:hanging="360"/>
      </w:pPr>
      <w:rPr>
        <w:rFonts w:ascii="Symbol" w:hAnsi="Symbol"/>
      </w:rPr>
    </w:lvl>
    <w:lvl w:ilvl="1" w:tplc="DC648C74">
      <w:start w:val="1"/>
      <w:numFmt w:val="bullet"/>
      <w:lvlText w:val="o"/>
      <w:lvlJc w:val="left"/>
      <w:pPr>
        <w:tabs>
          <w:tab w:val="num" w:pos="1440"/>
        </w:tabs>
        <w:ind w:left="1440" w:hanging="360"/>
      </w:pPr>
      <w:rPr>
        <w:rFonts w:ascii="Courier New" w:hAnsi="Courier New"/>
      </w:rPr>
    </w:lvl>
    <w:lvl w:ilvl="2" w:tplc="A0CAE1FA">
      <w:start w:val="1"/>
      <w:numFmt w:val="bullet"/>
      <w:lvlText w:val=""/>
      <w:lvlJc w:val="left"/>
      <w:pPr>
        <w:tabs>
          <w:tab w:val="num" w:pos="2160"/>
        </w:tabs>
        <w:ind w:left="2160" w:hanging="360"/>
      </w:pPr>
      <w:rPr>
        <w:rFonts w:ascii="Wingdings" w:hAnsi="Wingdings"/>
      </w:rPr>
    </w:lvl>
    <w:lvl w:ilvl="3" w:tplc="D5745278">
      <w:start w:val="1"/>
      <w:numFmt w:val="bullet"/>
      <w:lvlText w:val=""/>
      <w:lvlJc w:val="left"/>
      <w:pPr>
        <w:tabs>
          <w:tab w:val="num" w:pos="2880"/>
        </w:tabs>
        <w:ind w:left="2880" w:hanging="360"/>
      </w:pPr>
      <w:rPr>
        <w:rFonts w:ascii="Symbol" w:hAnsi="Symbol"/>
      </w:rPr>
    </w:lvl>
    <w:lvl w:ilvl="4" w:tplc="35B853FA">
      <w:start w:val="1"/>
      <w:numFmt w:val="bullet"/>
      <w:lvlText w:val="o"/>
      <w:lvlJc w:val="left"/>
      <w:pPr>
        <w:tabs>
          <w:tab w:val="num" w:pos="3600"/>
        </w:tabs>
        <w:ind w:left="3600" w:hanging="360"/>
      </w:pPr>
      <w:rPr>
        <w:rFonts w:ascii="Courier New" w:hAnsi="Courier New"/>
      </w:rPr>
    </w:lvl>
    <w:lvl w:ilvl="5" w:tplc="158866F0">
      <w:start w:val="1"/>
      <w:numFmt w:val="bullet"/>
      <w:lvlText w:val=""/>
      <w:lvlJc w:val="left"/>
      <w:pPr>
        <w:tabs>
          <w:tab w:val="num" w:pos="4320"/>
        </w:tabs>
        <w:ind w:left="4320" w:hanging="360"/>
      </w:pPr>
      <w:rPr>
        <w:rFonts w:ascii="Wingdings" w:hAnsi="Wingdings"/>
      </w:rPr>
    </w:lvl>
    <w:lvl w:ilvl="6" w:tplc="9DD6C830">
      <w:start w:val="1"/>
      <w:numFmt w:val="bullet"/>
      <w:lvlText w:val=""/>
      <w:lvlJc w:val="left"/>
      <w:pPr>
        <w:tabs>
          <w:tab w:val="num" w:pos="5040"/>
        </w:tabs>
        <w:ind w:left="5040" w:hanging="360"/>
      </w:pPr>
      <w:rPr>
        <w:rFonts w:ascii="Symbol" w:hAnsi="Symbol"/>
      </w:rPr>
    </w:lvl>
    <w:lvl w:ilvl="7" w:tplc="8A240DC2">
      <w:start w:val="1"/>
      <w:numFmt w:val="bullet"/>
      <w:lvlText w:val="o"/>
      <w:lvlJc w:val="left"/>
      <w:pPr>
        <w:tabs>
          <w:tab w:val="num" w:pos="5760"/>
        </w:tabs>
        <w:ind w:left="5760" w:hanging="360"/>
      </w:pPr>
      <w:rPr>
        <w:rFonts w:ascii="Courier New" w:hAnsi="Courier New"/>
      </w:rPr>
    </w:lvl>
    <w:lvl w:ilvl="8" w:tplc="4524CCF4">
      <w:start w:val="1"/>
      <w:numFmt w:val="bullet"/>
      <w:lvlText w:val=""/>
      <w:lvlJc w:val="left"/>
      <w:pPr>
        <w:tabs>
          <w:tab w:val="num" w:pos="6480"/>
        </w:tabs>
        <w:ind w:left="6480" w:hanging="360"/>
      </w:pPr>
      <w:rPr>
        <w:rFonts w:ascii="Wingdings" w:hAnsi="Wingdings"/>
      </w:rPr>
    </w:lvl>
  </w:abstractNum>
  <w:abstractNum w:abstractNumId="209" w15:restartNumberingAfterBreak="0">
    <w:nsid w:val="7DF62886"/>
    <w:multiLevelType w:val="hybridMultilevel"/>
    <w:tmpl w:val="7DF62886"/>
    <w:lvl w:ilvl="0" w:tplc="C9BCC75A">
      <w:start w:val="1"/>
      <w:numFmt w:val="bullet"/>
      <w:lvlText w:val=""/>
      <w:lvlJc w:val="left"/>
      <w:pPr>
        <w:tabs>
          <w:tab w:val="num" w:pos="720"/>
        </w:tabs>
        <w:ind w:left="720" w:hanging="360"/>
      </w:pPr>
      <w:rPr>
        <w:rFonts w:ascii="Symbol" w:hAnsi="Symbol"/>
      </w:rPr>
    </w:lvl>
    <w:lvl w:ilvl="1" w:tplc="41BAF87E">
      <w:start w:val="1"/>
      <w:numFmt w:val="bullet"/>
      <w:lvlText w:val="o"/>
      <w:lvlJc w:val="left"/>
      <w:pPr>
        <w:tabs>
          <w:tab w:val="num" w:pos="1440"/>
        </w:tabs>
        <w:ind w:left="1440" w:hanging="360"/>
      </w:pPr>
      <w:rPr>
        <w:rFonts w:ascii="Courier New" w:hAnsi="Courier New"/>
      </w:rPr>
    </w:lvl>
    <w:lvl w:ilvl="2" w:tplc="AD866264">
      <w:start w:val="1"/>
      <w:numFmt w:val="bullet"/>
      <w:lvlText w:val=""/>
      <w:lvlJc w:val="left"/>
      <w:pPr>
        <w:tabs>
          <w:tab w:val="num" w:pos="2160"/>
        </w:tabs>
        <w:ind w:left="2160" w:hanging="360"/>
      </w:pPr>
      <w:rPr>
        <w:rFonts w:ascii="Wingdings" w:hAnsi="Wingdings"/>
      </w:rPr>
    </w:lvl>
    <w:lvl w:ilvl="3" w:tplc="11380F7A">
      <w:start w:val="1"/>
      <w:numFmt w:val="bullet"/>
      <w:lvlText w:val=""/>
      <w:lvlJc w:val="left"/>
      <w:pPr>
        <w:tabs>
          <w:tab w:val="num" w:pos="2880"/>
        </w:tabs>
        <w:ind w:left="2880" w:hanging="360"/>
      </w:pPr>
      <w:rPr>
        <w:rFonts w:ascii="Symbol" w:hAnsi="Symbol"/>
      </w:rPr>
    </w:lvl>
    <w:lvl w:ilvl="4" w:tplc="02F8308A">
      <w:start w:val="1"/>
      <w:numFmt w:val="bullet"/>
      <w:lvlText w:val="o"/>
      <w:lvlJc w:val="left"/>
      <w:pPr>
        <w:tabs>
          <w:tab w:val="num" w:pos="3600"/>
        </w:tabs>
        <w:ind w:left="3600" w:hanging="360"/>
      </w:pPr>
      <w:rPr>
        <w:rFonts w:ascii="Courier New" w:hAnsi="Courier New"/>
      </w:rPr>
    </w:lvl>
    <w:lvl w:ilvl="5" w:tplc="9940BF74">
      <w:start w:val="1"/>
      <w:numFmt w:val="bullet"/>
      <w:lvlText w:val=""/>
      <w:lvlJc w:val="left"/>
      <w:pPr>
        <w:tabs>
          <w:tab w:val="num" w:pos="4320"/>
        </w:tabs>
        <w:ind w:left="4320" w:hanging="360"/>
      </w:pPr>
      <w:rPr>
        <w:rFonts w:ascii="Wingdings" w:hAnsi="Wingdings"/>
      </w:rPr>
    </w:lvl>
    <w:lvl w:ilvl="6" w:tplc="5ACE2DB4">
      <w:start w:val="1"/>
      <w:numFmt w:val="bullet"/>
      <w:lvlText w:val=""/>
      <w:lvlJc w:val="left"/>
      <w:pPr>
        <w:tabs>
          <w:tab w:val="num" w:pos="5040"/>
        </w:tabs>
        <w:ind w:left="5040" w:hanging="360"/>
      </w:pPr>
      <w:rPr>
        <w:rFonts w:ascii="Symbol" w:hAnsi="Symbol"/>
      </w:rPr>
    </w:lvl>
    <w:lvl w:ilvl="7" w:tplc="9F9C9B02">
      <w:start w:val="1"/>
      <w:numFmt w:val="bullet"/>
      <w:lvlText w:val="o"/>
      <w:lvlJc w:val="left"/>
      <w:pPr>
        <w:tabs>
          <w:tab w:val="num" w:pos="5760"/>
        </w:tabs>
        <w:ind w:left="5760" w:hanging="360"/>
      </w:pPr>
      <w:rPr>
        <w:rFonts w:ascii="Courier New" w:hAnsi="Courier New"/>
      </w:rPr>
    </w:lvl>
    <w:lvl w:ilvl="8" w:tplc="2264D858">
      <w:start w:val="1"/>
      <w:numFmt w:val="bullet"/>
      <w:lvlText w:val=""/>
      <w:lvlJc w:val="left"/>
      <w:pPr>
        <w:tabs>
          <w:tab w:val="num" w:pos="6480"/>
        </w:tabs>
        <w:ind w:left="6480" w:hanging="360"/>
      </w:pPr>
      <w:rPr>
        <w:rFonts w:ascii="Wingdings" w:hAnsi="Wingdings"/>
      </w:rPr>
    </w:lvl>
  </w:abstractNum>
  <w:abstractNum w:abstractNumId="210" w15:restartNumberingAfterBreak="0">
    <w:nsid w:val="7DF62887"/>
    <w:multiLevelType w:val="hybridMultilevel"/>
    <w:tmpl w:val="7DF62887"/>
    <w:lvl w:ilvl="0" w:tplc="B3040EB8">
      <w:start w:val="1"/>
      <w:numFmt w:val="bullet"/>
      <w:lvlText w:val=""/>
      <w:lvlJc w:val="left"/>
      <w:pPr>
        <w:tabs>
          <w:tab w:val="num" w:pos="720"/>
        </w:tabs>
        <w:ind w:left="720" w:hanging="360"/>
      </w:pPr>
      <w:rPr>
        <w:rFonts w:ascii="Symbol" w:hAnsi="Symbol"/>
      </w:rPr>
    </w:lvl>
    <w:lvl w:ilvl="1" w:tplc="03622BB6">
      <w:start w:val="1"/>
      <w:numFmt w:val="bullet"/>
      <w:lvlText w:val="o"/>
      <w:lvlJc w:val="left"/>
      <w:pPr>
        <w:tabs>
          <w:tab w:val="num" w:pos="1440"/>
        </w:tabs>
        <w:ind w:left="1440" w:hanging="360"/>
      </w:pPr>
      <w:rPr>
        <w:rFonts w:ascii="Courier New" w:hAnsi="Courier New"/>
      </w:rPr>
    </w:lvl>
    <w:lvl w:ilvl="2" w:tplc="728854BC">
      <w:start w:val="1"/>
      <w:numFmt w:val="bullet"/>
      <w:lvlText w:val=""/>
      <w:lvlJc w:val="left"/>
      <w:pPr>
        <w:tabs>
          <w:tab w:val="num" w:pos="2160"/>
        </w:tabs>
        <w:ind w:left="2160" w:hanging="360"/>
      </w:pPr>
      <w:rPr>
        <w:rFonts w:ascii="Wingdings" w:hAnsi="Wingdings"/>
      </w:rPr>
    </w:lvl>
    <w:lvl w:ilvl="3" w:tplc="0B5C41E6">
      <w:start w:val="1"/>
      <w:numFmt w:val="bullet"/>
      <w:lvlText w:val=""/>
      <w:lvlJc w:val="left"/>
      <w:pPr>
        <w:tabs>
          <w:tab w:val="num" w:pos="2880"/>
        </w:tabs>
        <w:ind w:left="2880" w:hanging="360"/>
      </w:pPr>
      <w:rPr>
        <w:rFonts w:ascii="Symbol" w:hAnsi="Symbol"/>
      </w:rPr>
    </w:lvl>
    <w:lvl w:ilvl="4" w:tplc="7D8AB588">
      <w:start w:val="1"/>
      <w:numFmt w:val="bullet"/>
      <w:lvlText w:val="o"/>
      <w:lvlJc w:val="left"/>
      <w:pPr>
        <w:tabs>
          <w:tab w:val="num" w:pos="3600"/>
        </w:tabs>
        <w:ind w:left="3600" w:hanging="360"/>
      </w:pPr>
      <w:rPr>
        <w:rFonts w:ascii="Courier New" w:hAnsi="Courier New"/>
      </w:rPr>
    </w:lvl>
    <w:lvl w:ilvl="5" w:tplc="9A6A41AC">
      <w:start w:val="1"/>
      <w:numFmt w:val="bullet"/>
      <w:lvlText w:val=""/>
      <w:lvlJc w:val="left"/>
      <w:pPr>
        <w:tabs>
          <w:tab w:val="num" w:pos="4320"/>
        </w:tabs>
        <w:ind w:left="4320" w:hanging="360"/>
      </w:pPr>
      <w:rPr>
        <w:rFonts w:ascii="Wingdings" w:hAnsi="Wingdings"/>
      </w:rPr>
    </w:lvl>
    <w:lvl w:ilvl="6" w:tplc="C9BCBAFE">
      <w:start w:val="1"/>
      <w:numFmt w:val="bullet"/>
      <w:lvlText w:val=""/>
      <w:lvlJc w:val="left"/>
      <w:pPr>
        <w:tabs>
          <w:tab w:val="num" w:pos="5040"/>
        </w:tabs>
        <w:ind w:left="5040" w:hanging="360"/>
      </w:pPr>
      <w:rPr>
        <w:rFonts w:ascii="Symbol" w:hAnsi="Symbol"/>
      </w:rPr>
    </w:lvl>
    <w:lvl w:ilvl="7" w:tplc="1F324394">
      <w:start w:val="1"/>
      <w:numFmt w:val="bullet"/>
      <w:lvlText w:val="o"/>
      <w:lvlJc w:val="left"/>
      <w:pPr>
        <w:tabs>
          <w:tab w:val="num" w:pos="5760"/>
        </w:tabs>
        <w:ind w:left="5760" w:hanging="360"/>
      </w:pPr>
      <w:rPr>
        <w:rFonts w:ascii="Courier New" w:hAnsi="Courier New"/>
      </w:rPr>
    </w:lvl>
    <w:lvl w:ilvl="8" w:tplc="077A1C00">
      <w:start w:val="1"/>
      <w:numFmt w:val="bullet"/>
      <w:lvlText w:val=""/>
      <w:lvlJc w:val="left"/>
      <w:pPr>
        <w:tabs>
          <w:tab w:val="num" w:pos="6480"/>
        </w:tabs>
        <w:ind w:left="6480" w:hanging="360"/>
      </w:pPr>
      <w:rPr>
        <w:rFonts w:ascii="Wingdings" w:hAnsi="Wingdings"/>
      </w:rPr>
    </w:lvl>
  </w:abstractNum>
  <w:abstractNum w:abstractNumId="211" w15:restartNumberingAfterBreak="0">
    <w:nsid w:val="7DF62888"/>
    <w:multiLevelType w:val="hybridMultilevel"/>
    <w:tmpl w:val="7DF62888"/>
    <w:lvl w:ilvl="0" w:tplc="7B7E34D6">
      <w:start w:val="1"/>
      <w:numFmt w:val="bullet"/>
      <w:lvlText w:val=""/>
      <w:lvlJc w:val="left"/>
      <w:pPr>
        <w:tabs>
          <w:tab w:val="num" w:pos="720"/>
        </w:tabs>
        <w:ind w:left="720" w:hanging="360"/>
      </w:pPr>
      <w:rPr>
        <w:rFonts w:ascii="Symbol" w:hAnsi="Symbol"/>
      </w:rPr>
    </w:lvl>
    <w:lvl w:ilvl="1" w:tplc="6D68A84E">
      <w:start w:val="1"/>
      <w:numFmt w:val="bullet"/>
      <w:lvlText w:val="o"/>
      <w:lvlJc w:val="left"/>
      <w:pPr>
        <w:tabs>
          <w:tab w:val="num" w:pos="1440"/>
        </w:tabs>
        <w:ind w:left="1440" w:hanging="360"/>
      </w:pPr>
      <w:rPr>
        <w:rFonts w:ascii="Courier New" w:hAnsi="Courier New"/>
      </w:rPr>
    </w:lvl>
    <w:lvl w:ilvl="2" w:tplc="2B4EC132">
      <w:start w:val="1"/>
      <w:numFmt w:val="bullet"/>
      <w:lvlText w:val=""/>
      <w:lvlJc w:val="left"/>
      <w:pPr>
        <w:tabs>
          <w:tab w:val="num" w:pos="2160"/>
        </w:tabs>
        <w:ind w:left="2160" w:hanging="360"/>
      </w:pPr>
      <w:rPr>
        <w:rFonts w:ascii="Wingdings" w:hAnsi="Wingdings"/>
      </w:rPr>
    </w:lvl>
    <w:lvl w:ilvl="3" w:tplc="20FA6470">
      <w:start w:val="1"/>
      <w:numFmt w:val="bullet"/>
      <w:lvlText w:val=""/>
      <w:lvlJc w:val="left"/>
      <w:pPr>
        <w:tabs>
          <w:tab w:val="num" w:pos="2880"/>
        </w:tabs>
        <w:ind w:left="2880" w:hanging="360"/>
      </w:pPr>
      <w:rPr>
        <w:rFonts w:ascii="Symbol" w:hAnsi="Symbol"/>
      </w:rPr>
    </w:lvl>
    <w:lvl w:ilvl="4" w:tplc="796C9D4A">
      <w:start w:val="1"/>
      <w:numFmt w:val="bullet"/>
      <w:lvlText w:val="o"/>
      <w:lvlJc w:val="left"/>
      <w:pPr>
        <w:tabs>
          <w:tab w:val="num" w:pos="3600"/>
        </w:tabs>
        <w:ind w:left="3600" w:hanging="360"/>
      </w:pPr>
      <w:rPr>
        <w:rFonts w:ascii="Courier New" w:hAnsi="Courier New"/>
      </w:rPr>
    </w:lvl>
    <w:lvl w:ilvl="5" w:tplc="CDA4A3D0">
      <w:start w:val="1"/>
      <w:numFmt w:val="bullet"/>
      <w:lvlText w:val=""/>
      <w:lvlJc w:val="left"/>
      <w:pPr>
        <w:tabs>
          <w:tab w:val="num" w:pos="4320"/>
        </w:tabs>
        <w:ind w:left="4320" w:hanging="360"/>
      </w:pPr>
      <w:rPr>
        <w:rFonts w:ascii="Wingdings" w:hAnsi="Wingdings"/>
      </w:rPr>
    </w:lvl>
    <w:lvl w:ilvl="6" w:tplc="FEF49D80">
      <w:start w:val="1"/>
      <w:numFmt w:val="bullet"/>
      <w:lvlText w:val=""/>
      <w:lvlJc w:val="left"/>
      <w:pPr>
        <w:tabs>
          <w:tab w:val="num" w:pos="5040"/>
        </w:tabs>
        <w:ind w:left="5040" w:hanging="360"/>
      </w:pPr>
      <w:rPr>
        <w:rFonts w:ascii="Symbol" w:hAnsi="Symbol"/>
      </w:rPr>
    </w:lvl>
    <w:lvl w:ilvl="7" w:tplc="B2A01158">
      <w:start w:val="1"/>
      <w:numFmt w:val="bullet"/>
      <w:lvlText w:val="o"/>
      <w:lvlJc w:val="left"/>
      <w:pPr>
        <w:tabs>
          <w:tab w:val="num" w:pos="5760"/>
        </w:tabs>
        <w:ind w:left="5760" w:hanging="360"/>
      </w:pPr>
      <w:rPr>
        <w:rFonts w:ascii="Courier New" w:hAnsi="Courier New"/>
      </w:rPr>
    </w:lvl>
    <w:lvl w:ilvl="8" w:tplc="C9185086">
      <w:start w:val="1"/>
      <w:numFmt w:val="bullet"/>
      <w:lvlText w:val=""/>
      <w:lvlJc w:val="left"/>
      <w:pPr>
        <w:tabs>
          <w:tab w:val="num" w:pos="6480"/>
        </w:tabs>
        <w:ind w:left="6480" w:hanging="360"/>
      </w:pPr>
      <w:rPr>
        <w:rFonts w:ascii="Wingdings" w:hAnsi="Wingdings"/>
      </w:rPr>
    </w:lvl>
  </w:abstractNum>
  <w:abstractNum w:abstractNumId="212" w15:restartNumberingAfterBreak="0">
    <w:nsid w:val="7DF62889"/>
    <w:multiLevelType w:val="multilevel"/>
    <w:tmpl w:val="7DF6288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3" w15:restartNumberingAfterBreak="0">
    <w:nsid w:val="7DF6288A"/>
    <w:multiLevelType w:val="hybridMultilevel"/>
    <w:tmpl w:val="7DF6288A"/>
    <w:lvl w:ilvl="0" w:tplc="DC3A578C">
      <w:start w:val="1"/>
      <w:numFmt w:val="bullet"/>
      <w:lvlText w:val=""/>
      <w:lvlJc w:val="left"/>
      <w:pPr>
        <w:tabs>
          <w:tab w:val="num" w:pos="720"/>
        </w:tabs>
        <w:ind w:left="720" w:hanging="360"/>
      </w:pPr>
      <w:rPr>
        <w:rFonts w:ascii="Symbol" w:hAnsi="Symbol"/>
      </w:rPr>
    </w:lvl>
    <w:lvl w:ilvl="1" w:tplc="0592F5C6">
      <w:start w:val="1"/>
      <w:numFmt w:val="bullet"/>
      <w:lvlText w:val="o"/>
      <w:lvlJc w:val="left"/>
      <w:pPr>
        <w:tabs>
          <w:tab w:val="num" w:pos="1440"/>
        </w:tabs>
        <w:ind w:left="1440" w:hanging="360"/>
      </w:pPr>
      <w:rPr>
        <w:rFonts w:ascii="Courier New" w:hAnsi="Courier New"/>
      </w:rPr>
    </w:lvl>
    <w:lvl w:ilvl="2" w:tplc="6E6487A2">
      <w:start w:val="1"/>
      <w:numFmt w:val="bullet"/>
      <w:lvlText w:val=""/>
      <w:lvlJc w:val="left"/>
      <w:pPr>
        <w:tabs>
          <w:tab w:val="num" w:pos="2160"/>
        </w:tabs>
        <w:ind w:left="2160" w:hanging="360"/>
      </w:pPr>
      <w:rPr>
        <w:rFonts w:ascii="Wingdings" w:hAnsi="Wingdings"/>
      </w:rPr>
    </w:lvl>
    <w:lvl w:ilvl="3" w:tplc="D52C73E2">
      <w:start w:val="1"/>
      <w:numFmt w:val="bullet"/>
      <w:lvlText w:val=""/>
      <w:lvlJc w:val="left"/>
      <w:pPr>
        <w:tabs>
          <w:tab w:val="num" w:pos="2880"/>
        </w:tabs>
        <w:ind w:left="2880" w:hanging="360"/>
      </w:pPr>
      <w:rPr>
        <w:rFonts w:ascii="Symbol" w:hAnsi="Symbol"/>
      </w:rPr>
    </w:lvl>
    <w:lvl w:ilvl="4" w:tplc="2446F5E2">
      <w:start w:val="1"/>
      <w:numFmt w:val="bullet"/>
      <w:lvlText w:val="o"/>
      <w:lvlJc w:val="left"/>
      <w:pPr>
        <w:tabs>
          <w:tab w:val="num" w:pos="3600"/>
        </w:tabs>
        <w:ind w:left="3600" w:hanging="360"/>
      </w:pPr>
      <w:rPr>
        <w:rFonts w:ascii="Courier New" w:hAnsi="Courier New"/>
      </w:rPr>
    </w:lvl>
    <w:lvl w:ilvl="5" w:tplc="98740FEC">
      <w:start w:val="1"/>
      <w:numFmt w:val="bullet"/>
      <w:lvlText w:val=""/>
      <w:lvlJc w:val="left"/>
      <w:pPr>
        <w:tabs>
          <w:tab w:val="num" w:pos="4320"/>
        </w:tabs>
        <w:ind w:left="4320" w:hanging="360"/>
      </w:pPr>
      <w:rPr>
        <w:rFonts w:ascii="Wingdings" w:hAnsi="Wingdings"/>
      </w:rPr>
    </w:lvl>
    <w:lvl w:ilvl="6" w:tplc="33AE1E46">
      <w:start w:val="1"/>
      <w:numFmt w:val="bullet"/>
      <w:lvlText w:val=""/>
      <w:lvlJc w:val="left"/>
      <w:pPr>
        <w:tabs>
          <w:tab w:val="num" w:pos="5040"/>
        </w:tabs>
        <w:ind w:left="5040" w:hanging="360"/>
      </w:pPr>
      <w:rPr>
        <w:rFonts w:ascii="Symbol" w:hAnsi="Symbol"/>
      </w:rPr>
    </w:lvl>
    <w:lvl w:ilvl="7" w:tplc="AE50C44E">
      <w:start w:val="1"/>
      <w:numFmt w:val="bullet"/>
      <w:lvlText w:val="o"/>
      <w:lvlJc w:val="left"/>
      <w:pPr>
        <w:tabs>
          <w:tab w:val="num" w:pos="5760"/>
        </w:tabs>
        <w:ind w:left="5760" w:hanging="360"/>
      </w:pPr>
      <w:rPr>
        <w:rFonts w:ascii="Courier New" w:hAnsi="Courier New"/>
      </w:rPr>
    </w:lvl>
    <w:lvl w:ilvl="8" w:tplc="570AB38E">
      <w:start w:val="1"/>
      <w:numFmt w:val="bullet"/>
      <w:lvlText w:val=""/>
      <w:lvlJc w:val="left"/>
      <w:pPr>
        <w:tabs>
          <w:tab w:val="num" w:pos="6480"/>
        </w:tabs>
        <w:ind w:left="6480" w:hanging="360"/>
      </w:pPr>
      <w:rPr>
        <w:rFonts w:ascii="Wingdings" w:hAnsi="Wingdings"/>
      </w:rPr>
    </w:lvl>
  </w:abstractNum>
  <w:abstractNum w:abstractNumId="214" w15:restartNumberingAfterBreak="0">
    <w:nsid w:val="7DF6288B"/>
    <w:multiLevelType w:val="hybridMultilevel"/>
    <w:tmpl w:val="7DF6288B"/>
    <w:lvl w:ilvl="0" w:tplc="121C313E">
      <w:start w:val="1"/>
      <w:numFmt w:val="bullet"/>
      <w:lvlText w:val=""/>
      <w:lvlJc w:val="left"/>
      <w:pPr>
        <w:tabs>
          <w:tab w:val="num" w:pos="720"/>
        </w:tabs>
        <w:ind w:left="720" w:hanging="360"/>
      </w:pPr>
      <w:rPr>
        <w:rFonts w:ascii="Symbol" w:hAnsi="Symbol"/>
      </w:rPr>
    </w:lvl>
    <w:lvl w:ilvl="1" w:tplc="5DC855E4">
      <w:start w:val="1"/>
      <w:numFmt w:val="bullet"/>
      <w:lvlText w:val="o"/>
      <w:lvlJc w:val="left"/>
      <w:pPr>
        <w:tabs>
          <w:tab w:val="num" w:pos="1440"/>
        </w:tabs>
        <w:ind w:left="1440" w:hanging="360"/>
      </w:pPr>
      <w:rPr>
        <w:rFonts w:ascii="Courier New" w:hAnsi="Courier New"/>
      </w:rPr>
    </w:lvl>
    <w:lvl w:ilvl="2" w:tplc="A2BC95F8">
      <w:start w:val="1"/>
      <w:numFmt w:val="bullet"/>
      <w:lvlText w:val=""/>
      <w:lvlJc w:val="left"/>
      <w:pPr>
        <w:tabs>
          <w:tab w:val="num" w:pos="2160"/>
        </w:tabs>
        <w:ind w:left="2160" w:hanging="360"/>
      </w:pPr>
      <w:rPr>
        <w:rFonts w:ascii="Wingdings" w:hAnsi="Wingdings"/>
      </w:rPr>
    </w:lvl>
    <w:lvl w:ilvl="3" w:tplc="B434AC42">
      <w:start w:val="1"/>
      <w:numFmt w:val="bullet"/>
      <w:lvlText w:val=""/>
      <w:lvlJc w:val="left"/>
      <w:pPr>
        <w:tabs>
          <w:tab w:val="num" w:pos="2880"/>
        </w:tabs>
        <w:ind w:left="2880" w:hanging="360"/>
      </w:pPr>
      <w:rPr>
        <w:rFonts w:ascii="Symbol" w:hAnsi="Symbol"/>
      </w:rPr>
    </w:lvl>
    <w:lvl w:ilvl="4" w:tplc="11AEC718">
      <w:start w:val="1"/>
      <w:numFmt w:val="bullet"/>
      <w:lvlText w:val="o"/>
      <w:lvlJc w:val="left"/>
      <w:pPr>
        <w:tabs>
          <w:tab w:val="num" w:pos="3600"/>
        </w:tabs>
        <w:ind w:left="3600" w:hanging="360"/>
      </w:pPr>
      <w:rPr>
        <w:rFonts w:ascii="Courier New" w:hAnsi="Courier New"/>
      </w:rPr>
    </w:lvl>
    <w:lvl w:ilvl="5" w:tplc="75C6C320">
      <w:start w:val="1"/>
      <w:numFmt w:val="bullet"/>
      <w:lvlText w:val=""/>
      <w:lvlJc w:val="left"/>
      <w:pPr>
        <w:tabs>
          <w:tab w:val="num" w:pos="4320"/>
        </w:tabs>
        <w:ind w:left="4320" w:hanging="360"/>
      </w:pPr>
      <w:rPr>
        <w:rFonts w:ascii="Wingdings" w:hAnsi="Wingdings"/>
      </w:rPr>
    </w:lvl>
    <w:lvl w:ilvl="6" w:tplc="5456B768">
      <w:start w:val="1"/>
      <w:numFmt w:val="bullet"/>
      <w:lvlText w:val=""/>
      <w:lvlJc w:val="left"/>
      <w:pPr>
        <w:tabs>
          <w:tab w:val="num" w:pos="5040"/>
        </w:tabs>
        <w:ind w:left="5040" w:hanging="360"/>
      </w:pPr>
      <w:rPr>
        <w:rFonts w:ascii="Symbol" w:hAnsi="Symbol"/>
      </w:rPr>
    </w:lvl>
    <w:lvl w:ilvl="7" w:tplc="A33600A6">
      <w:start w:val="1"/>
      <w:numFmt w:val="bullet"/>
      <w:lvlText w:val="o"/>
      <w:lvlJc w:val="left"/>
      <w:pPr>
        <w:tabs>
          <w:tab w:val="num" w:pos="5760"/>
        </w:tabs>
        <w:ind w:left="5760" w:hanging="360"/>
      </w:pPr>
      <w:rPr>
        <w:rFonts w:ascii="Courier New" w:hAnsi="Courier New"/>
      </w:rPr>
    </w:lvl>
    <w:lvl w:ilvl="8" w:tplc="474CA206">
      <w:start w:val="1"/>
      <w:numFmt w:val="bullet"/>
      <w:lvlText w:val=""/>
      <w:lvlJc w:val="left"/>
      <w:pPr>
        <w:tabs>
          <w:tab w:val="num" w:pos="6480"/>
        </w:tabs>
        <w:ind w:left="6480" w:hanging="360"/>
      </w:pPr>
      <w:rPr>
        <w:rFonts w:ascii="Wingdings" w:hAnsi="Wingdings"/>
      </w:rPr>
    </w:lvl>
  </w:abstractNum>
  <w:abstractNum w:abstractNumId="215" w15:restartNumberingAfterBreak="0">
    <w:nsid w:val="7DF6288C"/>
    <w:multiLevelType w:val="multilevel"/>
    <w:tmpl w:val="7DF628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6" w15:restartNumberingAfterBreak="0">
    <w:nsid w:val="7DF6288D"/>
    <w:multiLevelType w:val="hybridMultilevel"/>
    <w:tmpl w:val="7DF6288D"/>
    <w:lvl w:ilvl="0" w:tplc="56C8900A">
      <w:start w:val="1"/>
      <w:numFmt w:val="bullet"/>
      <w:lvlText w:val=""/>
      <w:lvlJc w:val="left"/>
      <w:pPr>
        <w:tabs>
          <w:tab w:val="num" w:pos="720"/>
        </w:tabs>
        <w:ind w:left="720" w:hanging="360"/>
      </w:pPr>
      <w:rPr>
        <w:rFonts w:ascii="Symbol" w:hAnsi="Symbol"/>
      </w:rPr>
    </w:lvl>
    <w:lvl w:ilvl="1" w:tplc="58AC39CE">
      <w:start w:val="1"/>
      <w:numFmt w:val="bullet"/>
      <w:lvlText w:val="o"/>
      <w:lvlJc w:val="left"/>
      <w:pPr>
        <w:tabs>
          <w:tab w:val="num" w:pos="1440"/>
        </w:tabs>
        <w:ind w:left="1440" w:hanging="360"/>
      </w:pPr>
      <w:rPr>
        <w:rFonts w:ascii="Courier New" w:hAnsi="Courier New"/>
      </w:rPr>
    </w:lvl>
    <w:lvl w:ilvl="2" w:tplc="DE38A718">
      <w:start w:val="1"/>
      <w:numFmt w:val="bullet"/>
      <w:lvlText w:val=""/>
      <w:lvlJc w:val="left"/>
      <w:pPr>
        <w:tabs>
          <w:tab w:val="num" w:pos="2160"/>
        </w:tabs>
        <w:ind w:left="2160" w:hanging="360"/>
      </w:pPr>
      <w:rPr>
        <w:rFonts w:ascii="Wingdings" w:hAnsi="Wingdings"/>
      </w:rPr>
    </w:lvl>
    <w:lvl w:ilvl="3" w:tplc="B2F6F51A">
      <w:start w:val="1"/>
      <w:numFmt w:val="bullet"/>
      <w:lvlText w:val=""/>
      <w:lvlJc w:val="left"/>
      <w:pPr>
        <w:tabs>
          <w:tab w:val="num" w:pos="2880"/>
        </w:tabs>
        <w:ind w:left="2880" w:hanging="360"/>
      </w:pPr>
      <w:rPr>
        <w:rFonts w:ascii="Symbol" w:hAnsi="Symbol"/>
      </w:rPr>
    </w:lvl>
    <w:lvl w:ilvl="4" w:tplc="7730F9B2">
      <w:start w:val="1"/>
      <w:numFmt w:val="bullet"/>
      <w:lvlText w:val="o"/>
      <w:lvlJc w:val="left"/>
      <w:pPr>
        <w:tabs>
          <w:tab w:val="num" w:pos="3600"/>
        </w:tabs>
        <w:ind w:left="3600" w:hanging="360"/>
      </w:pPr>
      <w:rPr>
        <w:rFonts w:ascii="Courier New" w:hAnsi="Courier New"/>
      </w:rPr>
    </w:lvl>
    <w:lvl w:ilvl="5" w:tplc="B05A0F72">
      <w:start w:val="1"/>
      <w:numFmt w:val="bullet"/>
      <w:lvlText w:val=""/>
      <w:lvlJc w:val="left"/>
      <w:pPr>
        <w:tabs>
          <w:tab w:val="num" w:pos="4320"/>
        </w:tabs>
        <w:ind w:left="4320" w:hanging="360"/>
      </w:pPr>
      <w:rPr>
        <w:rFonts w:ascii="Wingdings" w:hAnsi="Wingdings"/>
      </w:rPr>
    </w:lvl>
    <w:lvl w:ilvl="6" w:tplc="F6C6ADC2">
      <w:start w:val="1"/>
      <w:numFmt w:val="bullet"/>
      <w:lvlText w:val=""/>
      <w:lvlJc w:val="left"/>
      <w:pPr>
        <w:tabs>
          <w:tab w:val="num" w:pos="5040"/>
        </w:tabs>
        <w:ind w:left="5040" w:hanging="360"/>
      </w:pPr>
      <w:rPr>
        <w:rFonts w:ascii="Symbol" w:hAnsi="Symbol"/>
      </w:rPr>
    </w:lvl>
    <w:lvl w:ilvl="7" w:tplc="8B3AA9DA">
      <w:start w:val="1"/>
      <w:numFmt w:val="bullet"/>
      <w:lvlText w:val="o"/>
      <w:lvlJc w:val="left"/>
      <w:pPr>
        <w:tabs>
          <w:tab w:val="num" w:pos="5760"/>
        </w:tabs>
        <w:ind w:left="5760" w:hanging="360"/>
      </w:pPr>
      <w:rPr>
        <w:rFonts w:ascii="Courier New" w:hAnsi="Courier New"/>
      </w:rPr>
    </w:lvl>
    <w:lvl w:ilvl="8" w:tplc="A2C88442">
      <w:start w:val="1"/>
      <w:numFmt w:val="bullet"/>
      <w:lvlText w:val=""/>
      <w:lvlJc w:val="left"/>
      <w:pPr>
        <w:tabs>
          <w:tab w:val="num" w:pos="6480"/>
        </w:tabs>
        <w:ind w:left="6480" w:hanging="360"/>
      </w:pPr>
      <w:rPr>
        <w:rFonts w:ascii="Wingdings" w:hAnsi="Wingdings"/>
      </w:rPr>
    </w:lvl>
  </w:abstractNum>
  <w:abstractNum w:abstractNumId="217" w15:restartNumberingAfterBreak="0">
    <w:nsid w:val="7DF6288E"/>
    <w:multiLevelType w:val="hybridMultilevel"/>
    <w:tmpl w:val="7DF6288E"/>
    <w:lvl w:ilvl="0" w:tplc="0414EFD0">
      <w:start w:val="1"/>
      <w:numFmt w:val="bullet"/>
      <w:lvlText w:val=""/>
      <w:lvlJc w:val="left"/>
      <w:pPr>
        <w:tabs>
          <w:tab w:val="num" w:pos="720"/>
        </w:tabs>
        <w:ind w:left="720" w:hanging="360"/>
      </w:pPr>
      <w:rPr>
        <w:rFonts w:ascii="Symbol" w:hAnsi="Symbol"/>
      </w:rPr>
    </w:lvl>
    <w:lvl w:ilvl="1" w:tplc="A2CAC58A">
      <w:start w:val="1"/>
      <w:numFmt w:val="bullet"/>
      <w:lvlText w:val="o"/>
      <w:lvlJc w:val="left"/>
      <w:pPr>
        <w:tabs>
          <w:tab w:val="num" w:pos="1440"/>
        </w:tabs>
        <w:ind w:left="1440" w:hanging="360"/>
      </w:pPr>
      <w:rPr>
        <w:rFonts w:ascii="Courier New" w:hAnsi="Courier New"/>
      </w:rPr>
    </w:lvl>
    <w:lvl w:ilvl="2" w:tplc="D91CA9D8">
      <w:start w:val="1"/>
      <w:numFmt w:val="bullet"/>
      <w:lvlText w:val=""/>
      <w:lvlJc w:val="left"/>
      <w:pPr>
        <w:tabs>
          <w:tab w:val="num" w:pos="2160"/>
        </w:tabs>
        <w:ind w:left="2160" w:hanging="360"/>
      </w:pPr>
      <w:rPr>
        <w:rFonts w:ascii="Wingdings" w:hAnsi="Wingdings"/>
      </w:rPr>
    </w:lvl>
    <w:lvl w:ilvl="3" w:tplc="2D129202">
      <w:start w:val="1"/>
      <w:numFmt w:val="bullet"/>
      <w:lvlText w:val=""/>
      <w:lvlJc w:val="left"/>
      <w:pPr>
        <w:tabs>
          <w:tab w:val="num" w:pos="2880"/>
        </w:tabs>
        <w:ind w:left="2880" w:hanging="360"/>
      </w:pPr>
      <w:rPr>
        <w:rFonts w:ascii="Symbol" w:hAnsi="Symbol"/>
      </w:rPr>
    </w:lvl>
    <w:lvl w:ilvl="4" w:tplc="F014AD94">
      <w:start w:val="1"/>
      <w:numFmt w:val="bullet"/>
      <w:lvlText w:val="o"/>
      <w:lvlJc w:val="left"/>
      <w:pPr>
        <w:tabs>
          <w:tab w:val="num" w:pos="3600"/>
        </w:tabs>
        <w:ind w:left="3600" w:hanging="360"/>
      </w:pPr>
      <w:rPr>
        <w:rFonts w:ascii="Courier New" w:hAnsi="Courier New"/>
      </w:rPr>
    </w:lvl>
    <w:lvl w:ilvl="5" w:tplc="85466344">
      <w:start w:val="1"/>
      <w:numFmt w:val="bullet"/>
      <w:lvlText w:val=""/>
      <w:lvlJc w:val="left"/>
      <w:pPr>
        <w:tabs>
          <w:tab w:val="num" w:pos="4320"/>
        </w:tabs>
        <w:ind w:left="4320" w:hanging="360"/>
      </w:pPr>
      <w:rPr>
        <w:rFonts w:ascii="Wingdings" w:hAnsi="Wingdings"/>
      </w:rPr>
    </w:lvl>
    <w:lvl w:ilvl="6" w:tplc="80E0701C">
      <w:start w:val="1"/>
      <w:numFmt w:val="bullet"/>
      <w:lvlText w:val=""/>
      <w:lvlJc w:val="left"/>
      <w:pPr>
        <w:tabs>
          <w:tab w:val="num" w:pos="5040"/>
        </w:tabs>
        <w:ind w:left="5040" w:hanging="360"/>
      </w:pPr>
      <w:rPr>
        <w:rFonts w:ascii="Symbol" w:hAnsi="Symbol"/>
      </w:rPr>
    </w:lvl>
    <w:lvl w:ilvl="7" w:tplc="61988230">
      <w:start w:val="1"/>
      <w:numFmt w:val="bullet"/>
      <w:lvlText w:val="o"/>
      <w:lvlJc w:val="left"/>
      <w:pPr>
        <w:tabs>
          <w:tab w:val="num" w:pos="5760"/>
        </w:tabs>
        <w:ind w:left="5760" w:hanging="360"/>
      </w:pPr>
      <w:rPr>
        <w:rFonts w:ascii="Courier New" w:hAnsi="Courier New"/>
      </w:rPr>
    </w:lvl>
    <w:lvl w:ilvl="8" w:tplc="CA34A76E">
      <w:start w:val="1"/>
      <w:numFmt w:val="bullet"/>
      <w:lvlText w:val=""/>
      <w:lvlJc w:val="left"/>
      <w:pPr>
        <w:tabs>
          <w:tab w:val="num" w:pos="6480"/>
        </w:tabs>
        <w:ind w:left="6480" w:hanging="360"/>
      </w:pPr>
      <w:rPr>
        <w:rFonts w:ascii="Wingdings" w:hAnsi="Wingdings"/>
      </w:rPr>
    </w:lvl>
  </w:abstractNum>
  <w:abstractNum w:abstractNumId="218" w15:restartNumberingAfterBreak="0">
    <w:nsid w:val="7DF6288F"/>
    <w:multiLevelType w:val="multilevel"/>
    <w:tmpl w:val="7DF6288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7DF62890"/>
    <w:multiLevelType w:val="hybridMultilevel"/>
    <w:tmpl w:val="7DF62890"/>
    <w:lvl w:ilvl="0" w:tplc="8A9C167A">
      <w:start w:val="1"/>
      <w:numFmt w:val="bullet"/>
      <w:lvlText w:val=""/>
      <w:lvlJc w:val="left"/>
      <w:pPr>
        <w:tabs>
          <w:tab w:val="num" w:pos="720"/>
        </w:tabs>
        <w:ind w:left="720" w:hanging="360"/>
      </w:pPr>
      <w:rPr>
        <w:rFonts w:ascii="Symbol" w:hAnsi="Symbol"/>
      </w:rPr>
    </w:lvl>
    <w:lvl w:ilvl="1" w:tplc="C96CB0BE">
      <w:start w:val="1"/>
      <w:numFmt w:val="bullet"/>
      <w:lvlText w:val="o"/>
      <w:lvlJc w:val="left"/>
      <w:pPr>
        <w:tabs>
          <w:tab w:val="num" w:pos="1440"/>
        </w:tabs>
        <w:ind w:left="1440" w:hanging="360"/>
      </w:pPr>
      <w:rPr>
        <w:rFonts w:ascii="Courier New" w:hAnsi="Courier New"/>
      </w:rPr>
    </w:lvl>
    <w:lvl w:ilvl="2" w:tplc="082865EA">
      <w:start w:val="1"/>
      <w:numFmt w:val="bullet"/>
      <w:lvlText w:val=""/>
      <w:lvlJc w:val="left"/>
      <w:pPr>
        <w:tabs>
          <w:tab w:val="num" w:pos="2160"/>
        </w:tabs>
        <w:ind w:left="2160" w:hanging="360"/>
      </w:pPr>
      <w:rPr>
        <w:rFonts w:ascii="Wingdings" w:hAnsi="Wingdings"/>
      </w:rPr>
    </w:lvl>
    <w:lvl w:ilvl="3" w:tplc="52E22028">
      <w:start w:val="1"/>
      <w:numFmt w:val="bullet"/>
      <w:lvlText w:val=""/>
      <w:lvlJc w:val="left"/>
      <w:pPr>
        <w:tabs>
          <w:tab w:val="num" w:pos="2880"/>
        </w:tabs>
        <w:ind w:left="2880" w:hanging="360"/>
      </w:pPr>
      <w:rPr>
        <w:rFonts w:ascii="Symbol" w:hAnsi="Symbol"/>
      </w:rPr>
    </w:lvl>
    <w:lvl w:ilvl="4" w:tplc="24623A3E">
      <w:start w:val="1"/>
      <w:numFmt w:val="bullet"/>
      <w:lvlText w:val="o"/>
      <w:lvlJc w:val="left"/>
      <w:pPr>
        <w:tabs>
          <w:tab w:val="num" w:pos="3600"/>
        </w:tabs>
        <w:ind w:left="3600" w:hanging="360"/>
      </w:pPr>
      <w:rPr>
        <w:rFonts w:ascii="Courier New" w:hAnsi="Courier New"/>
      </w:rPr>
    </w:lvl>
    <w:lvl w:ilvl="5" w:tplc="EEBC5C3A">
      <w:start w:val="1"/>
      <w:numFmt w:val="bullet"/>
      <w:lvlText w:val=""/>
      <w:lvlJc w:val="left"/>
      <w:pPr>
        <w:tabs>
          <w:tab w:val="num" w:pos="4320"/>
        </w:tabs>
        <w:ind w:left="4320" w:hanging="360"/>
      </w:pPr>
      <w:rPr>
        <w:rFonts w:ascii="Wingdings" w:hAnsi="Wingdings"/>
      </w:rPr>
    </w:lvl>
    <w:lvl w:ilvl="6" w:tplc="992CAD5A">
      <w:start w:val="1"/>
      <w:numFmt w:val="bullet"/>
      <w:lvlText w:val=""/>
      <w:lvlJc w:val="left"/>
      <w:pPr>
        <w:tabs>
          <w:tab w:val="num" w:pos="5040"/>
        </w:tabs>
        <w:ind w:left="5040" w:hanging="360"/>
      </w:pPr>
      <w:rPr>
        <w:rFonts w:ascii="Symbol" w:hAnsi="Symbol"/>
      </w:rPr>
    </w:lvl>
    <w:lvl w:ilvl="7" w:tplc="00B80606">
      <w:start w:val="1"/>
      <w:numFmt w:val="bullet"/>
      <w:lvlText w:val="o"/>
      <w:lvlJc w:val="left"/>
      <w:pPr>
        <w:tabs>
          <w:tab w:val="num" w:pos="5760"/>
        </w:tabs>
        <w:ind w:left="5760" w:hanging="360"/>
      </w:pPr>
      <w:rPr>
        <w:rFonts w:ascii="Courier New" w:hAnsi="Courier New"/>
      </w:rPr>
    </w:lvl>
    <w:lvl w:ilvl="8" w:tplc="5CEA1206">
      <w:start w:val="1"/>
      <w:numFmt w:val="bullet"/>
      <w:lvlText w:val=""/>
      <w:lvlJc w:val="left"/>
      <w:pPr>
        <w:tabs>
          <w:tab w:val="num" w:pos="6480"/>
        </w:tabs>
        <w:ind w:left="6480" w:hanging="360"/>
      </w:pPr>
      <w:rPr>
        <w:rFonts w:ascii="Wingdings" w:hAnsi="Wingdings"/>
      </w:rPr>
    </w:lvl>
  </w:abstractNum>
  <w:abstractNum w:abstractNumId="220" w15:restartNumberingAfterBreak="0">
    <w:nsid w:val="7DF62891"/>
    <w:multiLevelType w:val="hybridMultilevel"/>
    <w:tmpl w:val="7DF62891"/>
    <w:lvl w:ilvl="0" w:tplc="0BA4039E">
      <w:start w:val="1"/>
      <w:numFmt w:val="bullet"/>
      <w:lvlText w:val=""/>
      <w:lvlJc w:val="left"/>
      <w:pPr>
        <w:tabs>
          <w:tab w:val="num" w:pos="720"/>
        </w:tabs>
        <w:ind w:left="720" w:hanging="360"/>
      </w:pPr>
      <w:rPr>
        <w:rFonts w:ascii="Symbol" w:hAnsi="Symbol"/>
      </w:rPr>
    </w:lvl>
    <w:lvl w:ilvl="1" w:tplc="36D4D080">
      <w:start w:val="1"/>
      <w:numFmt w:val="bullet"/>
      <w:lvlText w:val="o"/>
      <w:lvlJc w:val="left"/>
      <w:pPr>
        <w:tabs>
          <w:tab w:val="num" w:pos="1440"/>
        </w:tabs>
        <w:ind w:left="1440" w:hanging="360"/>
      </w:pPr>
      <w:rPr>
        <w:rFonts w:ascii="Courier New" w:hAnsi="Courier New"/>
      </w:rPr>
    </w:lvl>
    <w:lvl w:ilvl="2" w:tplc="7966D4C8">
      <w:start w:val="1"/>
      <w:numFmt w:val="bullet"/>
      <w:lvlText w:val=""/>
      <w:lvlJc w:val="left"/>
      <w:pPr>
        <w:tabs>
          <w:tab w:val="num" w:pos="2160"/>
        </w:tabs>
        <w:ind w:left="2160" w:hanging="360"/>
      </w:pPr>
      <w:rPr>
        <w:rFonts w:ascii="Wingdings" w:hAnsi="Wingdings"/>
      </w:rPr>
    </w:lvl>
    <w:lvl w:ilvl="3" w:tplc="73A4E0B4">
      <w:start w:val="1"/>
      <w:numFmt w:val="bullet"/>
      <w:lvlText w:val=""/>
      <w:lvlJc w:val="left"/>
      <w:pPr>
        <w:tabs>
          <w:tab w:val="num" w:pos="2880"/>
        </w:tabs>
        <w:ind w:left="2880" w:hanging="360"/>
      </w:pPr>
      <w:rPr>
        <w:rFonts w:ascii="Symbol" w:hAnsi="Symbol"/>
      </w:rPr>
    </w:lvl>
    <w:lvl w:ilvl="4" w:tplc="DFC64014">
      <w:start w:val="1"/>
      <w:numFmt w:val="bullet"/>
      <w:lvlText w:val="o"/>
      <w:lvlJc w:val="left"/>
      <w:pPr>
        <w:tabs>
          <w:tab w:val="num" w:pos="3600"/>
        </w:tabs>
        <w:ind w:left="3600" w:hanging="360"/>
      </w:pPr>
      <w:rPr>
        <w:rFonts w:ascii="Courier New" w:hAnsi="Courier New"/>
      </w:rPr>
    </w:lvl>
    <w:lvl w:ilvl="5" w:tplc="A44C920C">
      <w:start w:val="1"/>
      <w:numFmt w:val="bullet"/>
      <w:lvlText w:val=""/>
      <w:lvlJc w:val="left"/>
      <w:pPr>
        <w:tabs>
          <w:tab w:val="num" w:pos="4320"/>
        </w:tabs>
        <w:ind w:left="4320" w:hanging="360"/>
      </w:pPr>
      <w:rPr>
        <w:rFonts w:ascii="Wingdings" w:hAnsi="Wingdings"/>
      </w:rPr>
    </w:lvl>
    <w:lvl w:ilvl="6" w:tplc="7054CBE4">
      <w:start w:val="1"/>
      <w:numFmt w:val="bullet"/>
      <w:lvlText w:val=""/>
      <w:lvlJc w:val="left"/>
      <w:pPr>
        <w:tabs>
          <w:tab w:val="num" w:pos="5040"/>
        </w:tabs>
        <w:ind w:left="5040" w:hanging="360"/>
      </w:pPr>
      <w:rPr>
        <w:rFonts w:ascii="Symbol" w:hAnsi="Symbol"/>
      </w:rPr>
    </w:lvl>
    <w:lvl w:ilvl="7" w:tplc="7A8E317A">
      <w:start w:val="1"/>
      <w:numFmt w:val="bullet"/>
      <w:lvlText w:val="o"/>
      <w:lvlJc w:val="left"/>
      <w:pPr>
        <w:tabs>
          <w:tab w:val="num" w:pos="5760"/>
        </w:tabs>
        <w:ind w:left="5760" w:hanging="360"/>
      </w:pPr>
      <w:rPr>
        <w:rFonts w:ascii="Courier New" w:hAnsi="Courier New"/>
      </w:rPr>
    </w:lvl>
    <w:lvl w:ilvl="8" w:tplc="679AF3FC">
      <w:start w:val="1"/>
      <w:numFmt w:val="bullet"/>
      <w:lvlText w:val=""/>
      <w:lvlJc w:val="left"/>
      <w:pPr>
        <w:tabs>
          <w:tab w:val="num" w:pos="6480"/>
        </w:tabs>
        <w:ind w:left="6480" w:hanging="360"/>
      </w:pPr>
      <w:rPr>
        <w:rFonts w:ascii="Wingdings" w:hAnsi="Wingdings"/>
      </w:rPr>
    </w:lvl>
  </w:abstractNum>
  <w:abstractNum w:abstractNumId="221" w15:restartNumberingAfterBreak="0">
    <w:nsid w:val="7DF62892"/>
    <w:multiLevelType w:val="multilevel"/>
    <w:tmpl w:val="7DF628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15:restartNumberingAfterBreak="0">
    <w:nsid w:val="7DF62893"/>
    <w:multiLevelType w:val="multilevel"/>
    <w:tmpl w:val="7DF6289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15:restartNumberingAfterBreak="0">
    <w:nsid w:val="7DF62894"/>
    <w:multiLevelType w:val="hybridMultilevel"/>
    <w:tmpl w:val="7DF62894"/>
    <w:lvl w:ilvl="0" w:tplc="0C64B4AC">
      <w:start w:val="1"/>
      <w:numFmt w:val="bullet"/>
      <w:lvlText w:val=""/>
      <w:lvlJc w:val="left"/>
      <w:pPr>
        <w:tabs>
          <w:tab w:val="num" w:pos="720"/>
        </w:tabs>
        <w:ind w:left="720" w:hanging="360"/>
      </w:pPr>
      <w:rPr>
        <w:rFonts w:ascii="Symbol" w:hAnsi="Symbol"/>
      </w:rPr>
    </w:lvl>
    <w:lvl w:ilvl="1" w:tplc="C9B82DE4">
      <w:start w:val="1"/>
      <w:numFmt w:val="bullet"/>
      <w:lvlText w:val="o"/>
      <w:lvlJc w:val="left"/>
      <w:pPr>
        <w:tabs>
          <w:tab w:val="num" w:pos="1440"/>
        </w:tabs>
        <w:ind w:left="1440" w:hanging="360"/>
      </w:pPr>
      <w:rPr>
        <w:rFonts w:ascii="Courier New" w:hAnsi="Courier New"/>
      </w:rPr>
    </w:lvl>
    <w:lvl w:ilvl="2" w:tplc="0F2087BC">
      <w:start w:val="1"/>
      <w:numFmt w:val="bullet"/>
      <w:lvlText w:val=""/>
      <w:lvlJc w:val="left"/>
      <w:pPr>
        <w:tabs>
          <w:tab w:val="num" w:pos="2160"/>
        </w:tabs>
        <w:ind w:left="2160" w:hanging="360"/>
      </w:pPr>
      <w:rPr>
        <w:rFonts w:ascii="Wingdings" w:hAnsi="Wingdings"/>
      </w:rPr>
    </w:lvl>
    <w:lvl w:ilvl="3" w:tplc="D3864F48">
      <w:start w:val="1"/>
      <w:numFmt w:val="bullet"/>
      <w:lvlText w:val=""/>
      <w:lvlJc w:val="left"/>
      <w:pPr>
        <w:tabs>
          <w:tab w:val="num" w:pos="2880"/>
        </w:tabs>
        <w:ind w:left="2880" w:hanging="360"/>
      </w:pPr>
      <w:rPr>
        <w:rFonts w:ascii="Symbol" w:hAnsi="Symbol"/>
      </w:rPr>
    </w:lvl>
    <w:lvl w:ilvl="4" w:tplc="0D4C95DE">
      <w:start w:val="1"/>
      <w:numFmt w:val="bullet"/>
      <w:lvlText w:val="o"/>
      <w:lvlJc w:val="left"/>
      <w:pPr>
        <w:tabs>
          <w:tab w:val="num" w:pos="3600"/>
        </w:tabs>
        <w:ind w:left="3600" w:hanging="360"/>
      </w:pPr>
      <w:rPr>
        <w:rFonts w:ascii="Courier New" w:hAnsi="Courier New"/>
      </w:rPr>
    </w:lvl>
    <w:lvl w:ilvl="5" w:tplc="CC28CCC4">
      <w:start w:val="1"/>
      <w:numFmt w:val="bullet"/>
      <w:lvlText w:val=""/>
      <w:lvlJc w:val="left"/>
      <w:pPr>
        <w:tabs>
          <w:tab w:val="num" w:pos="4320"/>
        </w:tabs>
        <w:ind w:left="4320" w:hanging="360"/>
      </w:pPr>
      <w:rPr>
        <w:rFonts w:ascii="Wingdings" w:hAnsi="Wingdings"/>
      </w:rPr>
    </w:lvl>
    <w:lvl w:ilvl="6" w:tplc="F886BC9E">
      <w:start w:val="1"/>
      <w:numFmt w:val="bullet"/>
      <w:lvlText w:val=""/>
      <w:lvlJc w:val="left"/>
      <w:pPr>
        <w:tabs>
          <w:tab w:val="num" w:pos="5040"/>
        </w:tabs>
        <w:ind w:left="5040" w:hanging="360"/>
      </w:pPr>
      <w:rPr>
        <w:rFonts w:ascii="Symbol" w:hAnsi="Symbol"/>
      </w:rPr>
    </w:lvl>
    <w:lvl w:ilvl="7" w:tplc="A5EA833A">
      <w:start w:val="1"/>
      <w:numFmt w:val="bullet"/>
      <w:lvlText w:val="o"/>
      <w:lvlJc w:val="left"/>
      <w:pPr>
        <w:tabs>
          <w:tab w:val="num" w:pos="5760"/>
        </w:tabs>
        <w:ind w:left="5760" w:hanging="360"/>
      </w:pPr>
      <w:rPr>
        <w:rFonts w:ascii="Courier New" w:hAnsi="Courier New"/>
      </w:rPr>
    </w:lvl>
    <w:lvl w:ilvl="8" w:tplc="B8A0666C">
      <w:start w:val="1"/>
      <w:numFmt w:val="bullet"/>
      <w:lvlText w:val=""/>
      <w:lvlJc w:val="left"/>
      <w:pPr>
        <w:tabs>
          <w:tab w:val="num" w:pos="6480"/>
        </w:tabs>
        <w:ind w:left="6480" w:hanging="360"/>
      </w:pPr>
      <w:rPr>
        <w:rFonts w:ascii="Wingdings" w:hAnsi="Wingdings"/>
      </w:rPr>
    </w:lvl>
  </w:abstractNum>
  <w:abstractNum w:abstractNumId="224" w15:restartNumberingAfterBreak="0">
    <w:nsid w:val="7DF62895"/>
    <w:multiLevelType w:val="hybridMultilevel"/>
    <w:tmpl w:val="7DF62895"/>
    <w:lvl w:ilvl="0" w:tplc="8428976C">
      <w:start w:val="1"/>
      <w:numFmt w:val="bullet"/>
      <w:lvlText w:val=""/>
      <w:lvlJc w:val="left"/>
      <w:pPr>
        <w:tabs>
          <w:tab w:val="num" w:pos="720"/>
        </w:tabs>
        <w:ind w:left="720" w:hanging="360"/>
      </w:pPr>
      <w:rPr>
        <w:rFonts w:ascii="Symbol" w:hAnsi="Symbol"/>
      </w:rPr>
    </w:lvl>
    <w:lvl w:ilvl="1" w:tplc="8AFA2C72">
      <w:start w:val="1"/>
      <w:numFmt w:val="bullet"/>
      <w:lvlText w:val="o"/>
      <w:lvlJc w:val="left"/>
      <w:pPr>
        <w:tabs>
          <w:tab w:val="num" w:pos="1440"/>
        </w:tabs>
        <w:ind w:left="1440" w:hanging="360"/>
      </w:pPr>
      <w:rPr>
        <w:rFonts w:ascii="Courier New" w:hAnsi="Courier New"/>
      </w:rPr>
    </w:lvl>
    <w:lvl w:ilvl="2" w:tplc="9BE0728C">
      <w:start w:val="1"/>
      <w:numFmt w:val="bullet"/>
      <w:lvlText w:val=""/>
      <w:lvlJc w:val="left"/>
      <w:pPr>
        <w:tabs>
          <w:tab w:val="num" w:pos="2160"/>
        </w:tabs>
        <w:ind w:left="2160" w:hanging="360"/>
      </w:pPr>
      <w:rPr>
        <w:rFonts w:ascii="Wingdings" w:hAnsi="Wingdings"/>
      </w:rPr>
    </w:lvl>
    <w:lvl w:ilvl="3" w:tplc="D40C811C">
      <w:start w:val="1"/>
      <w:numFmt w:val="bullet"/>
      <w:lvlText w:val=""/>
      <w:lvlJc w:val="left"/>
      <w:pPr>
        <w:tabs>
          <w:tab w:val="num" w:pos="2880"/>
        </w:tabs>
        <w:ind w:left="2880" w:hanging="360"/>
      </w:pPr>
      <w:rPr>
        <w:rFonts w:ascii="Symbol" w:hAnsi="Symbol"/>
      </w:rPr>
    </w:lvl>
    <w:lvl w:ilvl="4" w:tplc="A5A067CA">
      <w:start w:val="1"/>
      <w:numFmt w:val="bullet"/>
      <w:lvlText w:val="o"/>
      <w:lvlJc w:val="left"/>
      <w:pPr>
        <w:tabs>
          <w:tab w:val="num" w:pos="3600"/>
        </w:tabs>
        <w:ind w:left="3600" w:hanging="360"/>
      </w:pPr>
      <w:rPr>
        <w:rFonts w:ascii="Courier New" w:hAnsi="Courier New"/>
      </w:rPr>
    </w:lvl>
    <w:lvl w:ilvl="5" w:tplc="4C26BE4A">
      <w:start w:val="1"/>
      <w:numFmt w:val="bullet"/>
      <w:lvlText w:val=""/>
      <w:lvlJc w:val="left"/>
      <w:pPr>
        <w:tabs>
          <w:tab w:val="num" w:pos="4320"/>
        </w:tabs>
        <w:ind w:left="4320" w:hanging="360"/>
      </w:pPr>
      <w:rPr>
        <w:rFonts w:ascii="Wingdings" w:hAnsi="Wingdings"/>
      </w:rPr>
    </w:lvl>
    <w:lvl w:ilvl="6" w:tplc="D346DFEC">
      <w:start w:val="1"/>
      <w:numFmt w:val="bullet"/>
      <w:lvlText w:val=""/>
      <w:lvlJc w:val="left"/>
      <w:pPr>
        <w:tabs>
          <w:tab w:val="num" w:pos="5040"/>
        </w:tabs>
        <w:ind w:left="5040" w:hanging="360"/>
      </w:pPr>
      <w:rPr>
        <w:rFonts w:ascii="Symbol" w:hAnsi="Symbol"/>
      </w:rPr>
    </w:lvl>
    <w:lvl w:ilvl="7" w:tplc="0D3627C6">
      <w:start w:val="1"/>
      <w:numFmt w:val="bullet"/>
      <w:lvlText w:val="o"/>
      <w:lvlJc w:val="left"/>
      <w:pPr>
        <w:tabs>
          <w:tab w:val="num" w:pos="5760"/>
        </w:tabs>
        <w:ind w:left="5760" w:hanging="360"/>
      </w:pPr>
      <w:rPr>
        <w:rFonts w:ascii="Courier New" w:hAnsi="Courier New"/>
      </w:rPr>
    </w:lvl>
    <w:lvl w:ilvl="8" w:tplc="4D5A0A22">
      <w:start w:val="1"/>
      <w:numFmt w:val="bullet"/>
      <w:lvlText w:val=""/>
      <w:lvlJc w:val="left"/>
      <w:pPr>
        <w:tabs>
          <w:tab w:val="num" w:pos="6480"/>
        </w:tabs>
        <w:ind w:left="6480" w:hanging="360"/>
      </w:pPr>
      <w:rPr>
        <w:rFonts w:ascii="Wingdings" w:hAnsi="Wingdings"/>
      </w:rPr>
    </w:lvl>
  </w:abstractNum>
  <w:abstractNum w:abstractNumId="225" w15:restartNumberingAfterBreak="0">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15:restartNumberingAfterBreak="0">
    <w:nsid w:val="7DF62897"/>
    <w:multiLevelType w:val="multilevel"/>
    <w:tmpl w:val="7DF6289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15:restartNumberingAfterBreak="0">
    <w:nsid w:val="7DF62898"/>
    <w:multiLevelType w:val="multilevel"/>
    <w:tmpl w:val="7DF628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8" w15:restartNumberingAfterBreak="0">
    <w:nsid w:val="7DF62899"/>
    <w:multiLevelType w:val="hybridMultilevel"/>
    <w:tmpl w:val="7DF62899"/>
    <w:lvl w:ilvl="0" w:tplc="6BDEA1F8">
      <w:start w:val="1"/>
      <w:numFmt w:val="bullet"/>
      <w:lvlText w:val=""/>
      <w:lvlJc w:val="left"/>
      <w:pPr>
        <w:tabs>
          <w:tab w:val="num" w:pos="720"/>
        </w:tabs>
        <w:ind w:left="720" w:hanging="360"/>
      </w:pPr>
      <w:rPr>
        <w:rFonts w:ascii="Symbol" w:hAnsi="Symbol"/>
      </w:rPr>
    </w:lvl>
    <w:lvl w:ilvl="1" w:tplc="14A42200">
      <w:start w:val="1"/>
      <w:numFmt w:val="bullet"/>
      <w:lvlText w:val="o"/>
      <w:lvlJc w:val="left"/>
      <w:pPr>
        <w:tabs>
          <w:tab w:val="num" w:pos="1440"/>
        </w:tabs>
        <w:ind w:left="1440" w:hanging="360"/>
      </w:pPr>
      <w:rPr>
        <w:rFonts w:ascii="Courier New" w:hAnsi="Courier New"/>
      </w:rPr>
    </w:lvl>
    <w:lvl w:ilvl="2" w:tplc="AE2A20AA">
      <w:start w:val="1"/>
      <w:numFmt w:val="bullet"/>
      <w:lvlText w:val=""/>
      <w:lvlJc w:val="left"/>
      <w:pPr>
        <w:tabs>
          <w:tab w:val="num" w:pos="2160"/>
        </w:tabs>
        <w:ind w:left="2160" w:hanging="360"/>
      </w:pPr>
      <w:rPr>
        <w:rFonts w:ascii="Wingdings" w:hAnsi="Wingdings"/>
      </w:rPr>
    </w:lvl>
    <w:lvl w:ilvl="3" w:tplc="9BBA9B8A">
      <w:start w:val="1"/>
      <w:numFmt w:val="bullet"/>
      <w:lvlText w:val=""/>
      <w:lvlJc w:val="left"/>
      <w:pPr>
        <w:tabs>
          <w:tab w:val="num" w:pos="2880"/>
        </w:tabs>
        <w:ind w:left="2880" w:hanging="360"/>
      </w:pPr>
      <w:rPr>
        <w:rFonts w:ascii="Symbol" w:hAnsi="Symbol"/>
      </w:rPr>
    </w:lvl>
    <w:lvl w:ilvl="4" w:tplc="9BCC5812">
      <w:start w:val="1"/>
      <w:numFmt w:val="bullet"/>
      <w:lvlText w:val="o"/>
      <w:lvlJc w:val="left"/>
      <w:pPr>
        <w:tabs>
          <w:tab w:val="num" w:pos="3600"/>
        </w:tabs>
        <w:ind w:left="3600" w:hanging="360"/>
      </w:pPr>
      <w:rPr>
        <w:rFonts w:ascii="Courier New" w:hAnsi="Courier New"/>
      </w:rPr>
    </w:lvl>
    <w:lvl w:ilvl="5" w:tplc="44F03902">
      <w:start w:val="1"/>
      <w:numFmt w:val="bullet"/>
      <w:lvlText w:val=""/>
      <w:lvlJc w:val="left"/>
      <w:pPr>
        <w:tabs>
          <w:tab w:val="num" w:pos="4320"/>
        </w:tabs>
        <w:ind w:left="4320" w:hanging="360"/>
      </w:pPr>
      <w:rPr>
        <w:rFonts w:ascii="Wingdings" w:hAnsi="Wingdings"/>
      </w:rPr>
    </w:lvl>
    <w:lvl w:ilvl="6" w:tplc="7FAECDD2">
      <w:start w:val="1"/>
      <w:numFmt w:val="bullet"/>
      <w:lvlText w:val=""/>
      <w:lvlJc w:val="left"/>
      <w:pPr>
        <w:tabs>
          <w:tab w:val="num" w:pos="5040"/>
        </w:tabs>
        <w:ind w:left="5040" w:hanging="360"/>
      </w:pPr>
      <w:rPr>
        <w:rFonts w:ascii="Symbol" w:hAnsi="Symbol"/>
      </w:rPr>
    </w:lvl>
    <w:lvl w:ilvl="7" w:tplc="65F255D4">
      <w:start w:val="1"/>
      <w:numFmt w:val="bullet"/>
      <w:lvlText w:val="o"/>
      <w:lvlJc w:val="left"/>
      <w:pPr>
        <w:tabs>
          <w:tab w:val="num" w:pos="5760"/>
        </w:tabs>
        <w:ind w:left="5760" w:hanging="360"/>
      </w:pPr>
      <w:rPr>
        <w:rFonts w:ascii="Courier New" w:hAnsi="Courier New"/>
      </w:rPr>
    </w:lvl>
    <w:lvl w:ilvl="8" w:tplc="1424EA8C">
      <w:start w:val="1"/>
      <w:numFmt w:val="bullet"/>
      <w:lvlText w:val=""/>
      <w:lvlJc w:val="left"/>
      <w:pPr>
        <w:tabs>
          <w:tab w:val="num" w:pos="6480"/>
        </w:tabs>
        <w:ind w:left="6480" w:hanging="360"/>
      </w:pPr>
      <w:rPr>
        <w:rFonts w:ascii="Wingdings" w:hAnsi="Wingdings"/>
      </w:rPr>
    </w:lvl>
  </w:abstractNum>
  <w:abstractNum w:abstractNumId="229" w15:restartNumberingAfterBreak="0">
    <w:nsid w:val="7DF6289A"/>
    <w:multiLevelType w:val="hybridMultilevel"/>
    <w:tmpl w:val="7DF6289A"/>
    <w:lvl w:ilvl="0" w:tplc="630C4BB4">
      <w:start w:val="1"/>
      <w:numFmt w:val="bullet"/>
      <w:lvlText w:val=""/>
      <w:lvlJc w:val="left"/>
      <w:pPr>
        <w:tabs>
          <w:tab w:val="num" w:pos="720"/>
        </w:tabs>
        <w:ind w:left="720" w:hanging="360"/>
      </w:pPr>
      <w:rPr>
        <w:rFonts w:ascii="Symbol" w:hAnsi="Symbol"/>
      </w:rPr>
    </w:lvl>
    <w:lvl w:ilvl="1" w:tplc="9C7E25B6">
      <w:start w:val="1"/>
      <w:numFmt w:val="bullet"/>
      <w:lvlText w:val="o"/>
      <w:lvlJc w:val="left"/>
      <w:pPr>
        <w:tabs>
          <w:tab w:val="num" w:pos="1440"/>
        </w:tabs>
        <w:ind w:left="1440" w:hanging="360"/>
      </w:pPr>
      <w:rPr>
        <w:rFonts w:ascii="Courier New" w:hAnsi="Courier New"/>
      </w:rPr>
    </w:lvl>
    <w:lvl w:ilvl="2" w:tplc="1D48CDB4">
      <w:start w:val="1"/>
      <w:numFmt w:val="bullet"/>
      <w:lvlText w:val=""/>
      <w:lvlJc w:val="left"/>
      <w:pPr>
        <w:tabs>
          <w:tab w:val="num" w:pos="2160"/>
        </w:tabs>
        <w:ind w:left="2160" w:hanging="360"/>
      </w:pPr>
      <w:rPr>
        <w:rFonts w:ascii="Wingdings" w:hAnsi="Wingdings"/>
      </w:rPr>
    </w:lvl>
    <w:lvl w:ilvl="3" w:tplc="11F8B702">
      <w:start w:val="1"/>
      <w:numFmt w:val="bullet"/>
      <w:lvlText w:val=""/>
      <w:lvlJc w:val="left"/>
      <w:pPr>
        <w:tabs>
          <w:tab w:val="num" w:pos="2880"/>
        </w:tabs>
        <w:ind w:left="2880" w:hanging="360"/>
      </w:pPr>
      <w:rPr>
        <w:rFonts w:ascii="Symbol" w:hAnsi="Symbol"/>
      </w:rPr>
    </w:lvl>
    <w:lvl w:ilvl="4" w:tplc="68088CD0">
      <w:start w:val="1"/>
      <w:numFmt w:val="bullet"/>
      <w:lvlText w:val="o"/>
      <w:lvlJc w:val="left"/>
      <w:pPr>
        <w:tabs>
          <w:tab w:val="num" w:pos="3600"/>
        </w:tabs>
        <w:ind w:left="3600" w:hanging="360"/>
      </w:pPr>
      <w:rPr>
        <w:rFonts w:ascii="Courier New" w:hAnsi="Courier New"/>
      </w:rPr>
    </w:lvl>
    <w:lvl w:ilvl="5" w:tplc="B024E0D6">
      <w:start w:val="1"/>
      <w:numFmt w:val="bullet"/>
      <w:lvlText w:val=""/>
      <w:lvlJc w:val="left"/>
      <w:pPr>
        <w:tabs>
          <w:tab w:val="num" w:pos="4320"/>
        </w:tabs>
        <w:ind w:left="4320" w:hanging="360"/>
      </w:pPr>
      <w:rPr>
        <w:rFonts w:ascii="Wingdings" w:hAnsi="Wingdings"/>
      </w:rPr>
    </w:lvl>
    <w:lvl w:ilvl="6" w:tplc="1EE0B6E0">
      <w:start w:val="1"/>
      <w:numFmt w:val="bullet"/>
      <w:lvlText w:val=""/>
      <w:lvlJc w:val="left"/>
      <w:pPr>
        <w:tabs>
          <w:tab w:val="num" w:pos="5040"/>
        </w:tabs>
        <w:ind w:left="5040" w:hanging="360"/>
      </w:pPr>
      <w:rPr>
        <w:rFonts w:ascii="Symbol" w:hAnsi="Symbol"/>
      </w:rPr>
    </w:lvl>
    <w:lvl w:ilvl="7" w:tplc="1FF6770E">
      <w:start w:val="1"/>
      <w:numFmt w:val="bullet"/>
      <w:lvlText w:val="o"/>
      <w:lvlJc w:val="left"/>
      <w:pPr>
        <w:tabs>
          <w:tab w:val="num" w:pos="5760"/>
        </w:tabs>
        <w:ind w:left="5760" w:hanging="360"/>
      </w:pPr>
      <w:rPr>
        <w:rFonts w:ascii="Courier New" w:hAnsi="Courier New"/>
      </w:rPr>
    </w:lvl>
    <w:lvl w:ilvl="8" w:tplc="E688A4C6">
      <w:start w:val="1"/>
      <w:numFmt w:val="bullet"/>
      <w:lvlText w:val=""/>
      <w:lvlJc w:val="left"/>
      <w:pPr>
        <w:tabs>
          <w:tab w:val="num" w:pos="6480"/>
        </w:tabs>
        <w:ind w:left="6480" w:hanging="360"/>
      </w:pPr>
      <w:rPr>
        <w:rFonts w:ascii="Wingdings" w:hAnsi="Wingdings"/>
      </w:rPr>
    </w:lvl>
  </w:abstractNum>
  <w:abstractNum w:abstractNumId="230" w15:restartNumberingAfterBreak="0">
    <w:nsid w:val="7DF6289B"/>
    <w:multiLevelType w:val="hybridMultilevel"/>
    <w:tmpl w:val="7DF6289B"/>
    <w:lvl w:ilvl="0" w:tplc="1AEC2A2C">
      <w:start w:val="1"/>
      <w:numFmt w:val="bullet"/>
      <w:lvlText w:val=""/>
      <w:lvlJc w:val="left"/>
      <w:pPr>
        <w:tabs>
          <w:tab w:val="num" w:pos="720"/>
        </w:tabs>
        <w:ind w:left="720" w:hanging="360"/>
      </w:pPr>
      <w:rPr>
        <w:rFonts w:ascii="Symbol" w:hAnsi="Symbol"/>
      </w:rPr>
    </w:lvl>
    <w:lvl w:ilvl="1" w:tplc="31CCD85A">
      <w:start w:val="1"/>
      <w:numFmt w:val="bullet"/>
      <w:lvlText w:val="o"/>
      <w:lvlJc w:val="left"/>
      <w:pPr>
        <w:tabs>
          <w:tab w:val="num" w:pos="1440"/>
        </w:tabs>
        <w:ind w:left="1440" w:hanging="360"/>
      </w:pPr>
      <w:rPr>
        <w:rFonts w:ascii="Courier New" w:hAnsi="Courier New"/>
      </w:rPr>
    </w:lvl>
    <w:lvl w:ilvl="2" w:tplc="8586D4CA">
      <w:start w:val="1"/>
      <w:numFmt w:val="bullet"/>
      <w:lvlText w:val=""/>
      <w:lvlJc w:val="left"/>
      <w:pPr>
        <w:tabs>
          <w:tab w:val="num" w:pos="2160"/>
        </w:tabs>
        <w:ind w:left="2160" w:hanging="360"/>
      </w:pPr>
      <w:rPr>
        <w:rFonts w:ascii="Wingdings" w:hAnsi="Wingdings"/>
      </w:rPr>
    </w:lvl>
    <w:lvl w:ilvl="3" w:tplc="C0761CE6">
      <w:start w:val="1"/>
      <w:numFmt w:val="bullet"/>
      <w:lvlText w:val=""/>
      <w:lvlJc w:val="left"/>
      <w:pPr>
        <w:tabs>
          <w:tab w:val="num" w:pos="2880"/>
        </w:tabs>
        <w:ind w:left="2880" w:hanging="360"/>
      </w:pPr>
      <w:rPr>
        <w:rFonts w:ascii="Symbol" w:hAnsi="Symbol"/>
      </w:rPr>
    </w:lvl>
    <w:lvl w:ilvl="4" w:tplc="FB2A3EA8">
      <w:start w:val="1"/>
      <w:numFmt w:val="bullet"/>
      <w:lvlText w:val="o"/>
      <w:lvlJc w:val="left"/>
      <w:pPr>
        <w:tabs>
          <w:tab w:val="num" w:pos="3600"/>
        </w:tabs>
        <w:ind w:left="3600" w:hanging="360"/>
      </w:pPr>
      <w:rPr>
        <w:rFonts w:ascii="Courier New" w:hAnsi="Courier New"/>
      </w:rPr>
    </w:lvl>
    <w:lvl w:ilvl="5" w:tplc="354C30B6">
      <w:start w:val="1"/>
      <w:numFmt w:val="bullet"/>
      <w:lvlText w:val=""/>
      <w:lvlJc w:val="left"/>
      <w:pPr>
        <w:tabs>
          <w:tab w:val="num" w:pos="4320"/>
        </w:tabs>
        <w:ind w:left="4320" w:hanging="360"/>
      </w:pPr>
      <w:rPr>
        <w:rFonts w:ascii="Wingdings" w:hAnsi="Wingdings"/>
      </w:rPr>
    </w:lvl>
    <w:lvl w:ilvl="6" w:tplc="351603B4">
      <w:start w:val="1"/>
      <w:numFmt w:val="bullet"/>
      <w:lvlText w:val=""/>
      <w:lvlJc w:val="left"/>
      <w:pPr>
        <w:tabs>
          <w:tab w:val="num" w:pos="5040"/>
        </w:tabs>
        <w:ind w:left="5040" w:hanging="360"/>
      </w:pPr>
      <w:rPr>
        <w:rFonts w:ascii="Symbol" w:hAnsi="Symbol"/>
      </w:rPr>
    </w:lvl>
    <w:lvl w:ilvl="7" w:tplc="70C49648">
      <w:start w:val="1"/>
      <w:numFmt w:val="bullet"/>
      <w:lvlText w:val="o"/>
      <w:lvlJc w:val="left"/>
      <w:pPr>
        <w:tabs>
          <w:tab w:val="num" w:pos="5760"/>
        </w:tabs>
        <w:ind w:left="5760" w:hanging="360"/>
      </w:pPr>
      <w:rPr>
        <w:rFonts w:ascii="Courier New" w:hAnsi="Courier New"/>
      </w:rPr>
    </w:lvl>
    <w:lvl w:ilvl="8" w:tplc="C5A4BCE8">
      <w:start w:val="1"/>
      <w:numFmt w:val="bullet"/>
      <w:lvlText w:val=""/>
      <w:lvlJc w:val="left"/>
      <w:pPr>
        <w:tabs>
          <w:tab w:val="num" w:pos="6480"/>
        </w:tabs>
        <w:ind w:left="6480" w:hanging="360"/>
      </w:pPr>
      <w:rPr>
        <w:rFonts w:ascii="Wingdings" w:hAnsi="Wingdings"/>
      </w:rPr>
    </w:lvl>
  </w:abstractNum>
  <w:abstractNum w:abstractNumId="231" w15:restartNumberingAfterBreak="0">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7DF6289D"/>
    <w:multiLevelType w:val="hybridMultilevel"/>
    <w:tmpl w:val="7DF6289D"/>
    <w:lvl w:ilvl="0" w:tplc="660C459A">
      <w:start w:val="1"/>
      <w:numFmt w:val="bullet"/>
      <w:lvlText w:val=""/>
      <w:lvlJc w:val="left"/>
      <w:pPr>
        <w:tabs>
          <w:tab w:val="num" w:pos="720"/>
        </w:tabs>
        <w:ind w:left="720" w:hanging="360"/>
      </w:pPr>
      <w:rPr>
        <w:rFonts w:ascii="Symbol" w:hAnsi="Symbol"/>
      </w:rPr>
    </w:lvl>
    <w:lvl w:ilvl="1" w:tplc="AAEC9A2C">
      <w:start w:val="1"/>
      <w:numFmt w:val="bullet"/>
      <w:lvlText w:val="o"/>
      <w:lvlJc w:val="left"/>
      <w:pPr>
        <w:tabs>
          <w:tab w:val="num" w:pos="1440"/>
        </w:tabs>
        <w:ind w:left="1440" w:hanging="360"/>
      </w:pPr>
      <w:rPr>
        <w:rFonts w:ascii="Courier New" w:hAnsi="Courier New"/>
      </w:rPr>
    </w:lvl>
    <w:lvl w:ilvl="2" w:tplc="F4C82F82">
      <w:start w:val="1"/>
      <w:numFmt w:val="bullet"/>
      <w:lvlText w:val=""/>
      <w:lvlJc w:val="left"/>
      <w:pPr>
        <w:tabs>
          <w:tab w:val="num" w:pos="2160"/>
        </w:tabs>
        <w:ind w:left="2160" w:hanging="360"/>
      </w:pPr>
      <w:rPr>
        <w:rFonts w:ascii="Wingdings" w:hAnsi="Wingdings"/>
      </w:rPr>
    </w:lvl>
    <w:lvl w:ilvl="3" w:tplc="EF820104">
      <w:start w:val="1"/>
      <w:numFmt w:val="bullet"/>
      <w:lvlText w:val=""/>
      <w:lvlJc w:val="left"/>
      <w:pPr>
        <w:tabs>
          <w:tab w:val="num" w:pos="2880"/>
        </w:tabs>
        <w:ind w:left="2880" w:hanging="360"/>
      </w:pPr>
      <w:rPr>
        <w:rFonts w:ascii="Symbol" w:hAnsi="Symbol"/>
      </w:rPr>
    </w:lvl>
    <w:lvl w:ilvl="4" w:tplc="64B2640C">
      <w:start w:val="1"/>
      <w:numFmt w:val="bullet"/>
      <w:lvlText w:val="o"/>
      <w:lvlJc w:val="left"/>
      <w:pPr>
        <w:tabs>
          <w:tab w:val="num" w:pos="3600"/>
        </w:tabs>
        <w:ind w:left="3600" w:hanging="360"/>
      </w:pPr>
      <w:rPr>
        <w:rFonts w:ascii="Courier New" w:hAnsi="Courier New"/>
      </w:rPr>
    </w:lvl>
    <w:lvl w:ilvl="5" w:tplc="83DC2FDC">
      <w:start w:val="1"/>
      <w:numFmt w:val="bullet"/>
      <w:lvlText w:val=""/>
      <w:lvlJc w:val="left"/>
      <w:pPr>
        <w:tabs>
          <w:tab w:val="num" w:pos="4320"/>
        </w:tabs>
        <w:ind w:left="4320" w:hanging="360"/>
      </w:pPr>
      <w:rPr>
        <w:rFonts w:ascii="Wingdings" w:hAnsi="Wingdings"/>
      </w:rPr>
    </w:lvl>
    <w:lvl w:ilvl="6" w:tplc="686454D8">
      <w:start w:val="1"/>
      <w:numFmt w:val="bullet"/>
      <w:lvlText w:val=""/>
      <w:lvlJc w:val="left"/>
      <w:pPr>
        <w:tabs>
          <w:tab w:val="num" w:pos="5040"/>
        </w:tabs>
        <w:ind w:left="5040" w:hanging="360"/>
      </w:pPr>
      <w:rPr>
        <w:rFonts w:ascii="Symbol" w:hAnsi="Symbol"/>
      </w:rPr>
    </w:lvl>
    <w:lvl w:ilvl="7" w:tplc="71D43AD6">
      <w:start w:val="1"/>
      <w:numFmt w:val="bullet"/>
      <w:lvlText w:val="o"/>
      <w:lvlJc w:val="left"/>
      <w:pPr>
        <w:tabs>
          <w:tab w:val="num" w:pos="5760"/>
        </w:tabs>
        <w:ind w:left="5760" w:hanging="360"/>
      </w:pPr>
      <w:rPr>
        <w:rFonts w:ascii="Courier New" w:hAnsi="Courier New"/>
      </w:rPr>
    </w:lvl>
    <w:lvl w:ilvl="8" w:tplc="87E6120C">
      <w:start w:val="1"/>
      <w:numFmt w:val="bullet"/>
      <w:lvlText w:val=""/>
      <w:lvlJc w:val="left"/>
      <w:pPr>
        <w:tabs>
          <w:tab w:val="num" w:pos="6480"/>
        </w:tabs>
        <w:ind w:left="6480" w:hanging="360"/>
      </w:pPr>
      <w:rPr>
        <w:rFonts w:ascii="Wingdings" w:hAnsi="Wingdings"/>
      </w:rPr>
    </w:lvl>
  </w:abstractNum>
  <w:abstractNum w:abstractNumId="233" w15:restartNumberingAfterBreak="0">
    <w:nsid w:val="7DF6289E"/>
    <w:multiLevelType w:val="hybridMultilevel"/>
    <w:tmpl w:val="7DF6289E"/>
    <w:lvl w:ilvl="0" w:tplc="682867D6">
      <w:start w:val="1"/>
      <w:numFmt w:val="bullet"/>
      <w:lvlText w:val=""/>
      <w:lvlJc w:val="left"/>
      <w:pPr>
        <w:tabs>
          <w:tab w:val="num" w:pos="720"/>
        </w:tabs>
        <w:ind w:left="720" w:hanging="360"/>
      </w:pPr>
      <w:rPr>
        <w:rFonts w:ascii="Symbol" w:hAnsi="Symbol"/>
      </w:rPr>
    </w:lvl>
    <w:lvl w:ilvl="1" w:tplc="E3FCDC04">
      <w:start w:val="1"/>
      <w:numFmt w:val="bullet"/>
      <w:lvlText w:val="o"/>
      <w:lvlJc w:val="left"/>
      <w:pPr>
        <w:tabs>
          <w:tab w:val="num" w:pos="1440"/>
        </w:tabs>
        <w:ind w:left="1440" w:hanging="360"/>
      </w:pPr>
      <w:rPr>
        <w:rFonts w:ascii="Courier New" w:hAnsi="Courier New"/>
      </w:rPr>
    </w:lvl>
    <w:lvl w:ilvl="2" w:tplc="2034DA2A">
      <w:start w:val="1"/>
      <w:numFmt w:val="bullet"/>
      <w:lvlText w:val=""/>
      <w:lvlJc w:val="left"/>
      <w:pPr>
        <w:tabs>
          <w:tab w:val="num" w:pos="2160"/>
        </w:tabs>
        <w:ind w:left="2160" w:hanging="360"/>
      </w:pPr>
      <w:rPr>
        <w:rFonts w:ascii="Wingdings" w:hAnsi="Wingdings"/>
      </w:rPr>
    </w:lvl>
    <w:lvl w:ilvl="3" w:tplc="2C8437B4">
      <w:start w:val="1"/>
      <w:numFmt w:val="bullet"/>
      <w:lvlText w:val=""/>
      <w:lvlJc w:val="left"/>
      <w:pPr>
        <w:tabs>
          <w:tab w:val="num" w:pos="2880"/>
        </w:tabs>
        <w:ind w:left="2880" w:hanging="360"/>
      </w:pPr>
      <w:rPr>
        <w:rFonts w:ascii="Symbol" w:hAnsi="Symbol"/>
      </w:rPr>
    </w:lvl>
    <w:lvl w:ilvl="4" w:tplc="6CE62642">
      <w:start w:val="1"/>
      <w:numFmt w:val="bullet"/>
      <w:lvlText w:val="o"/>
      <w:lvlJc w:val="left"/>
      <w:pPr>
        <w:tabs>
          <w:tab w:val="num" w:pos="3600"/>
        </w:tabs>
        <w:ind w:left="3600" w:hanging="360"/>
      </w:pPr>
      <w:rPr>
        <w:rFonts w:ascii="Courier New" w:hAnsi="Courier New"/>
      </w:rPr>
    </w:lvl>
    <w:lvl w:ilvl="5" w:tplc="07DE33F0">
      <w:start w:val="1"/>
      <w:numFmt w:val="bullet"/>
      <w:lvlText w:val=""/>
      <w:lvlJc w:val="left"/>
      <w:pPr>
        <w:tabs>
          <w:tab w:val="num" w:pos="4320"/>
        </w:tabs>
        <w:ind w:left="4320" w:hanging="360"/>
      </w:pPr>
      <w:rPr>
        <w:rFonts w:ascii="Wingdings" w:hAnsi="Wingdings"/>
      </w:rPr>
    </w:lvl>
    <w:lvl w:ilvl="6" w:tplc="D0F833F6">
      <w:start w:val="1"/>
      <w:numFmt w:val="bullet"/>
      <w:lvlText w:val=""/>
      <w:lvlJc w:val="left"/>
      <w:pPr>
        <w:tabs>
          <w:tab w:val="num" w:pos="5040"/>
        </w:tabs>
        <w:ind w:left="5040" w:hanging="360"/>
      </w:pPr>
      <w:rPr>
        <w:rFonts w:ascii="Symbol" w:hAnsi="Symbol"/>
      </w:rPr>
    </w:lvl>
    <w:lvl w:ilvl="7" w:tplc="C750D04C">
      <w:start w:val="1"/>
      <w:numFmt w:val="bullet"/>
      <w:lvlText w:val="o"/>
      <w:lvlJc w:val="left"/>
      <w:pPr>
        <w:tabs>
          <w:tab w:val="num" w:pos="5760"/>
        </w:tabs>
        <w:ind w:left="5760" w:hanging="360"/>
      </w:pPr>
      <w:rPr>
        <w:rFonts w:ascii="Courier New" w:hAnsi="Courier New"/>
      </w:rPr>
    </w:lvl>
    <w:lvl w:ilvl="8" w:tplc="70D4015E">
      <w:start w:val="1"/>
      <w:numFmt w:val="bullet"/>
      <w:lvlText w:val=""/>
      <w:lvlJc w:val="left"/>
      <w:pPr>
        <w:tabs>
          <w:tab w:val="num" w:pos="6480"/>
        </w:tabs>
        <w:ind w:left="6480" w:hanging="360"/>
      </w:pPr>
      <w:rPr>
        <w:rFonts w:ascii="Wingdings" w:hAnsi="Wingdings"/>
      </w:rPr>
    </w:lvl>
  </w:abstractNum>
  <w:abstractNum w:abstractNumId="234" w15:restartNumberingAfterBreak="0">
    <w:nsid w:val="7DF6289F"/>
    <w:multiLevelType w:val="hybridMultilevel"/>
    <w:tmpl w:val="7DF6289F"/>
    <w:lvl w:ilvl="0" w:tplc="B4021F08">
      <w:start w:val="1"/>
      <w:numFmt w:val="bullet"/>
      <w:lvlText w:val=""/>
      <w:lvlJc w:val="left"/>
      <w:pPr>
        <w:tabs>
          <w:tab w:val="num" w:pos="720"/>
        </w:tabs>
        <w:ind w:left="720" w:hanging="360"/>
      </w:pPr>
      <w:rPr>
        <w:rFonts w:ascii="Symbol" w:hAnsi="Symbol"/>
      </w:rPr>
    </w:lvl>
    <w:lvl w:ilvl="1" w:tplc="D22683F4">
      <w:start w:val="1"/>
      <w:numFmt w:val="bullet"/>
      <w:lvlText w:val="o"/>
      <w:lvlJc w:val="left"/>
      <w:pPr>
        <w:tabs>
          <w:tab w:val="num" w:pos="1440"/>
        </w:tabs>
        <w:ind w:left="1440" w:hanging="360"/>
      </w:pPr>
      <w:rPr>
        <w:rFonts w:ascii="Courier New" w:hAnsi="Courier New"/>
      </w:rPr>
    </w:lvl>
    <w:lvl w:ilvl="2" w:tplc="940E5568">
      <w:start w:val="1"/>
      <w:numFmt w:val="bullet"/>
      <w:lvlText w:val=""/>
      <w:lvlJc w:val="left"/>
      <w:pPr>
        <w:tabs>
          <w:tab w:val="num" w:pos="2160"/>
        </w:tabs>
        <w:ind w:left="2160" w:hanging="360"/>
      </w:pPr>
      <w:rPr>
        <w:rFonts w:ascii="Wingdings" w:hAnsi="Wingdings"/>
      </w:rPr>
    </w:lvl>
    <w:lvl w:ilvl="3" w:tplc="F9E0D390">
      <w:start w:val="1"/>
      <w:numFmt w:val="bullet"/>
      <w:lvlText w:val=""/>
      <w:lvlJc w:val="left"/>
      <w:pPr>
        <w:tabs>
          <w:tab w:val="num" w:pos="2880"/>
        </w:tabs>
        <w:ind w:left="2880" w:hanging="360"/>
      </w:pPr>
      <w:rPr>
        <w:rFonts w:ascii="Symbol" w:hAnsi="Symbol"/>
      </w:rPr>
    </w:lvl>
    <w:lvl w:ilvl="4" w:tplc="D39E1128">
      <w:start w:val="1"/>
      <w:numFmt w:val="bullet"/>
      <w:lvlText w:val="o"/>
      <w:lvlJc w:val="left"/>
      <w:pPr>
        <w:tabs>
          <w:tab w:val="num" w:pos="3600"/>
        </w:tabs>
        <w:ind w:left="3600" w:hanging="360"/>
      </w:pPr>
      <w:rPr>
        <w:rFonts w:ascii="Courier New" w:hAnsi="Courier New"/>
      </w:rPr>
    </w:lvl>
    <w:lvl w:ilvl="5" w:tplc="7A603202">
      <w:start w:val="1"/>
      <w:numFmt w:val="bullet"/>
      <w:lvlText w:val=""/>
      <w:lvlJc w:val="left"/>
      <w:pPr>
        <w:tabs>
          <w:tab w:val="num" w:pos="4320"/>
        </w:tabs>
        <w:ind w:left="4320" w:hanging="360"/>
      </w:pPr>
      <w:rPr>
        <w:rFonts w:ascii="Wingdings" w:hAnsi="Wingdings"/>
      </w:rPr>
    </w:lvl>
    <w:lvl w:ilvl="6" w:tplc="FC6ED37A">
      <w:start w:val="1"/>
      <w:numFmt w:val="bullet"/>
      <w:lvlText w:val=""/>
      <w:lvlJc w:val="left"/>
      <w:pPr>
        <w:tabs>
          <w:tab w:val="num" w:pos="5040"/>
        </w:tabs>
        <w:ind w:left="5040" w:hanging="360"/>
      </w:pPr>
      <w:rPr>
        <w:rFonts w:ascii="Symbol" w:hAnsi="Symbol"/>
      </w:rPr>
    </w:lvl>
    <w:lvl w:ilvl="7" w:tplc="78B0641C">
      <w:start w:val="1"/>
      <w:numFmt w:val="bullet"/>
      <w:lvlText w:val="o"/>
      <w:lvlJc w:val="left"/>
      <w:pPr>
        <w:tabs>
          <w:tab w:val="num" w:pos="5760"/>
        </w:tabs>
        <w:ind w:left="5760" w:hanging="360"/>
      </w:pPr>
      <w:rPr>
        <w:rFonts w:ascii="Courier New" w:hAnsi="Courier New"/>
      </w:rPr>
    </w:lvl>
    <w:lvl w:ilvl="8" w:tplc="1B46CE42">
      <w:start w:val="1"/>
      <w:numFmt w:val="bullet"/>
      <w:lvlText w:val=""/>
      <w:lvlJc w:val="left"/>
      <w:pPr>
        <w:tabs>
          <w:tab w:val="num" w:pos="6480"/>
        </w:tabs>
        <w:ind w:left="6480" w:hanging="360"/>
      </w:pPr>
      <w:rPr>
        <w:rFonts w:ascii="Wingdings" w:hAnsi="Wingdings"/>
      </w:rPr>
    </w:lvl>
  </w:abstractNum>
  <w:abstractNum w:abstractNumId="235" w15:restartNumberingAfterBreak="0">
    <w:nsid w:val="7DF628A0"/>
    <w:multiLevelType w:val="multilevel"/>
    <w:tmpl w:val="7DF628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6" w15:restartNumberingAfterBreak="0">
    <w:nsid w:val="7DF628A1"/>
    <w:multiLevelType w:val="multilevel"/>
    <w:tmpl w:val="7DF628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7DF628A2"/>
    <w:multiLevelType w:val="multilevel"/>
    <w:tmpl w:val="7DF628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15:restartNumberingAfterBreak="0">
    <w:nsid w:val="7DF628A3"/>
    <w:multiLevelType w:val="hybridMultilevel"/>
    <w:tmpl w:val="7DF628A3"/>
    <w:lvl w:ilvl="0" w:tplc="EB9E9178">
      <w:start w:val="1"/>
      <w:numFmt w:val="bullet"/>
      <w:lvlText w:val=""/>
      <w:lvlJc w:val="left"/>
      <w:pPr>
        <w:tabs>
          <w:tab w:val="num" w:pos="720"/>
        </w:tabs>
        <w:ind w:left="720" w:hanging="360"/>
      </w:pPr>
      <w:rPr>
        <w:rFonts w:ascii="Symbol" w:hAnsi="Symbol"/>
      </w:rPr>
    </w:lvl>
    <w:lvl w:ilvl="1" w:tplc="3B6C1114">
      <w:start w:val="1"/>
      <w:numFmt w:val="bullet"/>
      <w:lvlText w:val="o"/>
      <w:lvlJc w:val="left"/>
      <w:pPr>
        <w:tabs>
          <w:tab w:val="num" w:pos="1440"/>
        </w:tabs>
        <w:ind w:left="1440" w:hanging="360"/>
      </w:pPr>
      <w:rPr>
        <w:rFonts w:ascii="Courier New" w:hAnsi="Courier New"/>
      </w:rPr>
    </w:lvl>
    <w:lvl w:ilvl="2" w:tplc="A8044F08">
      <w:start w:val="1"/>
      <w:numFmt w:val="bullet"/>
      <w:lvlText w:val=""/>
      <w:lvlJc w:val="left"/>
      <w:pPr>
        <w:tabs>
          <w:tab w:val="num" w:pos="2160"/>
        </w:tabs>
        <w:ind w:left="2160" w:hanging="360"/>
      </w:pPr>
      <w:rPr>
        <w:rFonts w:ascii="Wingdings" w:hAnsi="Wingdings"/>
      </w:rPr>
    </w:lvl>
    <w:lvl w:ilvl="3" w:tplc="631CBE8C">
      <w:start w:val="1"/>
      <w:numFmt w:val="bullet"/>
      <w:lvlText w:val=""/>
      <w:lvlJc w:val="left"/>
      <w:pPr>
        <w:tabs>
          <w:tab w:val="num" w:pos="2880"/>
        </w:tabs>
        <w:ind w:left="2880" w:hanging="360"/>
      </w:pPr>
      <w:rPr>
        <w:rFonts w:ascii="Symbol" w:hAnsi="Symbol"/>
      </w:rPr>
    </w:lvl>
    <w:lvl w:ilvl="4" w:tplc="91F6F476">
      <w:start w:val="1"/>
      <w:numFmt w:val="bullet"/>
      <w:lvlText w:val="o"/>
      <w:lvlJc w:val="left"/>
      <w:pPr>
        <w:tabs>
          <w:tab w:val="num" w:pos="3600"/>
        </w:tabs>
        <w:ind w:left="3600" w:hanging="360"/>
      </w:pPr>
      <w:rPr>
        <w:rFonts w:ascii="Courier New" w:hAnsi="Courier New"/>
      </w:rPr>
    </w:lvl>
    <w:lvl w:ilvl="5" w:tplc="130ABA1E">
      <w:start w:val="1"/>
      <w:numFmt w:val="bullet"/>
      <w:lvlText w:val=""/>
      <w:lvlJc w:val="left"/>
      <w:pPr>
        <w:tabs>
          <w:tab w:val="num" w:pos="4320"/>
        </w:tabs>
        <w:ind w:left="4320" w:hanging="360"/>
      </w:pPr>
      <w:rPr>
        <w:rFonts w:ascii="Wingdings" w:hAnsi="Wingdings"/>
      </w:rPr>
    </w:lvl>
    <w:lvl w:ilvl="6" w:tplc="8EDE85F2">
      <w:start w:val="1"/>
      <w:numFmt w:val="bullet"/>
      <w:lvlText w:val=""/>
      <w:lvlJc w:val="left"/>
      <w:pPr>
        <w:tabs>
          <w:tab w:val="num" w:pos="5040"/>
        </w:tabs>
        <w:ind w:left="5040" w:hanging="360"/>
      </w:pPr>
      <w:rPr>
        <w:rFonts w:ascii="Symbol" w:hAnsi="Symbol"/>
      </w:rPr>
    </w:lvl>
    <w:lvl w:ilvl="7" w:tplc="24D0AA5E">
      <w:start w:val="1"/>
      <w:numFmt w:val="bullet"/>
      <w:lvlText w:val="o"/>
      <w:lvlJc w:val="left"/>
      <w:pPr>
        <w:tabs>
          <w:tab w:val="num" w:pos="5760"/>
        </w:tabs>
        <w:ind w:left="5760" w:hanging="360"/>
      </w:pPr>
      <w:rPr>
        <w:rFonts w:ascii="Courier New" w:hAnsi="Courier New"/>
      </w:rPr>
    </w:lvl>
    <w:lvl w:ilvl="8" w:tplc="6B3C35EE">
      <w:start w:val="1"/>
      <w:numFmt w:val="bullet"/>
      <w:lvlText w:val=""/>
      <w:lvlJc w:val="left"/>
      <w:pPr>
        <w:tabs>
          <w:tab w:val="num" w:pos="6480"/>
        </w:tabs>
        <w:ind w:left="6480" w:hanging="360"/>
      </w:pPr>
      <w:rPr>
        <w:rFonts w:ascii="Wingdings" w:hAnsi="Wingdings"/>
      </w:rPr>
    </w:lvl>
  </w:abstractNum>
  <w:abstractNum w:abstractNumId="239" w15:restartNumberingAfterBreak="0">
    <w:nsid w:val="7DF628A4"/>
    <w:multiLevelType w:val="hybridMultilevel"/>
    <w:tmpl w:val="7DF628A4"/>
    <w:lvl w:ilvl="0" w:tplc="894E0686">
      <w:start w:val="1"/>
      <w:numFmt w:val="bullet"/>
      <w:lvlText w:val=""/>
      <w:lvlJc w:val="left"/>
      <w:pPr>
        <w:tabs>
          <w:tab w:val="num" w:pos="720"/>
        </w:tabs>
        <w:ind w:left="720" w:hanging="360"/>
      </w:pPr>
      <w:rPr>
        <w:rFonts w:ascii="Symbol" w:hAnsi="Symbol"/>
      </w:rPr>
    </w:lvl>
    <w:lvl w:ilvl="1" w:tplc="C53E728C">
      <w:start w:val="1"/>
      <w:numFmt w:val="bullet"/>
      <w:lvlText w:val="o"/>
      <w:lvlJc w:val="left"/>
      <w:pPr>
        <w:tabs>
          <w:tab w:val="num" w:pos="1440"/>
        </w:tabs>
        <w:ind w:left="1440" w:hanging="360"/>
      </w:pPr>
      <w:rPr>
        <w:rFonts w:ascii="Courier New" w:hAnsi="Courier New"/>
      </w:rPr>
    </w:lvl>
    <w:lvl w:ilvl="2" w:tplc="C0A65584">
      <w:start w:val="1"/>
      <w:numFmt w:val="bullet"/>
      <w:lvlText w:val=""/>
      <w:lvlJc w:val="left"/>
      <w:pPr>
        <w:tabs>
          <w:tab w:val="num" w:pos="2160"/>
        </w:tabs>
        <w:ind w:left="2160" w:hanging="360"/>
      </w:pPr>
      <w:rPr>
        <w:rFonts w:ascii="Wingdings" w:hAnsi="Wingdings"/>
      </w:rPr>
    </w:lvl>
    <w:lvl w:ilvl="3" w:tplc="42F06470">
      <w:start w:val="1"/>
      <w:numFmt w:val="bullet"/>
      <w:lvlText w:val=""/>
      <w:lvlJc w:val="left"/>
      <w:pPr>
        <w:tabs>
          <w:tab w:val="num" w:pos="2880"/>
        </w:tabs>
        <w:ind w:left="2880" w:hanging="360"/>
      </w:pPr>
      <w:rPr>
        <w:rFonts w:ascii="Symbol" w:hAnsi="Symbol"/>
      </w:rPr>
    </w:lvl>
    <w:lvl w:ilvl="4" w:tplc="96D85320">
      <w:start w:val="1"/>
      <w:numFmt w:val="bullet"/>
      <w:lvlText w:val="o"/>
      <w:lvlJc w:val="left"/>
      <w:pPr>
        <w:tabs>
          <w:tab w:val="num" w:pos="3600"/>
        </w:tabs>
        <w:ind w:left="3600" w:hanging="360"/>
      </w:pPr>
      <w:rPr>
        <w:rFonts w:ascii="Courier New" w:hAnsi="Courier New"/>
      </w:rPr>
    </w:lvl>
    <w:lvl w:ilvl="5" w:tplc="89CCF8FA">
      <w:start w:val="1"/>
      <w:numFmt w:val="bullet"/>
      <w:lvlText w:val=""/>
      <w:lvlJc w:val="left"/>
      <w:pPr>
        <w:tabs>
          <w:tab w:val="num" w:pos="4320"/>
        </w:tabs>
        <w:ind w:left="4320" w:hanging="360"/>
      </w:pPr>
      <w:rPr>
        <w:rFonts w:ascii="Wingdings" w:hAnsi="Wingdings"/>
      </w:rPr>
    </w:lvl>
    <w:lvl w:ilvl="6" w:tplc="47169476">
      <w:start w:val="1"/>
      <w:numFmt w:val="bullet"/>
      <w:lvlText w:val=""/>
      <w:lvlJc w:val="left"/>
      <w:pPr>
        <w:tabs>
          <w:tab w:val="num" w:pos="5040"/>
        </w:tabs>
        <w:ind w:left="5040" w:hanging="360"/>
      </w:pPr>
      <w:rPr>
        <w:rFonts w:ascii="Symbol" w:hAnsi="Symbol"/>
      </w:rPr>
    </w:lvl>
    <w:lvl w:ilvl="7" w:tplc="F1D29BCC">
      <w:start w:val="1"/>
      <w:numFmt w:val="bullet"/>
      <w:lvlText w:val="o"/>
      <w:lvlJc w:val="left"/>
      <w:pPr>
        <w:tabs>
          <w:tab w:val="num" w:pos="5760"/>
        </w:tabs>
        <w:ind w:left="5760" w:hanging="360"/>
      </w:pPr>
      <w:rPr>
        <w:rFonts w:ascii="Courier New" w:hAnsi="Courier New"/>
      </w:rPr>
    </w:lvl>
    <w:lvl w:ilvl="8" w:tplc="8396B274">
      <w:start w:val="1"/>
      <w:numFmt w:val="bullet"/>
      <w:lvlText w:val=""/>
      <w:lvlJc w:val="left"/>
      <w:pPr>
        <w:tabs>
          <w:tab w:val="num" w:pos="6480"/>
        </w:tabs>
        <w:ind w:left="6480" w:hanging="360"/>
      </w:pPr>
      <w:rPr>
        <w:rFonts w:ascii="Wingdings" w:hAnsi="Wingdings"/>
      </w:rPr>
    </w:lvl>
  </w:abstractNum>
  <w:abstractNum w:abstractNumId="240" w15:restartNumberingAfterBreak="0">
    <w:nsid w:val="7DF628A5"/>
    <w:multiLevelType w:val="hybridMultilevel"/>
    <w:tmpl w:val="7DF628A5"/>
    <w:lvl w:ilvl="0" w:tplc="B33A3D0E">
      <w:start w:val="1"/>
      <w:numFmt w:val="bullet"/>
      <w:lvlText w:val=""/>
      <w:lvlJc w:val="left"/>
      <w:pPr>
        <w:tabs>
          <w:tab w:val="num" w:pos="720"/>
        </w:tabs>
        <w:ind w:left="720" w:hanging="360"/>
      </w:pPr>
      <w:rPr>
        <w:rFonts w:ascii="Symbol" w:hAnsi="Symbol"/>
      </w:rPr>
    </w:lvl>
    <w:lvl w:ilvl="1" w:tplc="CF7E8FDA">
      <w:start w:val="1"/>
      <w:numFmt w:val="bullet"/>
      <w:lvlText w:val="o"/>
      <w:lvlJc w:val="left"/>
      <w:pPr>
        <w:tabs>
          <w:tab w:val="num" w:pos="1440"/>
        </w:tabs>
        <w:ind w:left="1440" w:hanging="360"/>
      </w:pPr>
      <w:rPr>
        <w:rFonts w:ascii="Courier New" w:hAnsi="Courier New"/>
      </w:rPr>
    </w:lvl>
    <w:lvl w:ilvl="2" w:tplc="12B4F4A8">
      <w:start w:val="1"/>
      <w:numFmt w:val="bullet"/>
      <w:lvlText w:val=""/>
      <w:lvlJc w:val="left"/>
      <w:pPr>
        <w:tabs>
          <w:tab w:val="num" w:pos="2160"/>
        </w:tabs>
        <w:ind w:left="2160" w:hanging="360"/>
      </w:pPr>
      <w:rPr>
        <w:rFonts w:ascii="Wingdings" w:hAnsi="Wingdings"/>
      </w:rPr>
    </w:lvl>
    <w:lvl w:ilvl="3" w:tplc="7C9AACF2">
      <w:start w:val="1"/>
      <w:numFmt w:val="bullet"/>
      <w:lvlText w:val=""/>
      <w:lvlJc w:val="left"/>
      <w:pPr>
        <w:tabs>
          <w:tab w:val="num" w:pos="2880"/>
        </w:tabs>
        <w:ind w:left="2880" w:hanging="360"/>
      </w:pPr>
      <w:rPr>
        <w:rFonts w:ascii="Symbol" w:hAnsi="Symbol"/>
      </w:rPr>
    </w:lvl>
    <w:lvl w:ilvl="4" w:tplc="36AA80B0">
      <w:start w:val="1"/>
      <w:numFmt w:val="bullet"/>
      <w:lvlText w:val="o"/>
      <w:lvlJc w:val="left"/>
      <w:pPr>
        <w:tabs>
          <w:tab w:val="num" w:pos="3600"/>
        </w:tabs>
        <w:ind w:left="3600" w:hanging="360"/>
      </w:pPr>
      <w:rPr>
        <w:rFonts w:ascii="Courier New" w:hAnsi="Courier New"/>
      </w:rPr>
    </w:lvl>
    <w:lvl w:ilvl="5" w:tplc="74A42040">
      <w:start w:val="1"/>
      <w:numFmt w:val="bullet"/>
      <w:lvlText w:val=""/>
      <w:lvlJc w:val="left"/>
      <w:pPr>
        <w:tabs>
          <w:tab w:val="num" w:pos="4320"/>
        </w:tabs>
        <w:ind w:left="4320" w:hanging="360"/>
      </w:pPr>
      <w:rPr>
        <w:rFonts w:ascii="Wingdings" w:hAnsi="Wingdings"/>
      </w:rPr>
    </w:lvl>
    <w:lvl w:ilvl="6" w:tplc="95788028">
      <w:start w:val="1"/>
      <w:numFmt w:val="bullet"/>
      <w:lvlText w:val=""/>
      <w:lvlJc w:val="left"/>
      <w:pPr>
        <w:tabs>
          <w:tab w:val="num" w:pos="5040"/>
        </w:tabs>
        <w:ind w:left="5040" w:hanging="360"/>
      </w:pPr>
      <w:rPr>
        <w:rFonts w:ascii="Symbol" w:hAnsi="Symbol"/>
      </w:rPr>
    </w:lvl>
    <w:lvl w:ilvl="7" w:tplc="261C5C1E">
      <w:start w:val="1"/>
      <w:numFmt w:val="bullet"/>
      <w:lvlText w:val="o"/>
      <w:lvlJc w:val="left"/>
      <w:pPr>
        <w:tabs>
          <w:tab w:val="num" w:pos="5760"/>
        </w:tabs>
        <w:ind w:left="5760" w:hanging="360"/>
      </w:pPr>
      <w:rPr>
        <w:rFonts w:ascii="Courier New" w:hAnsi="Courier New"/>
      </w:rPr>
    </w:lvl>
    <w:lvl w:ilvl="8" w:tplc="8512A44C">
      <w:start w:val="1"/>
      <w:numFmt w:val="bullet"/>
      <w:lvlText w:val=""/>
      <w:lvlJc w:val="left"/>
      <w:pPr>
        <w:tabs>
          <w:tab w:val="num" w:pos="6480"/>
        </w:tabs>
        <w:ind w:left="6480" w:hanging="360"/>
      </w:pPr>
      <w:rPr>
        <w:rFonts w:ascii="Wingdings" w:hAnsi="Wingdings"/>
      </w:rPr>
    </w:lvl>
  </w:abstractNum>
  <w:abstractNum w:abstractNumId="241" w15:restartNumberingAfterBreak="0">
    <w:nsid w:val="7DF628A6"/>
    <w:multiLevelType w:val="hybridMultilevel"/>
    <w:tmpl w:val="7DF628A6"/>
    <w:lvl w:ilvl="0" w:tplc="D9E00702">
      <w:start w:val="1"/>
      <w:numFmt w:val="bullet"/>
      <w:lvlText w:val=""/>
      <w:lvlJc w:val="left"/>
      <w:pPr>
        <w:tabs>
          <w:tab w:val="num" w:pos="720"/>
        </w:tabs>
        <w:ind w:left="720" w:hanging="360"/>
      </w:pPr>
      <w:rPr>
        <w:rFonts w:ascii="Symbol" w:hAnsi="Symbol"/>
      </w:rPr>
    </w:lvl>
    <w:lvl w:ilvl="1" w:tplc="535C436E">
      <w:start w:val="1"/>
      <w:numFmt w:val="bullet"/>
      <w:lvlText w:val="o"/>
      <w:lvlJc w:val="left"/>
      <w:pPr>
        <w:tabs>
          <w:tab w:val="num" w:pos="1440"/>
        </w:tabs>
        <w:ind w:left="1440" w:hanging="360"/>
      </w:pPr>
      <w:rPr>
        <w:rFonts w:ascii="Courier New" w:hAnsi="Courier New"/>
      </w:rPr>
    </w:lvl>
    <w:lvl w:ilvl="2" w:tplc="5DC6DCDA">
      <w:start w:val="1"/>
      <w:numFmt w:val="bullet"/>
      <w:lvlText w:val=""/>
      <w:lvlJc w:val="left"/>
      <w:pPr>
        <w:tabs>
          <w:tab w:val="num" w:pos="2160"/>
        </w:tabs>
        <w:ind w:left="2160" w:hanging="360"/>
      </w:pPr>
      <w:rPr>
        <w:rFonts w:ascii="Wingdings" w:hAnsi="Wingdings"/>
      </w:rPr>
    </w:lvl>
    <w:lvl w:ilvl="3" w:tplc="5574B2FC">
      <w:start w:val="1"/>
      <w:numFmt w:val="bullet"/>
      <w:lvlText w:val=""/>
      <w:lvlJc w:val="left"/>
      <w:pPr>
        <w:tabs>
          <w:tab w:val="num" w:pos="2880"/>
        </w:tabs>
        <w:ind w:left="2880" w:hanging="360"/>
      </w:pPr>
      <w:rPr>
        <w:rFonts w:ascii="Symbol" w:hAnsi="Symbol"/>
      </w:rPr>
    </w:lvl>
    <w:lvl w:ilvl="4" w:tplc="2398D340">
      <w:start w:val="1"/>
      <w:numFmt w:val="bullet"/>
      <w:lvlText w:val="o"/>
      <w:lvlJc w:val="left"/>
      <w:pPr>
        <w:tabs>
          <w:tab w:val="num" w:pos="3600"/>
        </w:tabs>
        <w:ind w:left="3600" w:hanging="360"/>
      </w:pPr>
      <w:rPr>
        <w:rFonts w:ascii="Courier New" w:hAnsi="Courier New"/>
      </w:rPr>
    </w:lvl>
    <w:lvl w:ilvl="5" w:tplc="E1088242">
      <w:start w:val="1"/>
      <w:numFmt w:val="bullet"/>
      <w:lvlText w:val=""/>
      <w:lvlJc w:val="left"/>
      <w:pPr>
        <w:tabs>
          <w:tab w:val="num" w:pos="4320"/>
        </w:tabs>
        <w:ind w:left="4320" w:hanging="360"/>
      </w:pPr>
      <w:rPr>
        <w:rFonts w:ascii="Wingdings" w:hAnsi="Wingdings"/>
      </w:rPr>
    </w:lvl>
    <w:lvl w:ilvl="6" w:tplc="A7D4005E">
      <w:start w:val="1"/>
      <w:numFmt w:val="bullet"/>
      <w:lvlText w:val=""/>
      <w:lvlJc w:val="left"/>
      <w:pPr>
        <w:tabs>
          <w:tab w:val="num" w:pos="5040"/>
        </w:tabs>
        <w:ind w:left="5040" w:hanging="360"/>
      </w:pPr>
      <w:rPr>
        <w:rFonts w:ascii="Symbol" w:hAnsi="Symbol"/>
      </w:rPr>
    </w:lvl>
    <w:lvl w:ilvl="7" w:tplc="6BEA8BF4">
      <w:start w:val="1"/>
      <w:numFmt w:val="bullet"/>
      <w:lvlText w:val="o"/>
      <w:lvlJc w:val="left"/>
      <w:pPr>
        <w:tabs>
          <w:tab w:val="num" w:pos="5760"/>
        </w:tabs>
        <w:ind w:left="5760" w:hanging="360"/>
      </w:pPr>
      <w:rPr>
        <w:rFonts w:ascii="Courier New" w:hAnsi="Courier New"/>
      </w:rPr>
    </w:lvl>
    <w:lvl w:ilvl="8" w:tplc="9B1AE15C">
      <w:start w:val="1"/>
      <w:numFmt w:val="bullet"/>
      <w:lvlText w:val=""/>
      <w:lvlJc w:val="left"/>
      <w:pPr>
        <w:tabs>
          <w:tab w:val="num" w:pos="6480"/>
        </w:tabs>
        <w:ind w:left="6480" w:hanging="360"/>
      </w:pPr>
      <w:rPr>
        <w:rFonts w:ascii="Wingdings" w:hAnsi="Wingdings"/>
      </w:rPr>
    </w:lvl>
  </w:abstractNum>
  <w:abstractNum w:abstractNumId="242" w15:restartNumberingAfterBreak="0">
    <w:nsid w:val="7DF628A7"/>
    <w:multiLevelType w:val="hybridMultilevel"/>
    <w:tmpl w:val="7DF628A7"/>
    <w:lvl w:ilvl="0" w:tplc="6C2AF9D8">
      <w:start w:val="1"/>
      <w:numFmt w:val="bullet"/>
      <w:lvlText w:val=""/>
      <w:lvlJc w:val="left"/>
      <w:pPr>
        <w:tabs>
          <w:tab w:val="num" w:pos="720"/>
        </w:tabs>
        <w:ind w:left="720" w:hanging="360"/>
      </w:pPr>
      <w:rPr>
        <w:rFonts w:ascii="Symbol" w:hAnsi="Symbol"/>
      </w:rPr>
    </w:lvl>
    <w:lvl w:ilvl="1" w:tplc="70084B0A">
      <w:start w:val="1"/>
      <w:numFmt w:val="bullet"/>
      <w:lvlText w:val="o"/>
      <w:lvlJc w:val="left"/>
      <w:pPr>
        <w:tabs>
          <w:tab w:val="num" w:pos="1440"/>
        </w:tabs>
        <w:ind w:left="1440" w:hanging="360"/>
      </w:pPr>
      <w:rPr>
        <w:rFonts w:ascii="Courier New" w:hAnsi="Courier New"/>
      </w:rPr>
    </w:lvl>
    <w:lvl w:ilvl="2" w:tplc="293C4B5C">
      <w:start w:val="1"/>
      <w:numFmt w:val="bullet"/>
      <w:lvlText w:val=""/>
      <w:lvlJc w:val="left"/>
      <w:pPr>
        <w:tabs>
          <w:tab w:val="num" w:pos="2160"/>
        </w:tabs>
        <w:ind w:left="2160" w:hanging="360"/>
      </w:pPr>
      <w:rPr>
        <w:rFonts w:ascii="Wingdings" w:hAnsi="Wingdings"/>
      </w:rPr>
    </w:lvl>
    <w:lvl w:ilvl="3" w:tplc="84A65D60">
      <w:start w:val="1"/>
      <w:numFmt w:val="bullet"/>
      <w:lvlText w:val=""/>
      <w:lvlJc w:val="left"/>
      <w:pPr>
        <w:tabs>
          <w:tab w:val="num" w:pos="2880"/>
        </w:tabs>
        <w:ind w:left="2880" w:hanging="360"/>
      </w:pPr>
      <w:rPr>
        <w:rFonts w:ascii="Symbol" w:hAnsi="Symbol"/>
      </w:rPr>
    </w:lvl>
    <w:lvl w:ilvl="4" w:tplc="B564733E">
      <w:start w:val="1"/>
      <w:numFmt w:val="bullet"/>
      <w:lvlText w:val="o"/>
      <w:lvlJc w:val="left"/>
      <w:pPr>
        <w:tabs>
          <w:tab w:val="num" w:pos="3600"/>
        </w:tabs>
        <w:ind w:left="3600" w:hanging="360"/>
      </w:pPr>
      <w:rPr>
        <w:rFonts w:ascii="Courier New" w:hAnsi="Courier New"/>
      </w:rPr>
    </w:lvl>
    <w:lvl w:ilvl="5" w:tplc="8D7A2B1E">
      <w:start w:val="1"/>
      <w:numFmt w:val="bullet"/>
      <w:lvlText w:val=""/>
      <w:lvlJc w:val="left"/>
      <w:pPr>
        <w:tabs>
          <w:tab w:val="num" w:pos="4320"/>
        </w:tabs>
        <w:ind w:left="4320" w:hanging="360"/>
      </w:pPr>
      <w:rPr>
        <w:rFonts w:ascii="Wingdings" w:hAnsi="Wingdings"/>
      </w:rPr>
    </w:lvl>
    <w:lvl w:ilvl="6" w:tplc="68064F82">
      <w:start w:val="1"/>
      <w:numFmt w:val="bullet"/>
      <w:lvlText w:val=""/>
      <w:lvlJc w:val="left"/>
      <w:pPr>
        <w:tabs>
          <w:tab w:val="num" w:pos="5040"/>
        </w:tabs>
        <w:ind w:left="5040" w:hanging="360"/>
      </w:pPr>
      <w:rPr>
        <w:rFonts w:ascii="Symbol" w:hAnsi="Symbol"/>
      </w:rPr>
    </w:lvl>
    <w:lvl w:ilvl="7" w:tplc="92544CEE">
      <w:start w:val="1"/>
      <w:numFmt w:val="bullet"/>
      <w:lvlText w:val="o"/>
      <w:lvlJc w:val="left"/>
      <w:pPr>
        <w:tabs>
          <w:tab w:val="num" w:pos="5760"/>
        </w:tabs>
        <w:ind w:left="5760" w:hanging="360"/>
      </w:pPr>
      <w:rPr>
        <w:rFonts w:ascii="Courier New" w:hAnsi="Courier New"/>
      </w:rPr>
    </w:lvl>
    <w:lvl w:ilvl="8" w:tplc="D6004A9E">
      <w:start w:val="1"/>
      <w:numFmt w:val="bullet"/>
      <w:lvlText w:val=""/>
      <w:lvlJc w:val="left"/>
      <w:pPr>
        <w:tabs>
          <w:tab w:val="num" w:pos="6480"/>
        </w:tabs>
        <w:ind w:left="6480" w:hanging="360"/>
      </w:pPr>
      <w:rPr>
        <w:rFonts w:ascii="Wingdings" w:hAnsi="Wingdings"/>
      </w:rPr>
    </w:lvl>
  </w:abstractNum>
  <w:abstractNum w:abstractNumId="243" w15:restartNumberingAfterBreak="0">
    <w:nsid w:val="7DF628A8"/>
    <w:multiLevelType w:val="hybridMultilevel"/>
    <w:tmpl w:val="7DF628A8"/>
    <w:lvl w:ilvl="0" w:tplc="1A5697A8">
      <w:start w:val="1"/>
      <w:numFmt w:val="bullet"/>
      <w:lvlText w:val=""/>
      <w:lvlJc w:val="left"/>
      <w:pPr>
        <w:tabs>
          <w:tab w:val="num" w:pos="720"/>
        </w:tabs>
        <w:ind w:left="720" w:hanging="360"/>
      </w:pPr>
      <w:rPr>
        <w:rFonts w:ascii="Symbol" w:hAnsi="Symbol"/>
      </w:rPr>
    </w:lvl>
    <w:lvl w:ilvl="1" w:tplc="7EE20934">
      <w:start w:val="1"/>
      <w:numFmt w:val="bullet"/>
      <w:lvlText w:val="o"/>
      <w:lvlJc w:val="left"/>
      <w:pPr>
        <w:tabs>
          <w:tab w:val="num" w:pos="1440"/>
        </w:tabs>
        <w:ind w:left="1440" w:hanging="360"/>
      </w:pPr>
      <w:rPr>
        <w:rFonts w:ascii="Courier New" w:hAnsi="Courier New"/>
      </w:rPr>
    </w:lvl>
    <w:lvl w:ilvl="2" w:tplc="59A8019A">
      <w:start w:val="1"/>
      <w:numFmt w:val="bullet"/>
      <w:lvlText w:val=""/>
      <w:lvlJc w:val="left"/>
      <w:pPr>
        <w:tabs>
          <w:tab w:val="num" w:pos="2160"/>
        </w:tabs>
        <w:ind w:left="2160" w:hanging="360"/>
      </w:pPr>
      <w:rPr>
        <w:rFonts w:ascii="Wingdings" w:hAnsi="Wingdings"/>
      </w:rPr>
    </w:lvl>
    <w:lvl w:ilvl="3" w:tplc="B1023002">
      <w:start w:val="1"/>
      <w:numFmt w:val="bullet"/>
      <w:lvlText w:val=""/>
      <w:lvlJc w:val="left"/>
      <w:pPr>
        <w:tabs>
          <w:tab w:val="num" w:pos="2880"/>
        </w:tabs>
        <w:ind w:left="2880" w:hanging="360"/>
      </w:pPr>
      <w:rPr>
        <w:rFonts w:ascii="Symbol" w:hAnsi="Symbol"/>
      </w:rPr>
    </w:lvl>
    <w:lvl w:ilvl="4" w:tplc="43C68478">
      <w:start w:val="1"/>
      <w:numFmt w:val="bullet"/>
      <w:lvlText w:val="o"/>
      <w:lvlJc w:val="left"/>
      <w:pPr>
        <w:tabs>
          <w:tab w:val="num" w:pos="3600"/>
        </w:tabs>
        <w:ind w:left="3600" w:hanging="360"/>
      </w:pPr>
      <w:rPr>
        <w:rFonts w:ascii="Courier New" w:hAnsi="Courier New"/>
      </w:rPr>
    </w:lvl>
    <w:lvl w:ilvl="5" w:tplc="5F7CA2B0">
      <w:start w:val="1"/>
      <w:numFmt w:val="bullet"/>
      <w:lvlText w:val=""/>
      <w:lvlJc w:val="left"/>
      <w:pPr>
        <w:tabs>
          <w:tab w:val="num" w:pos="4320"/>
        </w:tabs>
        <w:ind w:left="4320" w:hanging="360"/>
      </w:pPr>
      <w:rPr>
        <w:rFonts w:ascii="Wingdings" w:hAnsi="Wingdings"/>
      </w:rPr>
    </w:lvl>
    <w:lvl w:ilvl="6" w:tplc="C82846E6">
      <w:start w:val="1"/>
      <w:numFmt w:val="bullet"/>
      <w:lvlText w:val=""/>
      <w:lvlJc w:val="left"/>
      <w:pPr>
        <w:tabs>
          <w:tab w:val="num" w:pos="5040"/>
        </w:tabs>
        <w:ind w:left="5040" w:hanging="360"/>
      </w:pPr>
      <w:rPr>
        <w:rFonts w:ascii="Symbol" w:hAnsi="Symbol"/>
      </w:rPr>
    </w:lvl>
    <w:lvl w:ilvl="7" w:tplc="6FBE60B6">
      <w:start w:val="1"/>
      <w:numFmt w:val="bullet"/>
      <w:lvlText w:val="o"/>
      <w:lvlJc w:val="left"/>
      <w:pPr>
        <w:tabs>
          <w:tab w:val="num" w:pos="5760"/>
        </w:tabs>
        <w:ind w:left="5760" w:hanging="360"/>
      </w:pPr>
      <w:rPr>
        <w:rFonts w:ascii="Courier New" w:hAnsi="Courier New"/>
      </w:rPr>
    </w:lvl>
    <w:lvl w:ilvl="8" w:tplc="93A47CB0">
      <w:start w:val="1"/>
      <w:numFmt w:val="bullet"/>
      <w:lvlText w:val=""/>
      <w:lvlJc w:val="left"/>
      <w:pPr>
        <w:tabs>
          <w:tab w:val="num" w:pos="6480"/>
        </w:tabs>
        <w:ind w:left="6480" w:hanging="360"/>
      </w:pPr>
      <w:rPr>
        <w:rFonts w:ascii="Wingdings" w:hAnsi="Wingdings"/>
      </w:rPr>
    </w:lvl>
  </w:abstractNum>
  <w:abstractNum w:abstractNumId="244" w15:restartNumberingAfterBreak="0">
    <w:nsid w:val="7DF628A9"/>
    <w:multiLevelType w:val="hybridMultilevel"/>
    <w:tmpl w:val="7DF628A9"/>
    <w:lvl w:ilvl="0" w:tplc="5E0EBC82">
      <w:start w:val="1"/>
      <w:numFmt w:val="bullet"/>
      <w:lvlText w:val=""/>
      <w:lvlJc w:val="left"/>
      <w:pPr>
        <w:tabs>
          <w:tab w:val="num" w:pos="720"/>
        </w:tabs>
        <w:ind w:left="720" w:hanging="360"/>
      </w:pPr>
      <w:rPr>
        <w:rFonts w:ascii="Symbol" w:hAnsi="Symbol"/>
      </w:rPr>
    </w:lvl>
    <w:lvl w:ilvl="1" w:tplc="7BC22A04">
      <w:start w:val="1"/>
      <w:numFmt w:val="bullet"/>
      <w:lvlText w:val="o"/>
      <w:lvlJc w:val="left"/>
      <w:pPr>
        <w:tabs>
          <w:tab w:val="num" w:pos="1440"/>
        </w:tabs>
        <w:ind w:left="1440" w:hanging="360"/>
      </w:pPr>
      <w:rPr>
        <w:rFonts w:ascii="Courier New" w:hAnsi="Courier New"/>
      </w:rPr>
    </w:lvl>
    <w:lvl w:ilvl="2" w:tplc="508A1478">
      <w:start w:val="1"/>
      <w:numFmt w:val="bullet"/>
      <w:lvlText w:val=""/>
      <w:lvlJc w:val="left"/>
      <w:pPr>
        <w:tabs>
          <w:tab w:val="num" w:pos="2160"/>
        </w:tabs>
        <w:ind w:left="2160" w:hanging="360"/>
      </w:pPr>
      <w:rPr>
        <w:rFonts w:ascii="Wingdings" w:hAnsi="Wingdings"/>
      </w:rPr>
    </w:lvl>
    <w:lvl w:ilvl="3" w:tplc="B22E01D8">
      <w:start w:val="1"/>
      <w:numFmt w:val="bullet"/>
      <w:lvlText w:val=""/>
      <w:lvlJc w:val="left"/>
      <w:pPr>
        <w:tabs>
          <w:tab w:val="num" w:pos="2880"/>
        </w:tabs>
        <w:ind w:left="2880" w:hanging="360"/>
      </w:pPr>
      <w:rPr>
        <w:rFonts w:ascii="Symbol" w:hAnsi="Symbol"/>
      </w:rPr>
    </w:lvl>
    <w:lvl w:ilvl="4" w:tplc="019E68E2">
      <w:start w:val="1"/>
      <w:numFmt w:val="bullet"/>
      <w:lvlText w:val="o"/>
      <w:lvlJc w:val="left"/>
      <w:pPr>
        <w:tabs>
          <w:tab w:val="num" w:pos="3600"/>
        </w:tabs>
        <w:ind w:left="3600" w:hanging="360"/>
      </w:pPr>
      <w:rPr>
        <w:rFonts w:ascii="Courier New" w:hAnsi="Courier New"/>
      </w:rPr>
    </w:lvl>
    <w:lvl w:ilvl="5" w:tplc="2018B884">
      <w:start w:val="1"/>
      <w:numFmt w:val="bullet"/>
      <w:lvlText w:val=""/>
      <w:lvlJc w:val="left"/>
      <w:pPr>
        <w:tabs>
          <w:tab w:val="num" w:pos="4320"/>
        </w:tabs>
        <w:ind w:left="4320" w:hanging="360"/>
      </w:pPr>
      <w:rPr>
        <w:rFonts w:ascii="Wingdings" w:hAnsi="Wingdings"/>
      </w:rPr>
    </w:lvl>
    <w:lvl w:ilvl="6" w:tplc="41B6448A">
      <w:start w:val="1"/>
      <w:numFmt w:val="bullet"/>
      <w:lvlText w:val=""/>
      <w:lvlJc w:val="left"/>
      <w:pPr>
        <w:tabs>
          <w:tab w:val="num" w:pos="5040"/>
        </w:tabs>
        <w:ind w:left="5040" w:hanging="360"/>
      </w:pPr>
      <w:rPr>
        <w:rFonts w:ascii="Symbol" w:hAnsi="Symbol"/>
      </w:rPr>
    </w:lvl>
    <w:lvl w:ilvl="7" w:tplc="E3D4F02C">
      <w:start w:val="1"/>
      <w:numFmt w:val="bullet"/>
      <w:lvlText w:val="o"/>
      <w:lvlJc w:val="left"/>
      <w:pPr>
        <w:tabs>
          <w:tab w:val="num" w:pos="5760"/>
        </w:tabs>
        <w:ind w:left="5760" w:hanging="360"/>
      </w:pPr>
      <w:rPr>
        <w:rFonts w:ascii="Courier New" w:hAnsi="Courier New"/>
      </w:rPr>
    </w:lvl>
    <w:lvl w:ilvl="8" w:tplc="74B8440A">
      <w:start w:val="1"/>
      <w:numFmt w:val="bullet"/>
      <w:lvlText w:val=""/>
      <w:lvlJc w:val="left"/>
      <w:pPr>
        <w:tabs>
          <w:tab w:val="num" w:pos="6480"/>
        </w:tabs>
        <w:ind w:left="6480" w:hanging="360"/>
      </w:pPr>
      <w:rPr>
        <w:rFonts w:ascii="Wingdings" w:hAnsi="Wingdings"/>
      </w:rPr>
    </w:lvl>
  </w:abstractNum>
  <w:abstractNum w:abstractNumId="245" w15:restartNumberingAfterBreak="0">
    <w:nsid w:val="7DF628AA"/>
    <w:multiLevelType w:val="multilevel"/>
    <w:tmpl w:val="7DF628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15:restartNumberingAfterBreak="0">
    <w:nsid w:val="7DF628AB"/>
    <w:multiLevelType w:val="multilevel"/>
    <w:tmpl w:val="7DF628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15:restartNumberingAfterBreak="0">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15:restartNumberingAfterBreak="0">
    <w:nsid w:val="7DF628AD"/>
    <w:multiLevelType w:val="hybridMultilevel"/>
    <w:tmpl w:val="7DF628AD"/>
    <w:lvl w:ilvl="0" w:tplc="1350251A">
      <w:start w:val="1"/>
      <w:numFmt w:val="bullet"/>
      <w:lvlText w:val=""/>
      <w:lvlJc w:val="left"/>
      <w:pPr>
        <w:tabs>
          <w:tab w:val="num" w:pos="720"/>
        </w:tabs>
        <w:ind w:left="720" w:hanging="360"/>
      </w:pPr>
      <w:rPr>
        <w:rFonts w:ascii="Symbol" w:hAnsi="Symbol"/>
      </w:rPr>
    </w:lvl>
    <w:lvl w:ilvl="1" w:tplc="AFEEF3EE">
      <w:start w:val="1"/>
      <w:numFmt w:val="bullet"/>
      <w:lvlText w:val="o"/>
      <w:lvlJc w:val="left"/>
      <w:pPr>
        <w:tabs>
          <w:tab w:val="num" w:pos="1440"/>
        </w:tabs>
        <w:ind w:left="1440" w:hanging="360"/>
      </w:pPr>
      <w:rPr>
        <w:rFonts w:ascii="Courier New" w:hAnsi="Courier New"/>
      </w:rPr>
    </w:lvl>
    <w:lvl w:ilvl="2" w:tplc="9FCCDDFC">
      <w:start w:val="1"/>
      <w:numFmt w:val="bullet"/>
      <w:lvlText w:val=""/>
      <w:lvlJc w:val="left"/>
      <w:pPr>
        <w:tabs>
          <w:tab w:val="num" w:pos="2160"/>
        </w:tabs>
        <w:ind w:left="2160" w:hanging="360"/>
      </w:pPr>
      <w:rPr>
        <w:rFonts w:ascii="Wingdings" w:hAnsi="Wingdings"/>
      </w:rPr>
    </w:lvl>
    <w:lvl w:ilvl="3" w:tplc="A7060EF8">
      <w:start w:val="1"/>
      <w:numFmt w:val="bullet"/>
      <w:lvlText w:val=""/>
      <w:lvlJc w:val="left"/>
      <w:pPr>
        <w:tabs>
          <w:tab w:val="num" w:pos="2880"/>
        </w:tabs>
        <w:ind w:left="2880" w:hanging="360"/>
      </w:pPr>
      <w:rPr>
        <w:rFonts w:ascii="Symbol" w:hAnsi="Symbol"/>
      </w:rPr>
    </w:lvl>
    <w:lvl w:ilvl="4" w:tplc="9F76F0F4">
      <w:start w:val="1"/>
      <w:numFmt w:val="bullet"/>
      <w:lvlText w:val="o"/>
      <w:lvlJc w:val="left"/>
      <w:pPr>
        <w:tabs>
          <w:tab w:val="num" w:pos="3600"/>
        </w:tabs>
        <w:ind w:left="3600" w:hanging="360"/>
      </w:pPr>
      <w:rPr>
        <w:rFonts w:ascii="Courier New" w:hAnsi="Courier New"/>
      </w:rPr>
    </w:lvl>
    <w:lvl w:ilvl="5" w:tplc="87A2C98E">
      <w:start w:val="1"/>
      <w:numFmt w:val="bullet"/>
      <w:lvlText w:val=""/>
      <w:lvlJc w:val="left"/>
      <w:pPr>
        <w:tabs>
          <w:tab w:val="num" w:pos="4320"/>
        </w:tabs>
        <w:ind w:left="4320" w:hanging="360"/>
      </w:pPr>
      <w:rPr>
        <w:rFonts w:ascii="Wingdings" w:hAnsi="Wingdings"/>
      </w:rPr>
    </w:lvl>
    <w:lvl w:ilvl="6" w:tplc="DEF647BA">
      <w:start w:val="1"/>
      <w:numFmt w:val="bullet"/>
      <w:lvlText w:val=""/>
      <w:lvlJc w:val="left"/>
      <w:pPr>
        <w:tabs>
          <w:tab w:val="num" w:pos="5040"/>
        </w:tabs>
        <w:ind w:left="5040" w:hanging="360"/>
      </w:pPr>
      <w:rPr>
        <w:rFonts w:ascii="Symbol" w:hAnsi="Symbol"/>
      </w:rPr>
    </w:lvl>
    <w:lvl w:ilvl="7" w:tplc="1E9488E8">
      <w:start w:val="1"/>
      <w:numFmt w:val="bullet"/>
      <w:lvlText w:val="o"/>
      <w:lvlJc w:val="left"/>
      <w:pPr>
        <w:tabs>
          <w:tab w:val="num" w:pos="5760"/>
        </w:tabs>
        <w:ind w:left="5760" w:hanging="360"/>
      </w:pPr>
      <w:rPr>
        <w:rFonts w:ascii="Courier New" w:hAnsi="Courier New"/>
      </w:rPr>
    </w:lvl>
    <w:lvl w:ilvl="8" w:tplc="BB34379C">
      <w:start w:val="1"/>
      <w:numFmt w:val="bullet"/>
      <w:lvlText w:val=""/>
      <w:lvlJc w:val="left"/>
      <w:pPr>
        <w:tabs>
          <w:tab w:val="num" w:pos="6480"/>
        </w:tabs>
        <w:ind w:left="6480" w:hanging="360"/>
      </w:pPr>
      <w:rPr>
        <w:rFonts w:ascii="Wingdings" w:hAnsi="Wingdings"/>
      </w:rPr>
    </w:lvl>
  </w:abstractNum>
  <w:abstractNum w:abstractNumId="249" w15:restartNumberingAfterBreak="0">
    <w:nsid w:val="7DF628AE"/>
    <w:multiLevelType w:val="hybridMultilevel"/>
    <w:tmpl w:val="7DF628AE"/>
    <w:lvl w:ilvl="0" w:tplc="0B1CB58E">
      <w:start w:val="1"/>
      <w:numFmt w:val="bullet"/>
      <w:lvlText w:val=""/>
      <w:lvlJc w:val="left"/>
      <w:pPr>
        <w:tabs>
          <w:tab w:val="num" w:pos="720"/>
        </w:tabs>
        <w:ind w:left="720" w:hanging="360"/>
      </w:pPr>
      <w:rPr>
        <w:rFonts w:ascii="Symbol" w:hAnsi="Symbol"/>
      </w:rPr>
    </w:lvl>
    <w:lvl w:ilvl="1" w:tplc="811CA6BE">
      <w:start w:val="1"/>
      <w:numFmt w:val="bullet"/>
      <w:lvlText w:val="o"/>
      <w:lvlJc w:val="left"/>
      <w:pPr>
        <w:tabs>
          <w:tab w:val="num" w:pos="1440"/>
        </w:tabs>
        <w:ind w:left="1440" w:hanging="360"/>
      </w:pPr>
      <w:rPr>
        <w:rFonts w:ascii="Courier New" w:hAnsi="Courier New"/>
      </w:rPr>
    </w:lvl>
    <w:lvl w:ilvl="2" w:tplc="374607B0">
      <w:start w:val="1"/>
      <w:numFmt w:val="bullet"/>
      <w:lvlText w:val=""/>
      <w:lvlJc w:val="left"/>
      <w:pPr>
        <w:tabs>
          <w:tab w:val="num" w:pos="2160"/>
        </w:tabs>
        <w:ind w:left="2160" w:hanging="360"/>
      </w:pPr>
      <w:rPr>
        <w:rFonts w:ascii="Wingdings" w:hAnsi="Wingdings"/>
      </w:rPr>
    </w:lvl>
    <w:lvl w:ilvl="3" w:tplc="493E4112">
      <w:start w:val="1"/>
      <w:numFmt w:val="bullet"/>
      <w:lvlText w:val=""/>
      <w:lvlJc w:val="left"/>
      <w:pPr>
        <w:tabs>
          <w:tab w:val="num" w:pos="2880"/>
        </w:tabs>
        <w:ind w:left="2880" w:hanging="360"/>
      </w:pPr>
      <w:rPr>
        <w:rFonts w:ascii="Symbol" w:hAnsi="Symbol"/>
      </w:rPr>
    </w:lvl>
    <w:lvl w:ilvl="4" w:tplc="B01CC648">
      <w:start w:val="1"/>
      <w:numFmt w:val="bullet"/>
      <w:lvlText w:val="o"/>
      <w:lvlJc w:val="left"/>
      <w:pPr>
        <w:tabs>
          <w:tab w:val="num" w:pos="3600"/>
        </w:tabs>
        <w:ind w:left="3600" w:hanging="360"/>
      </w:pPr>
      <w:rPr>
        <w:rFonts w:ascii="Courier New" w:hAnsi="Courier New"/>
      </w:rPr>
    </w:lvl>
    <w:lvl w:ilvl="5" w:tplc="6B1EC8DA">
      <w:start w:val="1"/>
      <w:numFmt w:val="bullet"/>
      <w:lvlText w:val=""/>
      <w:lvlJc w:val="left"/>
      <w:pPr>
        <w:tabs>
          <w:tab w:val="num" w:pos="4320"/>
        </w:tabs>
        <w:ind w:left="4320" w:hanging="360"/>
      </w:pPr>
      <w:rPr>
        <w:rFonts w:ascii="Wingdings" w:hAnsi="Wingdings"/>
      </w:rPr>
    </w:lvl>
    <w:lvl w:ilvl="6" w:tplc="EE4EC48E">
      <w:start w:val="1"/>
      <w:numFmt w:val="bullet"/>
      <w:lvlText w:val=""/>
      <w:lvlJc w:val="left"/>
      <w:pPr>
        <w:tabs>
          <w:tab w:val="num" w:pos="5040"/>
        </w:tabs>
        <w:ind w:left="5040" w:hanging="360"/>
      </w:pPr>
      <w:rPr>
        <w:rFonts w:ascii="Symbol" w:hAnsi="Symbol"/>
      </w:rPr>
    </w:lvl>
    <w:lvl w:ilvl="7" w:tplc="1B5636C4">
      <w:start w:val="1"/>
      <w:numFmt w:val="bullet"/>
      <w:lvlText w:val="o"/>
      <w:lvlJc w:val="left"/>
      <w:pPr>
        <w:tabs>
          <w:tab w:val="num" w:pos="5760"/>
        </w:tabs>
        <w:ind w:left="5760" w:hanging="360"/>
      </w:pPr>
      <w:rPr>
        <w:rFonts w:ascii="Courier New" w:hAnsi="Courier New"/>
      </w:rPr>
    </w:lvl>
    <w:lvl w:ilvl="8" w:tplc="43BA85CA">
      <w:start w:val="1"/>
      <w:numFmt w:val="bullet"/>
      <w:lvlText w:val=""/>
      <w:lvlJc w:val="left"/>
      <w:pPr>
        <w:tabs>
          <w:tab w:val="num" w:pos="6480"/>
        </w:tabs>
        <w:ind w:left="6480" w:hanging="360"/>
      </w:pPr>
      <w:rPr>
        <w:rFonts w:ascii="Wingdings" w:hAnsi="Wingdings"/>
      </w:rPr>
    </w:lvl>
  </w:abstractNum>
  <w:abstractNum w:abstractNumId="250" w15:restartNumberingAfterBreak="0">
    <w:nsid w:val="7DF628AF"/>
    <w:multiLevelType w:val="multilevel"/>
    <w:tmpl w:val="7DF628A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15:restartNumberingAfterBreak="0">
    <w:nsid w:val="7DF628B0"/>
    <w:multiLevelType w:val="hybridMultilevel"/>
    <w:tmpl w:val="7DF628B0"/>
    <w:lvl w:ilvl="0" w:tplc="E63628E8">
      <w:start w:val="1"/>
      <w:numFmt w:val="bullet"/>
      <w:lvlText w:val=""/>
      <w:lvlJc w:val="left"/>
      <w:pPr>
        <w:tabs>
          <w:tab w:val="num" w:pos="720"/>
        </w:tabs>
        <w:ind w:left="720" w:hanging="360"/>
      </w:pPr>
      <w:rPr>
        <w:rFonts w:ascii="Symbol" w:hAnsi="Symbol"/>
      </w:rPr>
    </w:lvl>
    <w:lvl w:ilvl="1" w:tplc="CE7C0638">
      <w:start w:val="1"/>
      <w:numFmt w:val="bullet"/>
      <w:lvlText w:val="o"/>
      <w:lvlJc w:val="left"/>
      <w:pPr>
        <w:tabs>
          <w:tab w:val="num" w:pos="1440"/>
        </w:tabs>
        <w:ind w:left="1440" w:hanging="360"/>
      </w:pPr>
      <w:rPr>
        <w:rFonts w:ascii="Courier New" w:hAnsi="Courier New"/>
      </w:rPr>
    </w:lvl>
    <w:lvl w:ilvl="2" w:tplc="D5640622">
      <w:start w:val="1"/>
      <w:numFmt w:val="bullet"/>
      <w:lvlText w:val=""/>
      <w:lvlJc w:val="left"/>
      <w:pPr>
        <w:tabs>
          <w:tab w:val="num" w:pos="2160"/>
        </w:tabs>
        <w:ind w:left="2160" w:hanging="360"/>
      </w:pPr>
      <w:rPr>
        <w:rFonts w:ascii="Wingdings" w:hAnsi="Wingdings"/>
      </w:rPr>
    </w:lvl>
    <w:lvl w:ilvl="3" w:tplc="A748E8B4">
      <w:start w:val="1"/>
      <w:numFmt w:val="bullet"/>
      <w:lvlText w:val=""/>
      <w:lvlJc w:val="left"/>
      <w:pPr>
        <w:tabs>
          <w:tab w:val="num" w:pos="2880"/>
        </w:tabs>
        <w:ind w:left="2880" w:hanging="360"/>
      </w:pPr>
      <w:rPr>
        <w:rFonts w:ascii="Symbol" w:hAnsi="Symbol"/>
      </w:rPr>
    </w:lvl>
    <w:lvl w:ilvl="4" w:tplc="D37CF308">
      <w:start w:val="1"/>
      <w:numFmt w:val="bullet"/>
      <w:lvlText w:val="o"/>
      <w:lvlJc w:val="left"/>
      <w:pPr>
        <w:tabs>
          <w:tab w:val="num" w:pos="3600"/>
        </w:tabs>
        <w:ind w:left="3600" w:hanging="360"/>
      </w:pPr>
      <w:rPr>
        <w:rFonts w:ascii="Courier New" w:hAnsi="Courier New"/>
      </w:rPr>
    </w:lvl>
    <w:lvl w:ilvl="5" w:tplc="1908919C">
      <w:start w:val="1"/>
      <w:numFmt w:val="bullet"/>
      <w:lvlText w:val=""/>
      <w:lvlJc w:val="left"/>
      <w:pPr>
        <w:tabs>
          <w:tab w:val="num" w:pos="4320"/>
        </w:tabs>
        <w:ind w:left="4320" w:hanging="360"/>
      </w:pPr>
      <w:rPr>
        <w:rFonts w:ascii="Wingdings" w:hAnsi="Wingdings"/>
      </w:rPr>
    </w:lvl>
    <w:lvl w:ilvl="6" w:tplc="8FDC6474">
      <w:start w:val="1"/>
      <w:numFmt w:val="bullet"/>
      <w:lvlText w:val=""/>
      <w:lvlJc w:val="left"/>
      <w:pPr>
        <w:tabs>
          <w:tab w:val="num" w:pos="5040"/>
        </w:tabs>
        <w:ind w:left="5040" w:hanging="360"/>
      </w:pPr>
      <w:rPr>
        <w:rFonts w:ascii="Symbol" w:hAnsi="Symbol"/>
      </w:rPr>
    </w:lvl>
    <w:lvl w:ilvl="7" w:tplc="25FA442A">
      <w:start w:val="1"/>
      <w:numFmt w:val="bullet"/>
      <w:lvlText w:val="o"/>
      <w:lvlJc w:val="left"/>
      <w:pPr>
        <w:tabs>
          <w:tab w:val="num" w:pos="5760"/>
        </w:tabs>
        <w:ind w:left="5760" w:hanging="360"/>
      </w:pPr>
      <w:rPr>
        <w:rFonts w:ascii="Courier New" w:hAnsi="Courier New"/>
      </w:rPr>
    </w:lvl>
    <w:lvl w:ilvl="8" w:tplc="5D6A2B9E">
      <w:start w:val="1"/>
      <w:numFmt w:val="bullet"/>
      <w:lvlText w:val=""/>
      <w:lvlJc w:val="left"/>
      <w:pPr>
        <w:tabs>
          <w:tab w:val="num" w:pos="6480"/>
        </w:tabs>
        <w:ind w:left="6480" w:hanging="360"/>
      </w:pPr>
      <w:rPr>
        <w:rFonts w:ascii="Wingdings" w:hAnsi="Wingdings"/>
      </w:rPr>
    </w:lvl>
  </w:abstractNum>
  <w:abstractNum w:abstractNumId="252" w15:restartNumberingAfterBreak="0">
    <w:nsid w:val="7DF628B1"/>
    <w:multiLevelType w:val="hybridMultilevel"/>
    <w:tmpl w:val="7DF628B1"/>
    <w:lvl w:ilvl="0" w:tplc="07EA10C8">
      <w:start w:val="1"/>
      <w:numFmt w:val="bullet"/>
      <w:lvlText w:val=""/>
      <w:lvlJc w:val="left"/>
      <w:pPr>
        <w:tabs>
          <w:tab w:val="num" w:pos="720"/>
        </w:tabs>
        <w:ind w:left="720" w:hanging="360"/>
      </w:pPr>
      <w:rPr>
        <w:rFonts w:ascii="Symbol" w:hAnsi="Symbol"/>
      </w:rPr>
    </w:lvl>
    <w:lvl w:ilvl="1" w:tplc="45BC8CD8">
      <w:start w:val="1"/>
      <w:numFmt w:val="bullet"/>
      <w:lvlText w:val="o"/>
      <w:lvlJc w:val="left"/>
      <w:pPr>
        <w:tabs>
          <w:tab w:val="num" w:pos="1440"/>
        </w:tabs>
        <w:ind w:left="1440" w:hanging="360"/>
      </w:pPr>
      <w:rPr>
        <w:rFonts w:ascii="Courier New" w:hAnsi="Courier New"/>
      </w:rPr>
    </w:lvl>
    <w:lvl w:ilvl="2" w:tplc="D04EBAE6">
      <w:start w:val="1"/>
      <w:numFmt w:val="bullet"/>
      <w:lvlText w:val=""/>
      <w:lvlJc w:val="left"/>
      <w:pPr>
        <w:tabs>
          <w:tab w:val="num" w:pos="2160"/>
        </w:tabs>
        <w:ind w:left="2160" w:hanging="360"/>
      </w:pPr>
      <w:rPr>
        <w:rFonts w:ascii="Wingdings" w:hAnsi="Wingdings"/>
      </w:rPr>
    </w:lvl>
    <w:lvl w:ilvl="3" w:tplc="A74EE872">
      <w:start w:val="1"/>
      <w:numFmt w:val="bullet"/>
      <w:lvlText w:val=""/>
      <w:lvlJc w:val="left"/>
      <w:pPr>
        <w:tabs>
          <w:tab w:val="num" w:pos="2880"/>
        </w:tabs>
        <w:ind w:left="2880" w:hanging="360"/>
      </w:pPr>
      <w:rPr>
        <w:rFonts w:ascii="Symbol" w:hAnsi="Symbol"/>
      </w:rPr>
    </w:lvl>
    <w:lvl w:ilvl="4" w:tplc="F37455C0">
      <w:start w:val="1"/>
      <w:numFmt w:val="bullet"/>
      <w:lvlText w:val="o"/>
      <w:lvlJc w:val="left"/>
      <w:pPr>
        <w:tabs>
          <w:tab w:val="num" w:pos="3600"/>
        </w:tabs>
        <w:ind w:left="3600" w:hanging="360"/>
      </w:pPr>
      <w:rPr>
        <w:rFonts w:ascii="Courier New" w:hAnsi="Courier New"/>
      </w:rPr>
    </w:lvl>
    <w:lvl w:ilvl="5" w:tplc="1E10AA0C">
      <w:start w:val="1"/>
      <w:numFmt w:val="bullet"/>
      <w:lvlText w:val=""/>
      <w:lvlJc w:val="left"/>
      <w:pPr>
        <w:tabs>
          <w:tab w:val="num" w:pos="4320"/>
        </w:tabs>
        <w:ind w:left="4320" w:hanging="360"/>
      </w:pPr>
      <w:rPr>
        <w:rFonts w:ascii="Wingdings" w:hAnsi="Wingdings"/>
      </w:rPr>
    </w:lvl>
    <w:lvl w:ilvl="6" w:tplc="2A44F642">
      <w:start w:val="1"/>
      <w:numFmt w:val="bullet"/>
      <w:lvlText w:val=""/>
      <w:lvlJc w:val="left"/>
      <w:pPr>
        <w:tabs>
          <w:tab w:val="num" w:pos="5040"/>
        </w:tabs>
        <w:ind w:left="5040" w:hanging="360"/>
      </w:pPr>
      <w:rPr>
        <w:rFonts w:ascii="Symbol" w:hAnsi="Symbol"/>
      </w:rPr>
    </w:lvl>
    <w:lvl w:ilvl="7" w:tplc="F89C018A">
      <w:start w:val="1"/>
      <w:numFmt w:val="bullet"/>
      <w:lvlText w:val="o"/>
      <w:lvlJc w:val="left"/>
      <w:pPr>
        <w:tabs>
          <w:tab w:val="num" w:pos="5760"/>
        </w:tabs>
        <w:ind w:left="5760" w:hanging="360"/>
      </w:pPr>
      <w:rPr>
        <w:rFonts w:ascii="Courier New" w:hAnsi="Courier New"/>
      </w:rPr>
    </w:lvl>
    <w:lvl w:ilvl="8" w:tplc="751E6FA8">
      <w:start w:val="1"/>
      <w:numFmt w:val="bullet"/>
      <w:lvlText w:val=""/>
      <w:lvlJc w:val="left"/>
      <w:pPr>
        <w:tabs>
          <w:tab w:val="num" w:pos="6480"/>
        </w:tabs>
        <w:ind w:left="6480" w:hanging="360"/>
      </w:pPr>
      <w:rPr>
        <w:rFonts w:ascii="Wingdings" w:hAnsi="Wingdings"/>
      </w:rPr>
    </w:lvl>
  </w:abstractNum>
  <w:abstractNum w:abstractNumId="253" w15:restartNumberingAfterBreak="0">
    <w:nsid w:val="7DF628B2"/>
    <w:multiLevelType w:val="hybridMultilevel"/>
    <w:tmpl w:val="7DF628B2"/>
    <w:lvl w:ilvl="0" w:tplc="1D6AF22C">
      <w:start w:val="1"/>
      <w:numFmt w:val="bullet"/>
      <w:lvlText w:val=""/>
      <w:lvlJc w:val="left"/>
      <w:pPr>
        <w:tabs>
          <w:tab w:val="num" w:pos="720"/>
        </w:tabs>
        <w:ind w:left="720" w:hanging="360"/>
      </w:pPr>
      <w:rPr>
        <w:rFonts w:ascii="Symbol" w:hAnsi="Symbol"/>
      </w:rPr>
    </w:lvl>
    <w:lvl w:ilvl="1" w:tplc="232CDAA2">
      <w:start w:val="1"/>
      <w:numFmt w:val="bullet"/>
      <w:lvlText w:val="o"/>
      <w:lvlJc w:val="left"/>
      <w:pPr>
        <w:tabs>
          <w:tab w:val="num" w:pos="1440"/>
        </w:tabs>
        <w:ind w:left="1440" w:hanging="360"/>
      </w:pPr>
      <w:rPr>
        <w:rFonts w:ascii="Courier New" w:hAnsi="Courier New"/>
      </w:rPr>
    </w:lvl>
    <w:lvl w:ilvl="2" w:tplc="F96E89EC">
      <w:start w:val="1"/>
      <w:numFmt w:val="bullet"/>
      <w:lvlText w:val=""/>
      <w:lvlJc w:val="left"/>
      <w:pPr>
        <w:tabs>
          <w:tab w:val="num" w:pos="2160"/>
        </w:tabs>
        <w:ind w:left="2160" w:hanging="360"/>
      </w:pPr>
      <w:rPr>
        <w:rFonts w:ascii="Wingdings" w:hAnsi="Wingdings"/>
      </w:rPr>
    </w:lvl>
    <w:lvl w:ilvl="3" w:tplc="AD4E3012">
      <w:start w:val="1"/>
      <w:numFmt w:val="bullet"/>
      <w:lvlText w:val=""/>
      <w:lvlJc w:val="left"/>
      <w:pPr>
        <w:tabs>
          <w:tab w:val="num" w:pos="2880"/>
        </w:tabs>
        <w:ind w:left="2880" w:hanging="360"/>
      </w:pPr>
      <w:rPr>
        <w:rFonts w:ascii="Symbol" w:hAnsi="Symbol"/>
      </w:rPr>
    </w:lvl>
    <w:lvl w:ilvl="4" w:tplc="8806F726">
      <w:start w:val="1"/>
      <w:numFmt w:val="bullet"/>
      <w:lvlText w:val="o"/>
      <w:lvlJc w:val="left"/>
      <w:pPr>
        <w:tabs>
          <w:tab w:val="num" w:pos="3600"/>
        </w:tabs>
        <w:ind w:left="3600" w:hanging="360"/>
      </w:pPr>
      <w:rPr>
        <w:rFonts w:ascii="Courier New" w:hAnsi="Courier New"/>
      </w:rPr>
    </w:lvl>
    <w:lvl w:ilvl="5" w:tplc="1EF88A4E">
      <w:start w:val="1"/>
      <w:numFmt w:val="bullet"/>
      <w:lvlText w:val=""/>
      <w:lvlJc w:val="left"/>
      <w:pPr>
        <w:tabs>
          <w:tab w:val="num" w:pos="4320"/>
        </w:tabs>
        <w:ind w:left="4320" w:hanging="360"/>
      </w:pPr>
      <w:rPr>
        <w:rFonts w:ascii="Wingdings" w:hAnsi="Wingdings"/>
      </w:rPr>
    </w:lvl>
    <w:lvl w:ilvl="6" w:tplc="43EAEE7A">
      <w:start w:val="1"/>
      <w:numFmt w:val="bullet"/>
      <w:lvlText w:val=""/>
      <w:lvlJc w:val="left"/>
      <w:pPr>
        <w:tabs>
          <w:tab w:val="num" w:pos="5040"/>
        </w:tabs>
        <w:ind w:left="5040" w:hanging="360"/>
      </w:pPr>
      <w:rPr>
        <w:rFonts w:ascii="Symbol" w:hAnsi="Symbol"/>
      </w:rPr>
    </w:lvl>
    <w:lvl w:ilvl="7" w:tplc="61F09732">
      <w:start w:val="1"/>
      <w:numFmt w:val="bullet"/>
      <w:lvlText w:val="o"/>
      <w:lvlJc w:val="left"/>
      <w:pPr>
        <w:tabs>
          <w:tab w:val="num" w:pos="5760"/>
        </w:tabs>
        <w:ind w:left="5760" w:hanging="360"/>
      </w:pPr>
      <w:rPr>
        <w:rFonts w:ascii="Courier New" w:hAnsi="Courier New"/>
      </w:rPr>
    </w:lvl>
    <w:lvl w:ilvl="8" w:tplc="DA14D370">
      <w:start w:val="1"/>
      <w:numFmt w:val="bullet"/>
      <w:lvlText w:val=""/>
      <w:lvlJc w:val="left"/>
      <w:pPr>
        <w:tabs>
          <w:tab w:val="num" w:pos="6480"/>
        </w:tabs>
        <w:ind w:left="6480" w:hanging="360"/>
      </w:pPr>
      <w:rPr>
        <w:rFonts w:ascii="Wingdings" w:hAnsi="Wingdings"/>
      </w:rPr>
    </w:lvl>
  </w:abstractNum>
  <w:abstractNum w:abstractNumId="254" w15:restartNumberingAfterBreak="0">
    <w:nsid w:val="7DF628B3"/>
    <w:multiLevelType w:val="hybridMultilevel"/>
    <w:tmpl w:val="7DF628B3"/>
    <w:lvl w:ilvl="0" w:tplc="BF70CA52">
      <w:start w:val="1"/>
      <w:numFmt w:val="bullet"/>
      <w:lvlText w:val=""/>
      <w:lvlJc w:val="left"/>
      <w:pPr>
        <w:tabs>
          <w:tab w:val="num" w:pos="720"/>
        </w:tabs>
        <w:ind w:left="720" w:hanging="360"/>
      </w:pPr>
      <w:rPr>
        <w:rFonts w:ascii="Symbol" w:hAnsi="Symbol"/>
      </w:rPr>
    </w:lvl>
    <w:lvl w:ilvl="1" w:tplc="587AD686">
      <w:start w:val="1"/>
      <w:numFmt w:val="bullet"/>
      <w:lvlText w:val="o"/>
      <w:lvlJc w:val="left"/>
      <w:pPr>
        <w:tabs>
          <w:tab w:val="num" w:pos="1440"/>
        </w:tabs>
        <w:ind w:left="1440" w:hanging="360"/>
      </w:pPr>
      <w:rPr>
        <w:rFonts w:ascii="Courier New" w:hAnsi="Courier New"/>
      </w:rPr>
    </w:lvl>
    <w:lvl w:ilvl="2" w:tplc="9440D502">
      <w:start w:val="1"/>
      <w:numFmt w:val="bullet"/>
      <w:lvlText w:val=""/>
      <w:lvlJc w:val="left"/>
      <w:pPr>
        <w:tabs>
          <w:tab w:val="num" w:pos="2160"/>
        </w:tabs>
        <w:ind w:left="2160" w:hanging="360"/>
      </w:pPr>
      <w:rPr>
        <w:rFonts w:ascii="Wingdings" w:hAnsi="Wingdings"/>
      </w:rPr>
    </w:lvl>
    <w:lvl w:ilvl="3" w:tplc="60506EB0">
      <w:start w:val="1"/>
      <w:numFmt w:val="bullet"/>
      <w:lvlText w:val=""/>
      <w:lvlJc w:val="left"/>
      <w:pPr>
        <w:tabs>
          <w:tab w:val="num" w:pos="2880"/>
        </w:tabs>
        <w:ind w:left="2880" w:hanging="360"/>
      </w:pPr>
      <w:rPr>
        <w:rFonts w:ascii="Symbol" w:hAnsi="Symbol"/>
      </w:rPr>
    </w:lvl>
    <w:lvl w:ilvl="4" w:tplc="BF666272">
      <w:start w:val="1"/>
      <w:numFmt w:val="bullet"/>
      <w:lvlText w:val="o"/>
      <w:lvlJc w:val="left"/>
      <w:pPr>
        <w:tabs>
          <w:tab w:val="num" w:pos="3600"/>
        </w:tabs>
        <w:ind w:left="3600" w:hanging="360"/>
      </w:pPr>
      <w:rPr>
        <w:rFonts w:ascii="Courier New" w:hAnsi="Courier New"/>
      </w:rPr>
    </w:lvl>
    <w:lvl w:ilvl="5" w:tplc="2B3AAAA6">
      <w:start w:val="1"/>
      <w:numFmt w:val="bullet"/>
      <w:lvlText w:val=""/>
      <w:lvlJc w:val="left"/>
      <w:pPr>
        <w:tabs>
          <w:tab w:val="num" w:pos="4320"/>
        </w:tabs>
        <w:ind w:left="4320" w:hanging="360"/>
      </w:pPr>
      <w:rPr>
        <w:rFonts w:ascii="Wingdings" w:hAnsi="Wingdings"/>
      </w:rPr>
    </w:lvl>
    <w:lvl w:ilvl="6" w:tplc="40D2089E">
      <w:start w:val="1"/>
      <w:numFmt w:val="bullet"/>
      <w:lvlText w:val=""/>
      <w:lvlJc w:val="left"/>
      <w:pPr>
        <w:tabs>
          <w:tab w:val="num" w:pos="5040"/>
        </w:tabs>
        <w:ind w:left="5040" w:hanging="360"/>
      </w:pPr>
      <w:rPr>
        <w:rFonts w:ascii="Symbol" w:hAnsi="Symbol"/>
      </w:rPr>
    </w:lvl>
    <w:lvl w:ilvl="7" w:tplc="EF96DAA4">
      <w:start w:val="1"/>
      <w:numFmt w:val="bullet"/>
      <w:lvlText w:val="o"/>
      <w:lvlJc w:val="left"/>
      <w:pPr>
        <w:tabs>
          <w:tab w:val="num" w:pos="5760"/>
        </w:tabs>
        <w:ind w:left="5760" w:hanging="360"/>
      </w:pPr>
      <w:rPr>
        <w:rFonts w:ascii="Courier New" w:hAnsi="Courier New"/>
      </w:rPr>
    </w:lvl>
    <w:lvl w:ilvl="8" w:tplc="67A252F4">
      <w:start w:val="1"/>
      <w:numFmt w:val="bullet"/>
      <w:lvlText w:val=""/>
      <w:lvlJc w:val="left"/>
      <w:pPr>
        <w:tabs>
          <w:tab w:val="num" w:pos="6480"/>
        </w:tabs>
        <w:ind w:left="6480" w:hanging="360"/>
      </w:pPr>
      <w:rPr>
        <w:rFonts w:ascii="Wingdings" w:hAnsi="Wingdings"/>
      </w:rPr>
    </w:lvl>
  </w:abstractNum>
  <w:abstractNum w:abstractNumId="255" w15:restartNumberingAfterBreak="0">
    <w:nsid w:val="7DF628B4"/>
    <w:multiLevelType w:val="hybridMultilevel"/>
    <w:tmpl w:val="7DF628B4"/>
    <w:lvl w:ilvl="0" w:tplc="FEB88D44">
      <w:start w:val="1"/>
      <w:numFmt w:val="bullet"/>
      <w:lvlText w:val=""/>
      <w:lvlJc w:val="left"/>
      <w:pPr>
        <w:tabs>
          <w:tab w:val="num" w:pos="720"/>
        </w:tabs>
        <w:ind w:left="720" w:hanging="360"/>
      </w:pPr>
      <w:rPr>
        <w:rFonts w:ascii="Symbol" w:hAnsi="Symbol"/>
      </w:rPr>
    </w:lvl>
    <w:lvl w:ilvl="1" w:tplc="DC265184">
      <w:start w:val="1"/>
      <w:numFmt w:val="bullet"/>
      <w:lvlText w:val="o"/>
      <w:lvlJc w:val="left"/>
      <w:pPr>
        <w:tabs>
          <w:tab w:val="num" w:pos="1440"/>
        </w:tabs>
        <w:ind w:left="1440" w:hanging="360"/>
      </w:pPr>
      <w:rPr>
        <w:rFonts w:ascii="Courier New" w:hAnsi="Courier New"/>
      </w:rPr>
    </w:lvl>
    <w:lvl w:ilvl="2" w:tplc="A0B49A94">
      <w:start w:val="1"/>
      <w:numFmt w:val="bullet"/>
      <w:lvlText w:val=""/>
      <w:lvlJc w:val="left"/>
      <w:pPr>
        <w:tabs>
          <w:tab w:val="num" w:pos="2160"/>
        </w:tabs>
        <w:ind w:left="2160" w:hanging="360"/>
      </w:pPr>
      <w:rPr>
        <w:rFonts w:ascii="Wingdings" w:hAnsi="Wingdings"/>
      </w:rPr>
    </w:lvl>
    <w:lvl w:ilvl="3" w:tplc="CA00EB48">
      <w:start w:val="1"/>
      <w:numFmt w:val="bullet"/>
      <w:lvlText w:val=""/>
      <w:lvlJc w:val="left"/>
      <w:pPr>
        <w:tabs>
          <w:tab w:val="num" w:pos="2880"/>
        </w:tabs>
        <w:ind w:left="2880" w:hanging="360"/>
      </w:pPr>
      <w:rPr>
        <w:rFonts w:ascii="Symbol" w:hAnsi="Symbol"/>
      </w:rPr>
    </w:lvl>
    <w:lvl w:ilvl="4" w:tplc="D7CA118E">
      <w:start w:val="1"/>
      <w:numFmt w:val="bullet"/>
      <w:lvlText w:val="o"/>
      <w:lvlJc w:val="left"/>
      <w:pPr>
        <w:tabs>
          <w:tab w:val="num" w:pos="3600"/>
        </w:tabs>
        <w:ind w:left="3600" w:hanging="360"/>
      </w:pPr>
      <w:rPr>
        <w:rFonts w:ascii="Courier New" w:hAnsi="Courier New"/>
      </w:rPr>
    </w:lvl>
    <w:lvl w:ilvl="5" w:tplc="DF86D96C">
      <w:start w:val="1"/>
      <w:numFmt w:val="bullet"/>
      <w:lvlText w:val=""/>
      <w:lvlJc w:val="left"/>
      <w:pPr>
        <w:tabs>
          <w:tab w:val="num" w:pos="4320"/>
        </w:tabs>
        <w:ind w:left="4320" w:hanging="360"/>
      </w:pPr>
      <w:rPr>
        <w:rFonts w:ascii="Wingdings" w:hAnsi="Wingdings"/>
      </w:rPr>
    </w:lvl>
    <w:lvl w:ilvl="6" w:tplc="8C0C4E76">
      <w:start w:val="1"/>
      <w:numFmt w:val="bullet"/>
      <w:lvlText w:val=""/>
      <w:lvlJc w:val="left"/>
      <w:pPr>
        <w:tabs>
          <w:tab w:val="num" w:pos="5040"/>
        </w:tabs>
        <w:ind w:left="5040" w:hanging="360"/>
      </w:pPr>
      <w:rPr>
        <w:rFonts w:ascii="Symbol" w:hAnsi="Symbol"/>
      </w:rPr>
    </w:lvl>
    <w:lvl w:ilvl="7" w:tplc="80ACB070">
      <w:start w:val="1"/>
      <w:numFmt w:val="bullet"/>
      <w:lvlText w:val="o"/>
      <w:lvlJc w:val="left"/>
      <w:pPr>
        <w:tabs>
          <w:tab w:val="num" w:pos="5760"/>
        </w:tabs>
        <w:ind w:left="5760" w:hanging="360"/>
      </w:pPr>
      <w:rPr>
        <w:rFonts w:ascii="Courier New" w:hAnsi="Courier New"/>
      </w:rPr>
    </w:lvl>
    <w:lvl w:ilvl="8" w:tplc="4E00EF10">
      <w:start w:val="1"/>
      <w:numFmt w:val="bullet"/>
      <w:lvlText w:val=""/>
      <w:lvlJc w:val="left"/>
      <w:pPr>
        <w:tabs>
          <w:tab w:val="num" w:pos="6480"/>
        </w:tabs>
        <w:ind w:left="6480" w:hanging="360"/>
      </w:pPr>
      <w:rPr>
        <w:rFonts w:ascii="Wingdings" w:hAnsi="Wingdings"/>
      </w:rPr>
    </w:lvl>
  </w:abstractNum>
  <w:abstractNum w:abstractNumId="256" w15:restartNumberingAfterBreak="0">
    <w:nsid w:val="7DF628B5"/>
    <w:multiLevelType w:val="multilevel"/>
    <w:tmpl w:val="7DF628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7" w15:restartNumberingAfterBreak="0">
    <w:nsid w:val="7DF628B6"/>
    <w:multiLevelType w:val="multilevel"/>
    <w:tmpl w:val="7DF62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15:restartNumberingAfterBreak="0">
    <w:nsid w:val="7DF628B7"/>
    <w:multiLevelType w:val="multilevel"/>
    <w:tmpl w:val="7DF628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9" w15:restartNumberingAfterBreak="0">
    <w:nsid w:val="7DF628B8"/>
    <w:multiLevelType w:val="hybridMultilevel"/>
    <w:tmpl w:val="7DF628B8"/>
    <w:lvl w:ilvl="0" w:tplc="070CD1B2">
      <w:start w:val="1"/>
      <w:numFmt w:val="bullet"/>
      <w:lvlText w:val=""/>
      <w:lvlJc w:val="left"/>
      <w:pPr>
        <w:tabs>
          <w:tab w:val="num" w:pos="720"/>
        </w:tabs>
        <w:ind w:left="720" w:hanging="360"/>
      </w:pPr>
      <w:rPr>
        <w:rFonts w:ascii="Symbol" w:hAnsi="Symbol"/>
      </w:rPr>
    </w:lvl>
    <w:lvl w:ilvl="1" w:tplc="392EF7F6">
      <w:start w:val="1"/>
      <w:numFmt w:val="bullet"/>
      <w:lvlText w:val="o"/>
      <w:lvlJc w:val="left"/>
      <w:pPr>
        <w:tabs>
          <w:tab w:val="num" w:pos="1440"/>
        </w:tabs>
        <w:ind w:left="1440" w:hanging="360"/>
      </w:pPr>
      <w:rPr>
        <w:rFonts w:ascii="Courier New" w:hAnsi="Courier New"/>
      </w:rPr>
    </w:lvl>
    <w:lvl w:ilvl="2" w:tplc="233AD332">
      <w:start w:val="1"/>
      <w:numFmt w:val="bullet"/>
      <w:lvlText w:val=""/>
      <w:lvlJc w:val="left"/>
      <w:pPr>
        <w:tabs>
          <w:tab w:val="num" w:pos="2160"/>
        </w:tabs>
        <w:ind w:left="2160" w:hanging="360"/>
      </w:pPr>
      <w:rPr>
        <w:rFonts w:ascii="Wingdings" w:hAnsi="Wingdings"/>
      </w:rPr>
    </w:lvl>
    <w:lvl w:ilvl="3" w:tplc="AF6E8948">
      <w:start w:val="1"/>
      <w:numFmt w:val="bullet"/>
      <w:lvlText w:val=""/>
      <w:lvlJc w:val="left"/>
      <w:pPr>
        <w:tabs>
          <w:tab w:val="num" w:pos="2880"/>
        </w:tabs>
        <w:ind w:left="2880" w:hanging="360"/>
      </w:pPr>
      <w:rPr>
        <w:rFonts w:ascii="Symbol" w:hAnsi="Symbol"/>
      </w:rPr>
    </w:lvl>
    <w:lvl w:ilvl="4" w:tplc="163EB07C">
      <w:start w:val="1"/>
      <w:numFmt w:val="bullet"/>
      <w:lvlText w:val="o"/>
      <w:lvlJc w:val="left"/>
      <w:pPr>
        <w:tabs>
          <w:tab w:val="num" w:pos="3600"/>
        </w:tabs>
        <w:ind w:left="3600" w:hanging="360"/>
      </w:pPr>
      <w:rPr>
        <w:rFonts w:ascii="Courier New" w:hAnsi="Courier New"/>
      </w:rPr>
    </w:lvl>
    <w:lvl w:ilvl="5" w:tplc="F0C0809C">
      <w:start w:val="1"/>
      <w:numFmt w:val="bullet"/>
      <w:lvlText w:val=""/>
      <w:lvlJc w:val="left"/>
      <w:pPr>
        <w:tabs>
          <w:tab w:val="num" w:pos="4320"/>
        </w:tabs>
        <w:ind w:left="4320" w:hanging="360"/>
      </w:pPr>
      <w:rPr>
        <w:rFonts w:ascii="Wingdings" w:hAnsi="Wingdings"/>
      </w:rPr>
    </w:lvl>
    <w:lvl w:ilvl="6" w:tplc="78C220B0">
      <w:start w:val="1"/>
      <w:numFmt w:val="bullet"/>
      <w:lvlText w:val=""/>
      <w:lvlJc w:val="left"/>
      <w:pPr>
        <w:tabs>
          <w:tab w:val="num" w:pos="5040"/>
        </w:tabs>
        <w:ind w:left="5040" w:hanging="360"/>
      </w:pPr>
      <w:rPr>
        <w:rFonts w:ascii="Symbol" w:hAnsi="Symbol"/>
      </w:rPr>
    </w:lvl>
    <w:lvl w:ilvl="7" w:tplc="81C86CE8">
      <w:start w:val="1"/>
      <w:numFmt w:val="bullet"/>
      <w:lvlText w:val="o"/>
      <w:lvlJc w:val="left"/>
      <w:pPr>
        <w:tabs>
          <w:tab w:val="num" w:pos="5760"/>
        </w:tabs>
        <w:ind w:left="5760" w:hanging="360"/>
      </w:pPr>
      <w:rPr>
        <w:rFonts w:ascii="Courier New" w:hAnsi="Courier New"/>
      </w:rPr>
    </w:lvl>
    <w:lvl w:ilvl="8" w:tplc="7BA4BFE0">
      <w:start w:val="1"/>
      <w:numFmt w:val="bullet"/>
      <w:lvlText w:val=""/>
      <w:lvlJc w:val="left"/>
      <w:pPr>
        <w:tabs>
          <w:tab w:val="num" w:pos="6480"/>
        </w:tabs>
        <w:ind w:left="6480" w:hanging="360"/>
      </w:pPr>
      <w:rPr>
        <w:rFonts w:ascii="Wingdings" w:hAnsi="Wingdings"/>
      </w:rPr>
    </w:lvl>
  </w:abstractNum>
  <w:abstractNum w:abstractNumId="260" w15:restartNumberingAfterBreak="0">
    <w:nsid w:val="7DF628B9"/>
    <w:multiLevelType w:val="hybridMultilevel"/>
    <w:tmpl w:val="7DF628B9"/>
    <w:lvl w:ilvl="0" w:tplc="C34E178A">
      <w:start w:val="1"/>
      <w:numFmt w:val="bullet"/>
      <w:lvlText w:val=""/>
      <w:lvlJc w:val="left"/>
      <w:pPr>
        <w:tabs>
          <w:tab w:val="num" w:pos="720"/>
        </w:tabs>
        <w:ind w:left="720" w:hanging="360"/>
      </w:pPr>
      <w:rPr>
        <w:rFonts w:ascii="Symbol" w:hAnsi="Symbol"/>
      </w:rPr>
    </w:lvl>
    <w:lvl w:ilvl="1" w:tplc="84F4FF0C">
      <w:start w:val="1"/>
      <w:numFmt w:val="bullet"/>
      <w:lvlText w:val="o"/>
      <w:lvlJc w:val="left"/>
      <w:pPr>
        <w:tabs>
          <w:tab w:val="num" w:pos="1440"/>
        </w:tabs>
        <w:ind w:left="1440" w:hanging="360"/>
      </w:pPr>
      <w:rPr>
        <w:rFonts w:ascii="Courier New" w:hAnsi="Courier New"/>
      </w:rPr>
    </w:lvl>
    <w:lvl w:ilvl="2" w:tplc="2580173A">
      <w:start w:val="1"/>
      <w:numFmt w:val="bullet"/>
      <w:lvlText w:val=""/>
      <w:lvlJc w:val="left"/>
      <w:pPr>
        <w:tabs>
          <w:tab w:val="num" w:pos="2160"/>
        </w:tabs>
        <w:ind w:left="2160" w:hanging="360"/>
      </w:pPr>
      <w:rPr>
        <w:rFonts w:ascii="Wingdings" w:hAnsi="Wingdings"/>
      </w:rPr>
    </w:lvl>
    <w:lvl w:ilvl="3" w:tplc="8920F90C">
      <w:start w:val="1"/>
      <w:numFmt w:val="bullet"/>
      <w:lvlText w:val=""/>
      <w:lvlJc w:val="left"/>
      <w:pPr>
        <w:tabs>
          <w:tab w:val="num" w:pos="2880"/>
        </w:tabs>
        <w:ind w:left="2880" w:hanging="360"/>
      </w:pPr>
      <w:rPr>
        <w:rFonts w:ascii="Symbol" w:hAnsi="Symbol"/>
      </w:rPr>
    </w:lvl>
    <w:lvl w:ilvl="4" w:tplc="F3744D88">
      <w:start w:val="1"/>
      <w:numFmt w:val="bullet"/>
      <w:lvlText w:val="o"/>
      <w:lvlJc w:val="left"/>
      <w:pPr>
        <w:tabs>
          <w:tab w:val="num" w:pos="3600"/>
        </w:tabs>
        <w:ind w:left="3600" w:hanging="360"/>
      </w:pPr>
      <w:rPr>
        <w:rFonts w:ascii="Courier New" w:hAnsi="Courier New"/>
      </w:rPr>
    </w:lvl>
    <w:lvl w:ilvl="5" w:tplc="EF4241E8">
      <w:start w:val="1"/>
      <w:numFmt w:val="bullet"/>
      <w:lvlText w:val=""/>
      <w:lvlJc w:val="left"/>
      <w:pPr>
        <w:tabs>
          <w:tab w:val="num" w:pos="4320"/>
        </w:tabs>
        <w:ind w:left="4320" w:hanging="360"/>
      </w:pPr>
      <w:rPr>
        <w:rFonts w:ascii="Wingdings" w:hAnsi="Wingdings"/>
      </w:rPr>
    </w:lvl>
    <w:lvl w:ilvl="6" w:tplc="D7509684">
      <w:start w:val="1"/>
      <w:numFmt w:val="bullet"/>
      <w:lvlText w:val=""/>
      <w:lvlJc w:val="left"/>
      <w:pPr>
        <w:tabs>
          <w:tab w:val="num" w:pos="5040"/>
        </w:tabs>
        <w:ind w:left="5040" w:hanging="360"/>
      </w:pPr>
      <w:rPr>
        <w:rFonts w:ascii="Symbol" w:hAnsi="Symbol"/>
      </w:rPr>
    </w:lvl>
    <w:lvl w:ilvl="7" w:tplc="AF1C5348">
      <w:start w:val="1"/>
      <w:numFmt w:val="bullet"/>
      <w:lvlText w:val="o"/>
      <w:lvlJc w:val="left"/>
      <w:pPr>
        <w:tabs>
          <w:tab w:val="num" w:pos="5760"/>
        </w:tabs>
        <w:ind w:left="5760" w:hanging="360"/>
      </w:pPr>
      <w:rPr>
        <w:rFonts w:ascii="Courier New" w:hAnsi="Courier New"/>
      </w:rPr>
    </w:lvl>
    <w:lvl w:ilvl="8" w:tplc="876EF59C">
      <w:start w:val="1"/>
      <w:numFmt w:val="bullet"/>
      <w:lvlText w:val=""/>
      <w:lvlJc w:val="left"/>
      <w:pPr>
        <w:tabs>
          <w:tab w:val="num" w:pos="6480"/>
        </w:tabs>
        <w:ind w:left="6480" w:hanging="360"/>
      </w:pPr>
      <w:rPr>
        <w:rFonts w:ascii="Wingdings" w:hAnsi="Wingdings"/>
      </w:rPr>
    </w:lvl>
  </w:abstractNum>
  <w:abstractNum w:abstractNumId="261" w15:restartNumberingAfterBreak="0">
    <w:nsid w:val="7DF628BA"/>
    <w:multiLevelType w:val="hybridMultilevel"/>
    <w:tmpl w:val="7DF628BA"/>
    <w:lvl w:ilvl="0" w:tplc="25F473CA">
      <w:start w:val="1"/>
      <w:numFmt w:val="bullet"/>
      <w:lvlText w:val=""/>
      <w:lvlJc w:val="left"/>
      <w:pPr>
        <w:tabs>
          <w:tab w:val="num" w:pos="720"/>
        </w:tabs>
        <w:ind w:left="720" w:hanging="360"/>
      </w:pPr>
      <w:rPr>
        <w:rFonts w:ascii="Symbol" w:hAnsi="Symbol"/>
      </w:rPr>
    </w:lvl>
    <w:lvl w:ilvl="1" w:tplc="958EE15A">
      <w:start w:val="1"/>
      <w:numFmt w:val="bullet"/>
      <w:lvlText w:val="o"/>
      <w:lvlJc w:val="left"/>
      <w:pPr>
        <w:tabs>
          <w:tab w:val="num" w:pos="1440"/>
        </w:tabs>
        <w:ind w:left="1440" w:hanging="360"/>
      </w:pPr>
      <w:rPr>
        <w:rFonts w:ascii="Courier New" w:hAnsi="Courier New"/>
      </w:rPr>
    </w:lvl>
    <w:lvl w:ilvl="2" w:tplc="FE187DD2">
      <w:start w:val="1"/>
      <w:numFmt w:val="bullet"/>
      <w:lvlText w:val=""/>
      <w:lvlJc w:val="left"/>
      <w:pPr>
        <w:tabs>
          <w:tab w:val="num" w:pos="2160"/>
        </w:tabs>
        <w:ind w:left="2160" w:hanging="360"/>
      </w:pPr>
      <w:rPr>
        <w:rFonts w:ascii="Wingdings" w:hAnsi="Wingdings"/>
      </w:rPr>
    </w:lvl>
    <w:lvl w:ilvl="3" w:tplc="61FC87D0">
      <w:start w:val="1"/>
      <w:numFmt w:val="bullet"/>
      <w:lvlText w:val=""/>
      <w:lvlJc w:val="left"/>
      <w:pPr>
        <w:tabs>
          <w:tab w:val="num" w:pos="2880"/>
        </w:tabs>
        <w:ind w:left="2880" w:hanging="360"/>
      </w:pPr>
      <w:rPr>
        <w:rFonts w:ascii="Symbol" w:hAnsi="Symbol"/>
      </w:rPr>
    </w:lvl>
    <w:lvl w:ilvl="4" w:tplc="B82033DC">
      <w:start w:val="1"/>
      <w:numFmt w:val="bullet"/>
      <w:lvlText w:val="o"/>
      <w:lvlJc w:val="left"/>
      <w:pPr>
        <w:tabs>
          <w:tab w:val="num" w:pos="3600"/>
        </w:tabs>
        <w:ind w:left="3600" w:hanging="360"/>
      </w:pPr>
      <w:rPr>
        <w:rFonts w:ascii="Courier New" w:hAnsi="Courier New"/>
      </w:rPr>
    </w:lvl>
    <w:lvl w:ilvl="5" w:tplc="FDA08FE0">
      <w:start w:val="1"/>
      <w:numFmt w:val="bullet"/>
      <w:lvlText w:val=""/>
      <w:lvlJc w:val="left"/>
      <w:pPr>
        <w:tabs>
          <w:tab w:val="num" w:pos="4320"/>
        </w:tabs>
        <w:ind w:left="4320" w:hanging="360"/>
      </w:pPr>
      <w:rPr>
        <w:rFonts w:ascii="Wingdings" w:hAnsi="Wingdings"/>
      </w:rPr>
    </w:lvl>
    <w:lvl w:ilvl="6" w:tplc="F57C501A">
      <w:start w:val="1"/>
      <w:numFmt w:val="bullet"/>
      <w:lvlText w:val=""/>
      <w:lvlJc w:val="left"/>
      <w:pPr>
        <w:tabs>
          <w:tab w:val="num" w:pos="5040"/>
        </w:tabs>
        <w:ind w:left="5040" w:hanging="360"/>
      </w:pPr>
      <w:rPr>
        <w:rFonts w:ascii="Symbol" w:hAnsi="Symbol"/>
      </w:rPr>
    </w:lvl>
    <w:lvl w:ilvl="7" w:tplc="87BE0EC8">
      <w:start w:val="1"/>
      <w:numFmt w:val="bullet"/>
      <w:lvlText w:val="o"/>
      <w:lvlJc w:val="left"/>
      <w:pPr>
        <w:tabs>
          <w:tab w:val="num" w:pos="5760"/>
        </w:tabs>
        <w:ind w:left="5760" w:hanging="360"/>
      </w:pPr>
      <w:rPr>
        <w:rFonts w:ascii="Courier New" w:hAnsi="Courier New"/>
      </w:rPr>
    </w:lvl>
    <w:lvl w:ilvl="8" w:tplc="7D5A4840">
      <w:start w:val="1"/>
      <w:numFmt w:val="bullet"/>
      <w:lvlText w:val=""/>
      <w:lvlJc w:val="left"/>
      <w:pPr>
        <w:tabs>
          <w:tab w:val="num" w:pos="6480"/>
        </w:tabs>
        <w:ind w:left="6480" w:hanging="360"/>
      </w:pPr>
      <w:rPr>
        <w:rFonts w:ascii="Wingdings" w:hAnsi="Wingdings"/>
      </w:rPr>
    </w:lvl>
  </w:abstractNum>
  <w:abstractNum w:abstractNumId="262" w15:restartNumberingAfterBreak="0">
    <w:nsid w:val="7DF628BB"/>
    <w:multiLevelType w:val="hybridMultilevel"/>
    <w:tmpl w:val="7DF628BB"/>
    <w:lvl w:ilvl="0" w:tplc="8018A6AC">
      <w:start w:val="1"/>
      <w:numFmt w:val="bullet"/>
      <w:lvlText w:val=""/>
      <w:lvlJc w:val="left"/>
      <w:pPr>
        <w:tabs>
          <w:tab w:val="num" w:pos="720"/>
        </w:tabs>
        <w:ind w:left="720" w:hanging="360"/>
      </w:pPr>
      <w:rPr>
        <w:rFonts w:ascii="Symbol" w:hAnsi="Symbol"/>
      </w:rPr>
    </w:lvl>
    <w:lvl w:ilvl="1" w:tplc="B5502F34">
      <w:start w:val="1"/>
      <w:numFmt w:val="bullet"/>
      <w:lvlText w:val="o"/>
      <w:lvlJc w:val="left"/>
      <w:pPr>
        <w:tabs>
          <w:tab w:val="num" w:pos="1440"/>
        </w:tabs>
        <w:ind w:left="1440" w:hanging="360"/>
      </w:pPr>
      <w:rPr>
        <w:rFonts w:ascii="Courier New" w:hAnsi="Courier New"/>
      </w:rPr>
    </w:lvl>
    <w:lvl w:ilvl="2" w:tplc="5DD89590">
      <w:start w:val="1"/>
      <w:numFmt w:val="bullet"/>
      <w:lvlText w:val=""/>
      <w:lvlJc w:val="left"/>
      <w:pPr>
        <w:tabs>
          <w:tab w:val="num" w:pos="2160"/>
        </w:tabs>
        <w:ind w:left="2160" w:hanging="360"/>
      </w:pPr>
      <w:rPr>
        <w:rFonts w:ascii="Wingdings" w:hAnsi="Wingdings"/>
      </w:rPr>
    </w:lvl>
    <w:lvl w:ilvl="3" w:tplc="26726280">
      <w:start w:val="1"/>
      <w:numFmt w:val="bullet"/>
      <w:lvlText w:val=""/>
      <w:lvlJc w:val="left"/>
      <w:pPr>
        <w:tabs>
          <w:tab w:val="num" w:pos="2880"/>
        </w:tabs>
        <w:ind w:left="2880" w:hanging="360"/>
      </w:pPr>
      <w:rPr>
        <w:rFonts w:ascii="Symbol" w:hAnsi="Symbol"/>
      </w:rPr>
    </w:lvl>
    <w:lvl w:ilvl="4" w:tplc="6632F4D4">
      <w:start w:val="1"/>
      <w:numFmt w:val="bullet"/>
      <w:lvlText w:val="o"/>
      <w:lvlJc w:val="left"/>
      <w:pPr>
        <w:tabs>
          <w:tab w:val="num" w:pos="3600"/>
        </w:tabs>
        <w:ind w:left="3600" w:hanging="360"/>
      </w:pPr>
      <w:rPr>
        <w:rFonts w:ascii="Courier New" w:hAnsi="Courier New"/>
      </w:rPr>
    </w:lvl>
    <w:lvl w:ilvl="5" w:tplc="144C1430">
      <w:start w:val="1"/>
      <w:numFmt w:val="bullet"/>
      <w:lvlText w:val=""/>
      <w:lvlJc w:val="left"/>
      <w:pPr>
        <w:tabs>
          <w:tab w:val="num" w:pos="4320"/>
        </w:tabs>
        <w:ind w:left="4320" w:hanging="360"/>
      </w:pPr>
      <w:rPr>
        <w:rFonts w:ascii="Wingdings" w:hAnsi="Wingdings"/>
      </w:rPr>
    </w:lvl>
    <w:lvl w:ilvl="6" w:tplc="E000E7FA">
      <w:start w:val="1"/>
      <w:numFmt w:val="bullet"/>
      <w:lvlText w:val=""/>
      <w:lvlJc w:val="left"/>
      <w:pPr>
        <w:tabs>
          <w:tab w:val="num" w:pos="5040"/>
        </w:tabs>
        <w:ind w:left="5040" w:hanging="360"/>
      </w:pPr>
      <w:rPr>
        <w:rFonts w:ascii="Symbol" w:hAnsi="Symbol"/>
      </w:rPr>
    </w:lvl>
    <w:lvl w:ilvl="7" w:tplc="FE84C0A8">
      <w:start w:val="1"/>
      <w:numFmt w:val="bullet"/>
      <w:lvlText w:val="o"/>
      <w:lvlJc w:val="left"/>
      <w:pPr>
        <w:tabs>
          <w:tab w:val="num" w:pos="5760"/>
        </w:tabs>
        <w:ind w:left="5760" w:hanging="360"/>
      </w:pPr>
      <w:rPr>
        <w:rFonts w:ascii="Courier New" w:hAnsi="Courier New"/>
      </w:rPr>
    </w:lvl>
    <w:lvl w:ilvl="8" w:tplc="8610A8E8">
      <w:start w:val="1"/>
      <w:numFmt w:val="bullet"/>
      <w:lvlText w:val=""/>
      <w:lvlJc w:val="left"/>
      <w:pPr>
        <w:tabs>
          <w:tab w:val="num" w:pos="6480"/>
        </w:tabs>
        <w:ind w:left="6480" w:hanging="360"/>
      </w:pPr>
      <w:rPr>
        <w:rFonts w:ascii="Wingdings" w:hAnsi="Wingdings"/>
      </w:rPr>
    </w:lvl>
  </w:abstractNum>
  <w:abstractNum w:abstractNumId="263" w15:restartNumberingAfterBreak="0">
    <w:nsid w:val="7DF628BC"/>
    <w:multiLevelType w:val="hybridMultilevel"/>
    <w:tmpl w:val="7DF628BC"/>
    <w:lvl w:ilvl="0" w:tplc="8CEE32F6">
      <w:start w:val="1"/>
      <w:numFmt w:val="bullet"/>
      <w:lvlText w:val=""/>
      <w:lvlJc w:val="left"/>
      <w:pPr>
        <w:tabs>
          <w:tab w:val="num" w:pos="720"/>
        </w:tabs>
        <w:ind w:left="720" w:hanging="360"/>
      </w:pPr>
      <w:rPr>
        <w:rFonts w:ascii="Symbol" w:hAnsi="Symbol"/>
      </w:rPr>
    </w:lvl>
    <w:lvl w:ilvl="1" w:tplc="88244450">
      <w:start w:val="1"/>
      <w:numFmt w:val="bullet"/>
      <w:lvlText w:val="o"/>
      <w:lvlJc w:val="left"/>
      <w:pPr>
        <w:tabs>
          <w:tab w:val="num" w:pos="1440"/>
        </w:tabs>
        <w:ind w:left="1440" w:hanging="360"/>
      </w:pPr>
      <w:rPr>
        <w:rFonts w:ascii="Courier New" w:hAnsi="Courier New"/>
      </w:rPr>
    </w:lvl>
    <w:lvl w:ilvl="2" w:tplc="14008240">
      <w:start w:val="1"/>
      <w:numFmt w:val="bullet"/>
      <w:lvlText w:val=""/>
      <w:lvlJc w:val="left"/>
      <w:pPr>
        <w:tabs>
          <w:tab w:val="num" w:pos="2160"/>
        </w:tabs>
        <w:ind w:left="2160" w:hanging="360"/>
      </w:pPr>
      <w:rPr>
        <w:rFonts w:ascii="Wingdings" w:hAnsi="Wingdings"/>
      </w:rPr>
    </w:lvl>
    <w:lvl w:ilvl="3" w:tplc="62D2A5C0">
      <w:start w:val="1"/>
      <w:numFmt w:val="bullet"/>
      <w:lvlText w:val=""/>
      <w:lvlJc w:val="left"/>
      <w:pPr>
        <w:tabs>
          <w:tab w:val="num" w:pos="2880"/>
        </w:tabs>
        <w:ind w:left="2880" w:hanging="360"/>
      </w:pPr>
      <w:rPr>
        <w:rFonts w:ascii="Symbol" w:hAnsi="Symbol"/>
      </w:rPr>
    </w:lvl>
    <w:lvl w:ilvl="4" w:tplc="647C6464">
      <w:start w:val="1"/>
      <w:numFmt w:val="bullet"/>
      <w:lvlText w:val="o"/>
      <w:lvlJc w:val="left"/>
      <w:pPr>
        <w:tabs>
          <w:tab w:val="num" w:pos="3600"/>
        </w:tabs>
        <w:ind w:left="3600" w:hanging="360"/>
      </w:pPr>
      <w:rPr>
        <w:rFonts w:ascii="Courier New" w:hAnsi="Courier New"/>
      </w:rPr>
    </w:lvl>
    <w:lvl w:ilvl="5" w:tplc="B770E454">
      <w:start w:val="1"/>
      <w:numFmt w:val="bullet"/>
      <w:lvlText w:val=""/>
      <w:lvlJc w:val="left"/>
      <w:pPr>
        <w:tabs>
          <w:tab w:val="num" w:pos="4320"/>
        </w:tabs>
        <w:ind w:left="4320" w:hanging="360"/>
      </w:pPr>
      <w:rPr>
        <w:rFonts w:ascii="Wingdings" w:hAnsi="Wingdings"/>
      </w:rPr>
    </w:lvl>
    <w:lvl w:ilvl="6" w:tplc="1756A7AA">
      <w:start w:val="1"/>
      <w:numFmt w:val="bullet"/>
      <w:lvlText w:val=""/>
      <w:lvlJc w:val="left"/>
      <w:pPr>
        <w:tabs>
          <w:tab w:val="num" w:pos="5040"/>
        </w:tabs>
        <w:ind w:left="5040" w:hanging="360"/>
      </w:pPr>
      <w:rPr>
        <w:rFonts w:ascii="Symbol" w:hAnsi="Symbol"/>
      </w:rPr>
    </w:lvl>
    <w:lvl w:ilvl="7" w:tplc="CCAEEABA">
      <w:start w:val="1"/>
      <w:numFmt w:val="bullet"/>
      <w:lvlText w:val="o"/>
      <w:lvlJc w:val="left"/>
      <w:pPr>
        <w:tabs>
          <w:tab w:val="num" w:pos="5760"/>
        </w:tabs>
        <w:ind w:left="5760" w:hanging="360"/>
      </w:pPr>
      <w:rPr>
        <w:rFonts w:ascii="Courier New" w:hAnsi="Courier New"/>
      </w:rPr>
    </w:lvl>
    <w:lvl w:ilvl="8" w:tplc="6162533C">
      <w:start w:val="1"/>
      <w:numFmt w:val="bullet"/>
      <w:lvlText w:val=""/>
      <w:lvlJc w:val="left"/>
      <w:pPr>
        <w:tabs>
          <w:tab w:val="num" w:pos="6480"/>
        </w:tabs>
        <w:ind w:left="6480" w:hanging="360"/>
      </w:pPr>
      <w:rPr>
        <w:rFonts w:ascii="Wingdings" w:hAnsi="Wingdings"/>
      </w:rPr>
    </w:lvl>
  </w:abstractNum>
  <w:abstractNum w:abstractNumId="264" w15:restartNumberingAfterBreak="0">
    <w:nsid w:val="7DF628BD"/>
    <w:multiLevelType w:val="hybridMultilevel"/>
    <w:tmpl w:val="7DF628BD"/>
    <w:lvl w:ilvl="0" w:tplc="A34E599C">
      <w:start w:val="1"/>
      <w:numFmt w:val="bullet"/>
      <w:lvlText w:val=""/>
      <w:lvlJc w:val="left"/>
      <w:pPr>
        <w:tabs>
          <w:tab w:val="num" w:pos="720"/>
        </w:tabs>
        <w:ind w:left="720" w:hanging="360"/>
      </w:pPr>
      <w:rPr>
        <w:rFonts w:ascii="Symbol" w:hAnsi="Symbol"/>
      </w:rPr>
    </w:lvl>
    <w:lvl w:ilvl="1" w:tplc="103651AC">
      <w:start w:val="1"/>
      <w:numFmt w:val="bullet"/>
      <w:lvlText w:val="o"/>
      <w:lvlJc w:val="left"/>
      <w:pPr>
        <w:tabs>
          <w:tab w:val="num" w:pos="1440"/>
        </w:tabs>
        <w:ind w:left="1440" w:hanging="360"/>
      </w:pPr>
      <w:rPr>
        <w:rFonts w:ascii="Courier New" w:hAnsi="Courier New"/>
      </w:rPr>
    </w:lvl>
    <w:lvl w:ilvl="2" w:tplc="9202E008">
      <w:start w:val="1"/>
      <w:numFmt w:val="bullet"/>
      <w:lvlText w:val=""/>
      <w:lvlJc w:val="left"/>
      <w:pPr>
        <w:tabs>
          <w:tab w:val="num" w:pos="2160"/>
        </w:tabs>
        <w:ind w:left="2160" w:hanging="360"/>
      </w:pPr>
      <w:rPr>
        <w:rFonts w:ascii="Wingdings" w:hAnsi="Wingdings"/>
      </w:rPr>
    </w:lvl>
    <w:lvl w:ilvl="3" w:tplc="2DFEC50A">
      <w:start w:val="1"/>
      <w:numFmt w:val="bullet"/>
      <w:lvlText w:val=""/>
      <w:lvlJc w:val="left"/>
      <w:pPr>
        <w:tabs>
          <w:tab w:val="num" w:pos="2880"/>
        </w:tabs>
        <w:ind w:left="2880" w:hanging="360"/>
      </w:pPr>
      <w:rPr>
        <w:rFonts w:ascii="Symbol" w:hAnsi="Symbol"/>
      </w:rPr>
    </w:lvl>
    <w:lvl w:ilvl="4" w:tplc="A0EC0532">
      <w:start w:val="1"/>
      <w:numFmt w:val="bullet"/>
      <w:lvlText w:val="o"/>
      <w:lvlJc w:val="left"/>
      <w:pPr>
        <w:tabs>
          <w:tab w:val="num" w:pos="3600"/>
        </w:tabs>
        <w:ind w:left="3600" w:hanging="360"/>
      </w:pPr>
      <w:rPr>
        <w:rFonts w:ascii="Courier New" w:hAnsi="Courier New"/>
      </w:rPr>
    </w:lvl>
    <w:lvl w:ilvl="5" w:tplc="D354EDB4">
      <w:start w:val="1"/>
      <w:numFmt w:val="bullet"/>
      <w:lvlText w:val=""/>
      <w:lvlJc w:val="left"/>
      <w:pPr>
        <w:tabs>
          <w:tab w:val="num" w:pos="4320"/>
        </w:tabs>
        <w:ind w:left="4320" w:hanging="360"/>
      </w:pPr>
      <w:rPr>
        <w:rFonts w:ascii="Wingdings" w:hAnsi="Wingdings"/>
      </w:rPr>
    </w:lvl>
    <w:lvl w:ilvl="6" w:tplc="C2F232DE">
      <w:start w:val="1"/>
      <w:numFmt w:val="bullet"/>
      <w:lvlText w:val=""/>
      <w:lvlJc w:val="left"/>
      <w:pPr>
        <w:tabs>
          <w:tab w:val="num" w:pos="5040"/>
        </w:tabs>
        <w:ind w:left="5040" w:hanging="360"/>
      </w:pPr>
      <w:rPr>
        <w:rFonts w:ascii="Symbol" w:hAnsi="Symbol"/>
      </w:rPr>
    </w:lvl>
    <w:lvl w:ilvl="7" w:tplc="B3FC6B1C">
      <w:start w:val="1"/>
      <w:numFmt w:val="bullet"/>
      <w:lvlText w:val="o"/>
      <w:lvlJc w:val="left"/>
      <w:pPr>
        <w:tabs>
          <w:tab w:val="num" w:pos="5760"/>
        </w:tabs>
        <w:ind w:left="5760" w:hanging="360"/>
      </w:pPr>
      <w:rPr>
        <w:rFonts w:ascii="Courier New" w:hAnsi="Courier New"/>
      </w:rPr>
    </w:lvl>
    <w:lvl w:ilvl="8" w:tplc="8C787A7A">
      <w:start w:val="1"/>
      <w:numFmt w:val="bullet"/>
      <w:lvlText w:val=""/>
      <w:lvlJc w:val="left"/>
      <w:pPr>
        <w:tabs>
          <w:tab w:val="num" w:pos="6480"/>
        </w:tabs>
        <w:ind w:left="6480" w:hanging="360"/>
      </w:pPr>
      <w:rPr>
        <w:rFonts w:ascii="Wingdings" w:hAnsi="Wingdings"/>
      </w:rPr>
    </w:lvl>
  </w:abstractNum>
  <w:abstractNum w:abstractNumId="265" w15:restartNumberingAfterBreak="0">
    <w:nsid w:val="7DF628BE"/>
    <w:multiLevelType w:val="multilevel"/>
    <w:tmpl w:val="7DF628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6" w15:restartNumberingAfterBreak="0">
    <w:nsid w:val="7DF628BF"/>
    <w:multiLevelType w:val="multilevel"/>
    <w:tmpl w:val="7DF628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15:restartNumberingAfterBreak="0">
    <w:nsid w:val="7DF628C0"/>
    <w:multiLevelType w:val="multilevel"/>
    <w:tmpl w:val="7DF628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15:restartNumberingAfterBreak="0">
    <w:nsid w:val="7DF628C1"/>
    <w:multiLevelType w:val="multilevel"/>
    <w:tmpl w:val="7DF628C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7DF628C2"/>
    <w:multiLevelType w:val="hybridMultilevel"/>
    <w:tmpl w:val="7DF628C2"/>
    <w:lvl w:ilvl="0" w:tplc="E4068094">
      <w:start w:val="1"/>
      <w:numFmt w:val="bullet"/>
      <w:lvlText w:val=""/>
      <w:lvlJc w:val="left"/>
      <w:pPr>
        <w:tabs>
          <w:tab w:val="num" w:pos="720"/>
        </w:tabs>
        <w:ind w:left="720" w:hanging="360"/>
      </w:pPr>
      <w:rPr>
        <w:rFonts w:ascii="Symbol" w:hAnsi="Symbol"/>
      </w:rPr>
    </w:lvl>
    <w:lvl w:ilvl="1" w:tplc="38380BEC">
      <w:start w:val="1"/>
      <w:numFmt w:val="bullet"/>
      <w:lvlText w:val="o"/>
      <w:lvlJc w:val="left"/>
      <w:pPr>
        <w:tabs>
          <w:tab w:val="num" w:pos="1440"/>
        </w:tabs>
        <w:ind w:left="1440" w:hanging="360"/>
      </w:pPr>
      <w:rPr>
        <w:rFonts w:ascii="Courier New" w:hAnsi="Courier New"/>
      </w:rPr>
    </w:lvl>
    <w:lvl w:ilvl="2" w:tplc="C9EE6DF0">
      <w:start w:val="1"/>
      <w:numFmt w:val="bullet"/>
      <w:lvlText w:val=""/>
      <w:lvlJc w:val="left"/>
      <w:pPr>
        <w:tabs>
          <w:tab w:val="num" w:pos="2160"/>
        </w:tabs>
        <w:ind w:left="2160" w:hanging="360"/>
      </w:pPr>
      <w:rPr>
        <w:rFonts w:ascii="Wingdings" w:hAnsi="Wingdings"/>
      </w:rPr>
    </w:lvl>
    <w:lvl w:ilvl="3" w:tplc="05A8746C">
      <w:start w:val="1"/>
      <w:numFmt w:val="bullet"/>
      <w:lvlText w:val=""/>
      <w:lvlJc w:val="left"/>
      <w:pPr>
        <w:tabs>
          <w:tab w:val="num" w:pos="2880"/>
        </w:tabs>
        <w:ind w:left="2880" w:hanging="360"/>
      </w:pPr>
      <w:rPr>
        <w:rFonts w:ascii="Symbol" w:hAnsi="Symbol"/>
      </w:rPr>
    </w:lvl>
    <w:lvl w:ilvl="4" w:tplc="F252D61C">
      <w:start w:val="1"/>
      <w:numFmt w:val="bullet"/>
      <w:lvlText w:val="o"/>
      <w:lvlJc w:val="left"/>
      <w:pPr>
        <w:tabs>
          <w:tab w:val="num" w:pos="3600"/>
        </w:tabs>
        <w:ind w:left="3600" w:hanging="360"/>
      </w:pPr>
      <w:rPr>
        <w:rFonts w:ascii="Courier New" w:hAnsi="Courier New"/>
      </w:rPr>
    </w:lvl>
    <w:lvl w:ilvl="5" w:tplc="66F641C0">
      <w:start w:val="1"/>
      <w:numFmt w:val="bullet"/>
      <w:lvlText w:val=""/>
      <w:lvlJc w:val="left"/>
      <w:pPr>
        <w:tabs>
          <w:tab w:val="num" w:pos="4320"/>
        </w:tabs>
        <w:ind w:left="4320" w:hanging="360"/>
      </w:pPr>
      <w:rPr>
        <w:rFonts w:ascii="Wingdings" w:hAnsi="Wingdings"/>
      </w:rPr>
    </w:lvl>
    <w:lvl w:ilvl="6" w:tplc="DD906078">
      <w:start w:val="1"/>
      <w:numFmt w:val="bullet"/>
      <w:lvlText w:val=""/>
      <w:lvlJc w:val="left"/>
      <w:pPr>
        <w:tabs>
          <w:tab w:val="num" w:pos="5040"/>
        </w:tabs>
        <w:ind w:left="5040" w:hanging="360"/>
      </w:pPr>
      <w:rPr>
        <w:rFonts w:ascii="Symbol" w:hAnsi="Symbol"/>
      </w:rPr>
    </w:lvl>
    <w:lvl w:ilvl="7" w:tplc="680CFE88">
      <w:start w:val="1"/>
      <w:numFmt w:val="bullet"/>
      <w:lvlText w:val="o"/>
      <w:lvlJc w:val="left"/>
      <w:pPr>
        <w:tabs>
          <w:tab w:val="num" w:pos="5760"/>
        </w:tabs>
        <w:ind w:left="5760" w:hanging="360"/>
      </w:pPr>
      <w:rPr>
        <w:rFonts w:ascii="Courier New" w:hAnsi="Courier New"/>
      </w:rPr>
    </w:lvl>
    <w:lvl w:ilvl="8" w:tplc="2B640934">
      <w:start w:val="1"/>
      <w:numFmt w:val="bullet"/>
      <w:lvlText w:val=""/>
      <w:lvlJc w:val="left"/>
      <w:pPr>
        <w:tabs>
          <w:tab w:val="num" w:pos="6480"/>
        </w:tabs>
        <w:ind w:left="6480" w:hanging="360"/>
      </w:pPr>
      <w:rPr>
        <w:rFonts w:ascii="Wingdings" w:hAnsi="Wingdings"/>
      </w:rPr>
    </w:lvl>
  </w:abstractNum>
  <w:abstractNum w:abstractNumId="270" w15:restartNumberingAfterBreak="0">
    <w:nsid w:val="7DF628C3"/>
    <w:multiLevelType w:val="hybridMultilevel"/>
    <w:tmpl w:val="7DF628C3"/>
    <w:lvl w:ilvl="0" w:tplc="0FA80880">
      <w:start w:val="1"/>
      <w:numFmt w:val="bullet"/>
      <w:lvlText w:val=""/>
      <w:lvlJc w:val="left"/>
      <w:pPr>
        <w:tabs>
          <w:tab w:val="num" w:pos="720"/>
        </w:tabs>
        <w:ind w:left="720" w:hanging="360"/>
      </w:pPr>
      <w:rPr>
        <w:rFonts w:ascii="Symbol" w:hAnsi="Symbol"/>
      </w:rPr>
    </w:lvl>
    <w:lvl w:ilvl="1" w:tplc="82FEB20A">
      <w:start w:val="1"/>
      <w:numFmt w:val="bullet"/>
      <w:lvlText w:val="o"/>
      <w:lvlJc w:val="left"/>
      <w:pPr>
        <w:tabs>
          <w:tab w:val="num" w:pos="1440"/>
        </w:tabs>
        <w:ind w:left="1440" w:hanging="360"/>
      </w:pPr>
      <w:rPr>
        <w:rFonts w:ascii="Courier New" w:hAnsi="Courier New"/>
      </w:rPr>
    </w:lvl>
    <w:lvl w:ilvl="2" w:tplc="D220B626">
      <w:start w:val="1"/>
      <w:numFmt w:val="bullet"/>
      <w:lvlText w:val=""/>
      <w:lvlJc w:val="left"/>
      <w:pPr>
        <w:tabs>
          <w:tab w:val="num" w:pos="2160"/>
        </w:tabs>
        <w:ind w:left="2160" w:hanging="360"/>
      </w:pPr>
      <w:rPr>
        <w:rFonts w:ascii="Wingdings" w:hAnsi="Wingdings"/>
      </w:rPr>
    </w:lvl>
    <w:lvl w:ilvl="3" w:tplc="6B32E5D0">
      <w:start w:val="1"/>
      <w:numFmt w:val="bullet"/>
      <w:lvlText w:val=""/>
      <w:lvlJc w:val="left"/>
      <w:pPr>
        <w:tabs>
          <w:tab w:val="num" w:pos="2880"/>
        </w:tabs>
        <w:ind w:left="2880" w:hanging="360"/>
      </w:pPr>
      <w:rPr>
        <w:rFonts w:ascii="Symbol" w:hAnsi="Symbol"/>
      </w:rPr>
    </w:lvl>
    <w:lvl w:ilvl="4" w:tplc="E72AF9EC">
      <w:start w:val="1"/>
      <w:numFmt w:val="bullet"/>
      <w:lvlText w:val="o"/>
      <w:lvlJc w:val="left"/>
      <w:pPr>
        <w:tabs>
          <w:tab w:val="num" w:pos="3600"/>
        </w:tabs>
        <w:ind w:left="3600" w:hanging="360"/>
      </w:pPr>
      <w:rPr>
        <w:rFonts w:ascii="Courier New" w:hAnsi="Courier New"/>
      </w:rPr>
    </w:lvl>
    <w:lvl w:ilvl="5" w:tplc="8A5EC78C">
      <w:start w:val="1"/>
      <w:numFmt w:val="bullet"/>
      <w:lvlText w:val=""/>
      <w:lvlJc w:val="left"/>
      <w:pPr>
        <w:tabs>
          <w:tab w:val="num" w:pos="4320"/>
        </w:tabs>
        <w:ind w:left="4320" w:hanging="360"/>
      </w:pPr>
      <w:rPr>
        <w:rFonts w:ascii="Wingdings" w:hAnsi="Wingdings"/>
      </w:rPr>
    </w:lvl>
    <w:lvl w:ilvl="6" w:tplc="F6DA9D08">
      <w:start w:val="1"/>
      <w:numFmt w:val="bullet"/>
      <w:lvlText w:val=""/>
      <w:lvlJc w:val="left"/>
      <w:pPr>
        <w:tabs>
          <w:tab w:val="num" w:pos="5040"/>
        </w:tabs>
        <w:ind w:left="5040" w:hanging="360"/>
      </w:pPr>
      <w:rPr>
        <w:rFonts w:ascii="Symbol" w:hAnsi="Symbol"/>
      </w:rPr>
    </w:lvl>
    <w:lvl w:ilvl="7" w:tplc="A976A02E">
      <w:start w:val="1"/>
      <w:numFmt w:val="bullet"/>
      <w:lvlText w:val="o"/>
      <w:lvlJc w:val="left"/>
      <w:pPr>
        <w:tabs>
          <w:tab w:val="num" w:pos="5760"/>
        </w:tabs>
        <w:ind w:left="5760" w:hanging="360"/>
      </w:pPr>
      <w:rPr>
        <w:rFonts w:ascii="Courier New" w:hAnsi="Courier New"/>
      </w:rPr>
    </w:lvl>
    <w:lvl w:ilvl="8" w:tplc="9F342D2E">
      <w:start w:val="1"/>
      <w:numFmt w:val="bullet"/>
      <w:lvlText w:val=""/>
      <w:lvlJc w:val="left"/>
      <w:pPr>
        <w:tabs>
          <w:tab w:val="num" w:pos="6480"/>
        </w:tabs>
        <w:ind w:left="6480" w:hanging="360"/>
      </w:pPr>
      <w:rPr>
        <w:rFonts w:ascii="Wingdings" w:hAnsi="Wingdings"/>
      </w:rPr>
    </w:lvl>
  </w:abstractNum>
  <w:abstractNum w:abstractNumId="271" w15:restartNumberingAfterBreak="0">
    <w:nsid w:val="7DF628C4"/>
    <w:multiLevelType w:val="multilevel"/>
    <w:tmpl w:val="7DF628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2" w15:restartNumberingAfterBreak="0">
    <w:nsid w:val="7DF628C5"/>
    <w:multiLevelType w:val="hybridMultilevel"/>
    <w:tmpl w:val="7DF628C5"/>
    <w:lvl w:ilvl="0" w:tplc="2D12965E">
      <w:start w:val="1"/>
      <w:numFmt w:val="bullet"/>
      <w:lvlText w:val=""/>
      <w:lvlJc w:val="left"/>
      <w:pPr>
        <w:tabs>
          <w:tab w:val="num" w:pos="720"/>
        </w:tabs>
        <w:ind w:left="720" w:hanging="360"/>
      </w:pPr>
      <w:rPr>
        <w:rFonts w:ascii="Symbol" w:hAnsi="Symbol"/>
      </w:rPr>
    </w:lvl>
    <w:lvl w:ilvl="1" w:tplc="FEB87972">
      <w:start w:val="1"/>
      <w:numFmt w:val="bullet"/>
      <w:lvlText w:val="o"/>
      <w:lvlJc w:val="left"/>
      <w:pPr>
        <w:tabs>
          <w:tab w:val="num" w:pos="1440"/>
        </w:tabs>
        <w:ind w:left="1440" w:hanging="360"/>
      </w:pPr>
      <w:rPr>
        <w:rFonts w:ascii="Courier New" w:hAnsi="Courier New"/>
      </w:rPr>
    </w:lvl>
    <w:lvl w:ilvl="2" w:tplc="880CD2E0">
      <w:start w:val="1"/>
      <w:numFmt w:val="bullet"/>
      <w:lvlText w:val=""/>
      <w:lvlJc w:val="left"/>
      <w:pPr>
        <w:tabs>
          <w:tab w:val="num" w:pos="2160"/>
        </w:tabs>
        <w:ind w:left="2160" w:hanging="360"/>
      </w:pPr>
      <w:rPr>
        <w:rFonts w:ascii="Wingdings" w:hAnsi="Wingdings"/>
      </w:rPr>
    </w:lvl>
    <w:lvl w:ilvl="3" w:tplc="62188EF0">
      <w:start w:val="1"/>
      <w:numFmt w:val="bullet"/>
      <w:lvlText w:val=""/>
      <w:lvlJc w:val="left"/>
      <w:pPr>
        <w:tabs>
          <w:tab w:val="num" w:pos="2880"/>
        </w:tabs>
        <w:ind w:left="2880" w:hanging="360"/>
      </w:pPr>
      <w:rPr>
        <w:rFonts w:ascii="Symbol" w:hAnsi="Symbol"/>
      </w:rPr>
    </w:lvl>
    <w:lvl w:ilvl="4" w:tplc="0CEAB27C">
      <w:start w:val="1"/>
      <w:numFmt w:val="bullet"/>
      <w:lvlText w:val="o"/>
      <w:lvlJc w:val="left"/>
      <w:pPr>
        <w:tabs>
          <w:tab w:val="num" w:pos="3600"/>
        </w:tabs>
        <w:ind w:left="3600" w:hanging="360"/>
      </w:pPr>
      <w:rPr>
        <w:rFonts w:ascii="Courier New" w:hAnsi="Courier New"/>
      </w:rPr>
    </w:lvl>
    <w:lvl w:ilvl="5" w:tplc="C0DE9C9C">
      <w:start w:val="1"/>
      <w:numFmt w:val="bullet"/>
      <w:lvlText w:val=""/>
      <w:lvlJc w:val="left"/>
      <w:pPr>
        <w:tabs>
          <w:tab w:val="num" w:pos="4320"/>
        </w:tabs>
        <w:ind w:left="4320" w:hanging="360"/>
      </w:pPr>
      <w:rPr>
        <w:rFonts w:ascii="Wingdings" w:hAnsi="Wingdings"/>
      </w:rPr>
    </w:lvl>
    <w:lvl w:ilvl="6" w:tplc="A7A2937A">
      <w:start w:val="1"/>
      <w:numFmt w:val="bullet"/>
      <w:lvlText w:val=""/>
      <w:lvlJc w:val="left"/>
      <w:pPr>
        <w:tabs>
          <w:tab w:val="num" w:pos="5040"/>
        </w:tabs>
        <w:ind w:left="5040" w:hanging="360"/>
      </w:pPr>
      <w:rPr>
        <w:rFonts w:ascii="Symbol" w:hAnsi="Symbol"/>
      </w:rPr>
    </w:lvl>
    <w:lvl w:ilvl="7" w:tplc="130869F6">
      <w:start w:val="1"/>
      <w:numFmt w:val="bullet"/>
      <w:lvlText w:val="o"/>
      <w:lvlJc w:val="left"/>
      <w:pPr>
        <w:tabs>
          <w:tab w:val="num" w:pos="5760"/>
        </w:tabs>
        <w:ind w:left="5760" w:hanging="360"/>
      </w:pPr>
      <w:rPr>
        <w:rFonts w:ascii="Courier New" w:hAnsi="Courier New"/>
      </w:rPr>
    </w:lvl>
    <w:lvl w:ilvl="8" w:tplc="5890E97C">
      <w:start w:val="1"/>
      <w:numFmt w:val="bullet"/>
      <w:lvlText w:val=""/>
      <w:lvlJc w:val="left"/>
      <w:pPr>
        <w:tabs>
          <w:tab w:val="num" w:pos="6480"/>
        </w:tabs>
        <w:ind w:left="6480" w:hanging="360"/>
      </w:pPr>
      <w:rPr>
        <w:rFonts w:ascii="Wingdings" w:hAnsi="Wingdings"/>
      </w:rPr>
    </w:lvl>
  </w:abstractNum>
  <w:abstractNum w:abstractNumId="273" w15:restartNumberingAfterBreak="0">
    <w:nsid w:val="7DF628C6"/>
    <w:multiLevelType w:val="multilevel"/>
    <w:tmpl w:val="7DF628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7DF628C7"/>
    <w:multiLevelType w:val="multilevel"/>
    <w:tmpl w:val="7DF628C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5" w15:restartNumberingAfterBreak="0">
    <w:nsid w:val="7DF628C8"/>
    <w:multiLevelType w:val="hybridMultilevel"/>
    <w:tmpl w:val="7DF628C8"/>
    <w:lvl w:ilvl="0" w:tplc="A75AB118">
      <w:start w:val="1"/>
      <w:numFmt w:val="bullet"/>
      <w:lvlText w:val=""/>
      <w:lvlJc w:val="left"/>
      <w:pPr>
        <w:tabs>
          <w:tab w:val="num" w:pos="720"/>
        </w:tabs>
        <w:ind w:left="720" w:hanging="360"/>
      </w:pPr>
      <w:rPr>
        <w:rFonts w:ascii="Symbol" w:hAnsi="Symbol"/>
      </w:rPr>
    </w:lvl>
    <w:lvl w:ilvl="1" w:tplc="962CB946">
      <w:start w:val="1"/>
      <w:numFmt w:val="bullet"/>
      <w:lvlText w:val="o"/>
      <w:lvlJc w:val="left"/>
      <w:pPr>
        <w:tabs>
          <w:tab w:val="num" w:pos="1440"/>
        </w:tabs>
        <w:ind w:left="1440" w:hanging="360"/>
      </w:pPr>
      <w:rPr>
        <w:rFonts w:ascii="Courier New" w:hAnsi="Courier New"/>
      </w:rPr>
    </w:lvl>
    <w:lvl w:ilvl="2" w:tplc="62CE0D0A">
      <w:start w:val="1"/>
      <w:numFmt w:val="bullet"/>
      <w:lvlText w:val=""/>
      <w:lvlJc w:val="left"/>
      <w:pPr>
        <w:tabs>
          <w:tab w:val="num" w:pos="2160"/>
        </w:tabs>
        <w:ind w:left="2160" w:hanging="360"/>
      </w:pPr>
      <w:rPr>
        <w:rFonts w:ascii="Wingdings" w:hAnsi="Wingdings"/>
      </w:rPr>
    </w:lvl>
    <w:lvl w:ilvl="3" w:tplc="B7189642">
      <w:start w:val="1"/>
      <w:numFmt w:val="bullet"/>
      <w:lvlText w:val=""/>
      <w:lvlJc w:val="left"/>
      <w:pPr>
        <w:tabs>
          <w:tab w:val="num" w:pos="2880"/>
        </w:tabs>
        <w:ind w:left="2880" w:hanging="360"/>
      </w:pPr>
      <w:rPr>
        <w:rFonts w:ascii="Symbol" w:hAnsi="Symbol"/>
      </w:rPr>
    </w:lvl>
    <w:lvl w:ilvl="4" w:tplc="0936AA16">
      <w:start w:val="1"/>
      <w:numFmt w:val="bullet"/>
      <w:lvlText w:val="o"/>
      <w:lvlJc w:val="left"/>
      <w:pPr>
        <w:tabs>
          <w:tab w:val="num" w:pos="3600"/>
        </w:tabs>
        <w:ind w:left="3600" w:hanging="360"/>
      </w:pPr>
      <w:rPr>
        <w:rFonts w:ascii="Courier New" w:hAnsi="Courier New"/>
      </w:rPr>
    </w:lvl>
    <w:lvl w:ilvl="5" w:tplc="B3401098">
      <w:start w:val="1"/>
      <w:numFmt w:val="bullet"/>
      <w:lvlText w:val=""/>
      <w:lvlJc w:val="left"/>
      <w:pPr>
        <w:tabs>
          <w:tab w:val="num" w:pos="4320"/>
        </w:tabs>
        <w:ind w:left="4320" w:hanging="360"/>
      </w:pPr>
      <w:rPr>
        <w:rFonts w:ascii="Wingdings" w:hAnsi="Wingdings"/>
      </w:rPr>
    </w:lvl>
    <w:lvl w:ilvl="6" w:tplc="1D96626E">
      <w:start w:val="1"/>
      <w:numFmt w:val="bullet"/>
      <w:lvlText w:val=""/>
      <w:lvlJc w:val="left"/>
      <w:pPr>
        <w:tabs>
          <w:tab w:val="num" w:pos="5040"/>
        </w:tabs>
        <w:ind w:left="5040" w:hanging="360"/>
      </w:pPr>
      <w:rPr>
        <w:rFonts w:ascii="Symbol" w:hAnsi="Symbol"/>
      </w:rPr>
    </w:lvl>
    <w:lvl w:ilvl="7" w:tplc="8AD6BA40">
      <w:start w:val="1"/>
      <w:numFmt w:val="bullet"/>
      <w:lvlText w:val="o"/>
      <w:lvlJc w:val="left"/>
      <w:pPr>
        <w:tabs>
          <w:tab w:val="num" w:pos="5760"/>
        </w:tabs>
        <w:ind w:left="5760" w:hanging="360"/>
      </w:pPr>
      <w:rPr>
        <w:rFonts w:ascii="Courier New" w:hAnsi="Courier New"/>
      </w:rPr>
    </w:lvl>
    <w:lvl w:ilvl="8" w:tplc="BA001530">
      <w:start w:val="1"/>
      <w:numFmt w:val="bullet"/>
      <w:lvlText w:val=""/>
      <w:lvlJc w:val="left"/>
      <w:pPr>
        <w:tabs>
          <w:tab w:val="num" w:pos="6480"/>
        </w:tabs>
        <w:ind w:left="6480" w:hanging="360"/>
      </w:pPr>
      <w:rPr>
        <w:rFonts w:ascii="Wingdings" w:hAnsi="Wingdings"/>
      </w:rPr>
    </w:lvl>
  </w:abstractNum>
  <w:abstractNum w:abstractNumId="276" w15:restartNumberingAfterBreak="0">
    <w:nsid w:val="7DF628C9"/>
    <w:multiLevelType w:val="multilevel"/>
    <w:tmpl w:val="7DF628C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7" w15:restartNumberingAfterBreak="0">
    <w:nsid w:val="7DF628CA"/>
    <w:multiLevelType w:val="multilevel"/>
    <w:tmpl w:val="7DF628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8" w15:restartNumberingAfterBreak="0">
    <w:nsid w:val="7DF628CB"/>
    <w:multiLevelType w:val="hybridMultilevel"/>
    <w:tmpl w:val="7DF628CB"/>
    <w:lvl w:ilvl="0" w:tplc="D2BAD508">
      <w:start w:val="1"/>
      <w:numFmt w:val="bullet"/>
      <w:lvlText w:val=""/>
      <w:lvlJc w:val="left"/>
      <w:pPr>
        <w:tabs>
          <w:tab w:val="num" w:pos="720"/>
        </w:tabs>
        <w:ind w:left="720" w:hanging="360"/>
      </w:pPr>
      <w:rPr>
        <w:rFonts w:ascii="Symbol" w:hAnsi="Symbol"/>
      </w:rPr>
    </w:lvl>
    <w:lvl w:ilvl="1" w:tplc="51A6B606">
      <w:start w:val="1"/>
      <w:numFmt w:val="bullet"/>
      <w:lvlText w:val="o"/>
      <w:lvlJc w:val="left"/>
      <w:pPr>
        <w:tabs>
          <w:tab w:val="num" w:pos="1440"/>
        </w:tabs>
        <w:ind w:left="1440" w:hanging="360"/>
      </w:pPr>
      <w:rPr>
        <w:rFonts w:ascii="Courier New" w:hAnsi="Courier New"/>
      </w:rPr>
    </w:lvl>
    <w:lvl w:ilvl="2" w:tplc="A342B316">
      <w:start w:val="1"/>
      <w:numFmt w:val="bullet"/>
      <w:lvlText w:val=""/>
      <w:lvlJc w:val="left"/>
      <w:pPr>
        <w:tabs>
          <w:tab w:val="num" w:pos="2160"/>
        </w:tabs>
        <w:ind w:left="2160" w:hanging="360"/>
      </w:pPr>
      <w:rPr>
        <w:rFonts w:ascii="Wingdings" w:hAnsi="Wingdings"/>
      </w:rPr>
    </w:lvl>
    <w:lvl w:ilvl="3" w:tplc="029C8BB0">
      <w:start w:val="1"/>
      <w:numFmt w:val="bullet"/>
      <w:lvlText w:val=""/>
      <w:lvlJc w:val="left"/>
      <w:pPr>
        <w:tabs>
          <w:tab w:val="num" w:pos="2880"/>
        </w:tabs>
        <w:ind w:left="2880" w:hanging="360"/>
      </w:pPr>
      <w:rPr>
        <w:rFonts w:ascii="Symbol" w:hAnsi="Symbol"/>
      </w:rPr>
    </w:lvl>
    <w:lvl w:ilvl="4" w:tplc="77569AFC">
      <w:start w:val="1"/>
      <w:numFmt w:val="bullet"/>
      <w:lvlText w:val="o"/>
      <w:lvlJc w:val="left"/>
      <w:pPr>
        <w:tabs>
          <w:tab w:val="num" w:pos="3600"/>
        </w:tabs>
        <w:ind w:left="3600" w:hanging="360"/>
      </w:pPr>
      <w:rPr>
        <w:rFonts w:ascii="Courier New" w:hAnsi="Courier New"/>
      </w:rPr>
    </w:lvl>
    <w:lvl w:ilvl="5" w:tplc="5C742AA4">
      <w:start w:val="1"/>
      <w:numFmt w:val="bullet"/>
      <w:lvlText w:val=""/>
      <w:lvlJc w:val="left"/>
      <w:pPr>
        <w:tabs>
          <w:tab w:val="num" w:pos="4320"/>
        </w:tabs>
        <w:ind w:left="4320" w:hanging="360"/>
      </w:pPr>
      <w:rPr>
        <w:rFonts w:ascii="Wingdings" w:hAnsi="Wingdings"/>
      </w:rPr>
    </w:lvl>
    <w:lvl w:ilvl="6" w:tplc="604498BC">
      <w:start w:val="1"/>
      <w:numFmt w:val="bullet"/>
      <w:lvlText w:val=""/>
      <w:lvlJc w:val="left"/>
      <w:pPr>
        <w:tabs>
          <w:tab w:val="num" w:pos="5040"/>
        </w:tabs>
        <w:ind w:left="5040" w:hanging="360"/>
      </w:pPr>
      <w:rPr>
        <w:rFonts w:ascii="Symbol" w:hAnsi="Symbol"/>
      </w:rPr>
    </w:lvl>
    <w:lvl w:ilvl="7" w:tplc="F4087CE6">
      <w:start w:val="1"/>
      <w:numFmt w:val="bullet"/>
      <w:lvlText w:val="o"/>
      <w:lvlJc w:val="left"/>
      <w:pPr>
        <w:tabs>
          <w:tab w:val="num" w:pos="5760"/>
        </w:tabs>
        <w:ind w:left="5760" w:hanging="360"/>
      </w:pPr>
      <w:rPr>
        <w:rFonts w:ascii="Courier New" w:hAnsi="Courier New"/>
      </w:rPr>
    </w:lvl>
    <w:lvl w:ilvl="8" w:tplc="19AA07E4">
      <w:start w:val="1"/>
      <w:numFmt w:val="bullet"/>
      <w:lvlText w:val=""/>
      <w:lvlJc w:val="left"/>
      <w:pPr>
        <w:tabs>
          <w:tab w:val="num" w:pos="6480"/>
        </w:tabs>
        <w:ind w:left="6480" w:hanging="360"/>
      </w:pPr>
      <w:rPr>
        <w:rFonts w:ascii="Wingdings" w:hAnsi="Wingdings"/>
      </w:rPr>
    </w:lvl>
  </w:abstractNum>
  <w:abstractNum w:abstractNumId="279" w15:restartNumberingAfterBreak="0">
    <w:nsid w:val="7DF628CC"/>
    <w:multiLevelType w:val="multilevel"/>
    <w:tmpl w:val="7DF628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0" w15:restartNumberingAfterBreak="0">
    <w:nsid w:val="7DF628CD"/>
    <w:multiLevelType w:val="multilevel"/>
    <w:tmpl w:val="7DF628C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1" w15:restartNumberingAfterBreak="0">
    <w:nsid w:val="7DF628CE"/>
    <w:multiLevelType w:val="multilevel"/>
    <w:tmpl w:val="7DF628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2" w15:restartNumberingAfterBreak="0">
    <w:nsid w:val="7DF628CF"/>
    <w:multiLevelType w:val="hybridMultilevel"/>
    <w:tmpl w:val="7DF628CF"/>
    <w:lvl w:ilvl="0" w:tplc="447A5230">
      <w:start w:val="1"/>
      <w:numFmt w:val="bullet"/>
      <w:lvlText w:val=""/>
      <w:lvlJc w:val="left"/>
      <w:pPr>
        <w:tabs>
          <w:tab w:val="num" w:pos="720"/>
        </w:tabs>
        <w:ind w:left="720" w:hanging="360"/>
      </w:pPr>
      <w:rPr>
        <w:rFonts w:ascii="Symbol" w:hAnsi="Symbol"/>
      </w:rPr>
    </w:lvl>
    <w:lvl w:ilvl="1" w:tplc="8E62C896">
      <w:start w:val="1"/>
      <w:numFmt w:val="bullet"/>
      <w:lvlText w:val="o"/>
      <w:lvlJc w:val="left"/>
      <w:pPr>
        <w:tabs>
          <w:tab w:val="num" w:pos="1440"/>
        </w:tabs>
        <w:ind w:left="1440" w:hanging="360"/>
      </w:pPr>
      <w:rPr>
        <w:rFonts w:ascii="Courier New" w:hAnsi="Courier New"/>
      </w:rPr>
    </w:lvl>
    <w:lvl w:ilvl="2" w:tplc="D78CB472">
      <w:start w:val="1"/>
      <w:numFmt w:val="bullet"/>
      <w:lvlText w:val=""/>
      <w:lvlJc w:val="left"/>
      <w:pPr>
        <w:tabs>
          <w:tab w:val="num" w:pos="2160"/>
        </w:tabs>
        <w:ind w:left="2160" w:hanging="360"/>
      </w:pPr>
      <w:rPr>
        <w:rFonts w:ascii="Wingdings" w:hAnsi="Wingdings"/>
      </w:rPr>
    </w:lvl>
    <w:lvl w:ilvl="3" w:tplc="03063EA0">
      <w:start w:val="1"/>
      <w:numFmt w:val="bullet"/>
      <w:lvlText w:val=""/>
      <w:lvlJc w:val="left"/>
      <w:pPr>
        <w:tabs>
          <w:tab w:val="num" w:pos="2880"/>
        </w:tabs>
        <w:ind w:left="2880" w:hanging="360"/>
      </w:pPr>
      <w:rPr>
        <w:rFonts w:ascii="Symbol" w:hAnsi="Symbol"/>
      </w:rPr>
    </w:lvl>
    <w:lvl w:ilvl="4" w:tplc="11CC446E">
      <w:start w:val="1"/>
      <w:numFmt w:val="bullet"/>
      <w:lvlText w:val="o"/>
      <w:lvlJc w:val="left"/>
      <w:pPr>
        <w:tabs>
          <w:tab w:val="num" w:pos="3600"/>
        </w:tabs>
        <w:ind w:left="3600" w:hanging="360"/>
      </w:pPr>
      <w:rPr>
        <w:rFonts w:ascii="Courier New" w:hAnsi="Courier New"/>
      </w:rPr>
    </w:lvl>
    <w:lvl w:ilvl="5" w:tplc="C4C44250">
      <w:start w:val="1"/>
      <w:numFmt w:val="bullet"/>
      <w:lvlText w:val=""/>
      <w:lvlJc w:val="left"/>
      <w:pPr>
        <w:tabs>
          <w:tab w:val="num" w:pos="4320"/>
        </w:tabs>
        <w:ind w:left="4320" w:hanging="360"/>
      </w:pPr>
      <w:rPr>
        <w:rFonts w:ascii="Wingdings" w:hAnsi="Wingdings"/>
      </w:rPr>
    </w:lvl>
    <w:lvl w:ilvl="6" w:tplc="751E81F4">
      <w:start w:val="1"/>
      <w:numFmt w:val="bullet"/>
      <w:lvlText w:val=""/>
      <w:lvlJc w:val="left"/>
      <w:pPr>
        <w:tabs>
          <w:tab w:val="num" w:pos="5040"/>
        </w:tabs>
        <w:ind w:left="5040" w:hanging="360"/>
      </w:pPr>
      <w:rPr>
        <w:rFonts w:ascii="Symbol" w:hAnsi="Symbol"/>
      </w:rPr>
    </w:lvl>
    <w:lvl w:ilvl="7" w:tplc="E5E404E0">
      <w:start w:val="1"/>
      <w:numFmt w:val="bullet"/>
      <w:lvlText w:val="o"/>
      <w:lvlJc w:val="left"/>
      <w:pPr>
        <w:tabs>
          <w:tab w:val="num" w:pos="5760"/>
        </w:tabs>
        <w:ind w:left="5760" w:hanging="360"/>
      </w:pPr>
      <w:rPr>
        <w:rFonts w:ascii="Courier New" w:hAnsi="Courier New"/>
      </w:rPr>
    </w:lvl>
    <w:lvl w:ilvl="8" w:tplc="46F6D0EA">
      <w:start w:val="1"/>
      <w:numFmt w:val="bullet"/>
      <w:lvlText w:val=""/>
      <w:lvlJc w:val="left"/>
      <w:pPr>
        <w:tabs>
          <w:tab w:val="num" w:pos="6480"/>
        </w:tabs>
        <w:ind w:left="6480" w:hanging="360"/>
      </w:pPr>
      <w:rPr>
        <w:rFonts w:ascii="Wingdings" w:hAnsi="Wingdings"/>
      </w:rPr>
    </w:lvl>
  </w:abstractNum>
  <w:abstractNum w:abstractNumId="283" w15:restartNumberingAfterBreak="0">
    <w:nsid w:val="7DF628D0"/>
    <w:multiLevelType w:val="multilevel"/>
    <w:tmpl w:val="7DF628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7DF628D1"/>
    <w:multiLevelType w:val="multilevel"/>
    <w:tmpl w:val="7DF628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5" w15:restartNumberingAfterBreak="0">
    <w:nsid w:val="7DF628D2"/>
    <w:multiLevelType w:val="multilevel"/>
    <w:tmpl w:val="7DF628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6" w15:restartNumberingAfterBreak="0">
    <w:nsid w:val="7DF628D3"/>
    <w:multiLevelType w:val="multilevel"/>
    <w:tmpl w:val="7DF628D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7" w15:restartNumberingAfterBreak="0">
    <w:nsid w:val="7DF628D4"/>
    <w:multiLevelType w:val="multilevel"/>
    <w:tmpl w:val="7DF62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8" w15:restartNumberingAfterBreak="0">
    <w:nsid w:val="7DF628D5"/>
    <w:multiLevelType w:val="multilevel"/>
    <w:tmpl w:val="7DF628D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9" w15:restartNumberingAfterBreak="0">
    <w:nsid w:val="7DF628D6"/>
    <w:multiLevelType w:val="multilevel"/>
    <w:tmpl w:val="7DF628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0" w15:restartNumberingAfterBreak="0">
    <w:nsid w:val="7DF628D7"/>
    <w:multiLevelType w:val="multilevel"/>
    <w:tmpl w:val="7DF628D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1" w15:restartNumberingAfterBreak="0">
    <w:nsid w:val="7DF628D8"/>
    <w:multiLevelType w:val="multilevel"/>
    <w:tmpl w:val="7DF628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2" w15:restartNumberingAfterBreak="0">
    <w:nsid w:val="7DF628D9"/>
    <w:multiLevelType w:val="multilevel"/>
    <w:tmpl w:val="7DF628D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3" w15:restartNumberingAfterBreak="0">
    <w:nsid w:val="7DF628DA"/>
    <w:multiLevelType w:val="multilevel"/>
    <w:tmpl w:val="7DF62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4" w15:restartNumberingAfterBreak="0">
    <w:nsid w:val="7DF628DB"/>
    <w:multiLevelType w:val="hybridMultilevel"/>
    <w:tmpl w:val="7DF628DB"/>
    <w:lvl w:ilvl="0" w:tplc="406018A6">
      <w:start w:val="1"/>
      <w:numFmt w:val="bullet"/>
      <w:lvlText w:val=""/>
      <w:lvlJc w:val="left"/>
      <w:pPr>
        <w:tabs>
          <w:tab w:val="num" w:pos="720"/>
        </w:tabs>
        <w:ind w:left="720" w:hanging="360"/>
      </w:pPr>
      <w:rPr>
        <w:rFonts w:ascii="Symbol" w:hAnsi="Symbol"/>
      </w:rPr>
    </w:lvl>
    <w:lvl w:ilvl="1" w:tplc="07F49186">
      <w:start w:val="1"/>
      <w:numFmt w:val="bullet"/>
      <w:lvlText w:val="o"/>
      <w:lvlJc w:val="left"/>
      <w:pPr>
        <w:tabs>
          <w:tab w:val="num" w:pos="1440"/>
        </w:tabs>
        <w:ind w:left="1440" w:hanging="360"/>
      </w:pPr>
      <w:rPr>
        <w:rFonts w:ascii="Courier New" w:hAnsi="Courier New"/>
      </w:rPr>
    </w:lvl>
    <w:lvl w:ilvl="2" w:tplc="443AE74C">
      <w:start w:val="1"/>
      <w:numFmt w:val="bullet"/>
      <w:lvlText w:val=""/>
      <w:lvlJc w:val="left"/>
      <w:pPr>
        <w:tabs>
          <w:tab w:val="num" w:pos="2160"/>
        </w:tabs>
        <w:ind w:left="2160" w:hanging="360"/>
      </w:pPr>
      <w:rPr>
        <w:rFonts w:ascii="Wingdings" w:hAnsi="Wingdings"/>
      </w:rPr>
    </w:lvl>
    <w:lvl w:ilvl="3" w:tplc="E760DDBA">
      <w:start w:val="1"/>
      <w:numFmt w:val="bullet"/>
      <w:lvlText w:val=""/>
      <w:lvlJc w:val="left"/>
      <w:pPr>
        <w:tabs>
          <w:tab w:val="num" w:pos="2880"/>
        </w:tabs>
        <w:ind w:left="2880" w:hanging="360"/>
      </w:pPr>
      <w:rPr>
        <w:rFonts w:ascii="Symbol" w:hAnsi="Symbol"/>
      </w:rPr>
    </w:lvl>
    <w:lvl w:ilvl="4" w:tplc="AB54442E">
      <w:start w:val="1"/>
      <w:numFmt w:val="bullet"/>
      <w:lvlText w:val="o"/>
      <w:lvlJc w:val="left"/>
      <w:pPr>
        <w:tabs>
          <w:tab w:val="num" w:pos="3600"/>
        </w:tabs>
        <w:ind w:left="3600" w:hanging="360"/>
      </w:pPr>
      <w:rPr>
        <w:rFonts w:ascii="Courier New" w:hAnsi="Courier New"/>
      </w:rPr>
    </w:lvl>
    <w:lvl w:ilvl="5" w:tplc="27680910">
      <w:start w:val="1"/>
      <w:numFmt w:val="bullet"/>
      <w:lvlText w:val=""/>
      <w:lvlJc w:val="left"/>
      <w:pPr>
        <w:tabs>
          <w:tab w:val="num" w:pos="4320"/>
        </w:tabs>
        <w:ind w:left="4320" w:hanging="360"/>
      </w:pPr>
      <w:rPr>
        <w:rFonts w:ascii="Wingdings" w:hAnsi="Wingdings"/>
      </w:rPr>
    </w:lvl>
    <w:lvl w:ilvl="6" w:tplc="0A7EE304">
      <w:start w:val="1"/>
      <w:numFmt w:val="bullet"/>
      <w:lvlText w:val=""/>
      <w:lvlJc w:val="left"/>
      <w:pPr>
        <w:tabs>
          <w:tab w:val="num" w:pos="5040"/>
        </w:tabs>
        <w:ind w:left="5040" w:hanging="360"/>
      </w:pPr>
      <w:rPr>
        <w:rFonts w:ascii="Symbol" w:hAnsi="Symbol"/>
      </w:rPr>
    </w:lvl>
    <w:lvl w:ilvl="7" w:tplc="D1CE6C7E">
      <w:start w:val="1"/>
      <w:numFmt w:val="bullet"/>
      <w:lvlText w:val="o"/>
      <w:lvlJc w:val="left"/>
      <w:pPr>
        <w:tabs>
          <w:tab w:val="num" w:pos="5760"/>
        </w:tabs>
        <w:ind w:left="5760" w:hanging="360"/>
      </w:pPr>
      <w:rPr>
        <w:rFonts w:ascii="Courier New" w:hAnsi="Courier New"/>
      </w:rPr>
    </w:lvl>
    <w:lvl w:ilvl="8" w:tplc="89A4DF78">
      <w:start w:val="1"/>
      <w:numFmt w:val="bullet"/>
      <w:lvlText w:val=""/>
      <w:lvlJc w:val="left"/>
      <w:pPr>
        <w:tabs>
          <w:tab w:val="num" w:pos="6480"/>
        </w:tabs>
        <w:ind w:left="6480" w:hanging="360"/>
      </w:pPr>
      <w:rPr>
        <w:rFonts w:ascii="Wingdings" w:hAnsi="Wingdings"/>
      </w:rPr>
    </w:lvl>
  </w:abstractNum>
  <w:abstractNum w:abstractNumId="295" w15:restartNumberingAfterBreak="0">
    <w:nsid w:val="7DF628DC"/>
    <w:multiLevelType w:val="hybridMultilevel"/>
    <w:tmpl w:val="7DF628DC"/>
    <w:lvl w:ilvl="0" w:tplc="6A7EFE94">
      <w:start w:val="1"/>
      <w:numFmt w:val="bullet"/>
      <w:lvlText w:val=""/>
      <w:lvlJc w:val="left"/>
      <w:pPr>
        <w:tabs>
          <w:tab w:val="num" w:pos="720"/>
        </w:tabs>
        <w:ind w:left="720" w:hanging="360"/>
      </w:pPr>
      <w:rPr>
        <w:rFonts w:ascii="Symbol" w:hAnsi="Symbol"/>
      </w:rPr>
    </w:lvl>
    <w:lvl w:ilvl="1" w:tplc="03621162">
      <w:start w:val="1"/>
      <w:numFmt w:val="bullet"/>
      <w:lvlText w:val="o"/>
      <w:lvlJc w:val="left"/>
      <w:pPr>
        <w:tabs>
          <w:tab w:val="num" w:pos="1440"/>
        </w:tabs>
        <w:ind w:left="1440" w:hanging="360"/>
      </w:pPr>
      <w:rPr>
        <w:rFonts w:ascii="Courier New" w:hAnsi="Courier New"/>
      </w:rPr>
    </w:lvl>
    <w:lvl w:ilvl="2" w:tplc="17F2EAE6">
      <w:start w:val="1"/>
      <w:numFmt w:val="bullet"/>
      <w:lvlText w:val=""/>
      <w:lvlJc w:val="left"/>
      <w:pPr>
        <w:tabs>
          <w:tab w:val="num" w:pos="2160"/>
        </w:tabs>
        <w:ind w:left="2160" w:hanging="360"/>
      </w:pPr>
      <w:rPr>
        <w:rFonts w:ascii="Wingdings" w:hAnsi="Wingdings"/>
      </w:rPr>
    </w:lvl>
    <w:lvl w:ilvl="3" w:tplc="0B24C4F4">
      <w:start w:val="1"/>
      <w:numFmt w:val="bullet"/>
      <w:lvlText w:val=""/>
      <w:lvlJc w:val="left"/>
      <w:pPr>
        <w:tabs>
          <w:tab w:val="num" w:pos="2880"/>
        </w:tabs>
        <w:ind w:left="2880" w:hanging="360"/>
      </w:pPr>
      <w:rPr>
        <w:rFonts w:ascii="Symbol" w:hAnsi="Symbol"/>
      </w:rPr>
    </w:lvl>
    <w:lvl w:ilvl="4" w:tplc="39EC9E8A">
      <w:start w:val="1"/>
      <w:numFmt w:val="bullet"/>
      <w:lvlText w:val="o"/>
      <w:lvlJc w:val="left"/>
      <w:pPr>
        <w:tabs>
          <w:tab w:val="num" w:pos="3600"/>
        </w:tabs>
        <w:ind w:left="3600" w:hanging="360"/>
      </w:pPr>
      <w:rPr>
        <w:rFonts w:ascii="Courier New" w:hAnsi="Courier New"/>
      </w:rPr>
    </w:lvl>
    <w:lvl w:ilvl="5" w:tplc="92043F8A">
      <w:start w:val="1"/>
      <w:numFmt w:val="bullet"/>
      <w:lvlText w:val=""/>
      <w:lvlJc w:val="left"/>
      <w:pPr>
        <w:tabs>
          <w:tab w:val="num" w:pos="4320"/>
        </w:tabs>
        <w:ind w:left="4320" w:hanging="360"/>
      </w:pPr>
      <w:rPr>
        <w:rFonts w:ascii="Wingdings" w:hAnsi="Wingdings"/>
      </w:rPr>
    </w:lvl>
    <w:lvl w:ilvl="6" w:tplc="13D8C804">
      <w:start w:val="1"/>
      <w:numFmt w:val="bullet"/>
      <w:lvlText w:val=""/>
      <w:lvlJc w:val="left"/>
      <w:pPr>
        <w:tabs>
          <w:tab w:val="num" w:pos="5040"/>
        </w:tabs>
        <w:ind w:left="5040" w:hanging="360"/>
      </w:pPr>
      <w:rPr>
        <w:rFonts w:ascii="Symbol" w:hAnsi="Symbol"/>
      </w:rPr>
    </w:lvl>
    <w:lvl w:ilvl="7" w:tplc="F6BE9DEC">
      <w:start w:val="1"/>
      <w:numFmt w:val="bullet"/>
      <w:lvlText w:val="o"/>
      <w:lvlJc w:val="left"/>
      <w:pPr>
        <w:tabs>
          <w:tab w:val="num" w:pos="5760"/>
        </w:tabs>
        <w:ind w:left="5760" w:hanging="360"/>
      </w:pPr>
      <w:rPr>
        <w:rFonts w:ascii="Courier New" w:hAnsi="Courier New"/>
      </w:rPr>
    </w:lvl>
    <w:lvl w:ilvl="8" w:tplc="D86C4AB0">
      <w:start w:val="1"/>
      <w:numFmt w:val="bullet"/>
      <w:lvlText w:val=""/>
      <w:lvlJc w:val="left"/>
      <w:pPr>
        <w:tabs>
          <w:tab w:val="num" w:pos="6480"/>
        </w:tabs>
        <w:ind w:left="6480" w:hanging="360"/>
      </w:pPr>
      <w:rPr>
        <w:rFonts w:ascii="Wingdings" w:hAnsi="Wingdings"/>
      </w:rPr>
    </w:lvl>
  </w:abstractNum>
  <w:abstractNum w:abstractNumId="296" w15:restartNumberingAfterBreak="0">
    <w:nsid w:val="7DF628DD"/>
    <w:multiLevelType w:val="hybridMultilevel"/>
    <w:tmpl w:val="7DF628DD"/>
    <w:lvl w:ilvl="0" w:tplc="CDF81B1C">
      <w:start w:val="1"/>
      <w:numFmt w:val="bullet"/>
      <w:lvlText w:val=""/>
      <w:lvlJc w:val="left"/>
      <w:pPr>
        <w:tabs>
          <w:tab w:val="num" w:pos="720"/>
        </w:tabs>
        <w:ind w:left="720" w:hanging="360"/>
      </w:pPr>
      <w:rPr>
        <w:rFonts w:ascii="Symbol" w:hAnsi="Symbol"/>
      </w:rPr>
    </w:lvl>
    <w:lvl w:ilvl="1" w:tplc="54966CAA">
      <w:start w:val="1"/>
      <w:numFmt w:val="bullet"/>
      <w:lvlText w:val="o"/>
      <w:lvlJc w:val="left"/>
      <w:pPr>
        <w:tabs>
          <w:tab w:val="num" w:pos="1440"/>
        </w:tabs>
        <w:ind w:left="1440" w:hanging="360"/>
      </w:pPr>
      <w:rPr>
        <w:rFonts w:ascii="Courier New" w:hAnsi="Courier New"/>
      </w:rPr>
    </w:lvl>
    <w:lvl w:ilvl="2" w:tplc="3BCC8B4E">
      <w:start w:val="1"/>
      <w:numFmt w:val="bullet"/>
      <w:lvlText w:val=""/>
      <w:lvlJc w:val="left"/>
      <w:pPr>
        <w:tabs>
          <w:tab w:val="num" w:pos="2160"/>
        </w:tabs>
        <w:ind w:left="2160" w:hanging="360"/>
      </w:pPr>
      <w:rPr>
        <w:rFonts w:ascii="Wingdings" w:hAnsi="Wingdings"/>
      </w:rPr>
    </w:lvl>
    <w:lvl w:ilvl="3" w:tplc="9C0E5CA8">
      <w:start w:val="1"/>
      <w:numFmt w:val="bullet"/>
      <w:lvlText w:val=""/>
      <w:lvlJc w:val="left"/>
      <w:pPr>
        <w:tabs>
          <w:tab w:val="num" w:pos="2880"/>
        </w:tabs>
        <w:ind w:left="2880" w:hanging="360"/>
      </w:pPr>
      <w:rPr>
        <w:rFonts w:ascii="Symbol" w:hAnsi="Symbol"/>
      </w:rPr>
    </w:lvl>
    <w:lvl w:ilvl="4" w:tplc="2470337E">
      <w:start w:val="1"/>
      <w:numFmt w:val="bullet"/>
      <w:lvlText w:val="o"/>
      <w:lvlJc w:val="left"/>
      <w:pPr>
        <w:tabs>
          <w:tab w:val="num" w:pos="3600"/>
        </w:tabs>
        <w:ind w:left="3600" w:hanging="360"/>
      </w:pPr>
      <w:rPr>
        <w:rFonts w:ascii="Courier New" w:hAnsi="Courier New"/>
      </w:rPr>
    </w:lvl>
    <w:lvl w:ilvl="5" w:tplc="CD9C864E">
      <w:start w:val="1"/>
      <w:numFmt w:val="bullet"/>
      <w:lvlText w:val=""/>
      <w:lvlJc w:val="left"/>
      <w:pPr>
        <w:tabs>
          <w:tab w:val="num" w:pos="4320"/>
        </w:tabs>
        <w:ind w:left="4320" w:hanging="360"/>
      </w:pPr>
      <w:rPr>
        <w:rFonts w:ascii="Wingdings" w:hAnsi="Wingdings"/>
      </w:rPr>
    </w:lvl>
    <w:lvl w:ilvl="6" w:tplc="C7A23422">
      <w:start w:val="1"/>
      <w:numFmt w:val="bullet"/>
      <w:lvlText w:val=""/>
      <w:lvlJc w:val="left"/>
      <w:pPr>
        <w:tabs>
          <w:tab w:val="num" w:pos="5040"/>
        </w:tabs>
        <w:ind w:left="5040" w:hanging="360"/>
      </w:pPr>
      <w:rPr>
        <w:rFonts w:ascii="Symbol" w:hAnsi="Symbol"/>
      </w:rPr>
    </w:lvl>
    <w:lvl w:ilvl="7" w:tplc="875EBE76">
      <w:start w:val="1"/>
      <w:numFmt w:val="bullet"/>
      <w:lvlText w:val="o"/>
      <w:lvlJc w:val="left"/>
      <w:pPr>
        <w:tabs>
          <w:tab w:val="num" w:pos="5760"/>
        </w:tabs>
        <w:ind w:left="5760" w:hanging="360"/>
      </w:pPr>
      <w:rPr>
        <w:rFonts w:ascii="Courier New" w:hAnsi="Courier New"/>
      </w:rPr>
    </w:lvl>
    <w:lvl w:ilvl="8" w:tplc="63A2C286">
      <w:start w:val="1"/>
      <w:numFmt w:val="bullet"/>
      <w:lvlText w:val=""/>
      <w:lvlJc w:val="left"/>
      <w:pPr>
        <w:tabs>
          <w:tab w:val="num" w:pos="6480"/>
        </w:tabs>
        <w:ind w:left="6480" w:hanging="360"/>
      </w:pPr>
      <w:rPr>
        <w:rFonts w:ascii="Wingdings" w:hAnsi="Wingdings"/>
      </w:rPr>
    </w:lvl>
  </w:abstractNum>
  <w:abstractNum w:abstractNumId="297" w15:restartNumberingAfterBreak="0">
    <w:nsid w:val="7DF628DE"/>
    <w:multiLevelType w:val="hybridMultilevel"/>
    <w:tmpl w:val="7DF628DE"/>
    <w:lvl w:ilvl="0" w:tplc="0D781E18">
      <w:start w:val="1"/>
      <w:numFmt w:val="bullet"/>
      <w:lvlText w:val=""/>
      <w:lvlJc w:val="left"/>
      <w:pPr>
        <w:tabs>
          <w:tab w:val="num" w:pos="720"/>
        </w:tabs>
        <w:ind w:left="720" w:hanging="360"/>
      </w:pPr>
      <w:rPr>
        <w:rFonts w:ascii="Symbol" w:hAnsi="Symbol"/>
      </w:rPr>
    </w:lvl>
    <w:lvl w:ilvl="1" w:tplc="C306640E">
      <w:start w:val="1"/>
      <w:numFmt w:val="bullet"/>
      <w:lvlText w:val="o"/>
      <w:lvlJc w:val="left"/>
      <w:pPr>
        <w:tabs>
          <w:tab w:val="num" w:pos="1440"/>
        </w:tabs>
        <w:ind w:left="1440" w:hanging="360"/>
      </w:pPr>
      <w:rPr>
        <w:rFonts w:ascii="Courier New" w:hAnsi="Courier New"/>
      </w:rPr>
    </w:lvl>
    <w:lvl w:ilvl="2" w:tplc="0A18AE9C">
      <w:start w:val="1"/>
      <w:numFmt w:val="bullet"/>
      <w:lvlText w:val=""/>
      <w:lvlJc w:val="left"/>
      <w:pPr>
        <w:tabs>
          <w:tab w:val="num" w:pos="2160"/>
        </w:tabs>
        <w:ind w:left="2160" w:hanging="360"/>
      </w:pPr>
      <w:rPr>
        <w:rFonts w:ascii="Wingdings" w:hAnsi="Wingdings"/>
      </w:rPr>
    </w:lvl>
    <w:lvl w:ilvl="3" w:tplc="2F8C69DA">
      <w:start w:val="1"/>
      <w:numFmt w:val="bullet"/>
      <w:lvlText w:val=""/>
      <w:lvlJc w:val="left"/>
      <w:pPr>
        <w:tabs>
          <w:tab w:val="num" w:pos="2880"/>
        </w:tabs>
        <w:ind w:left="2880" w:hanging="360"/>
      </w:pPr>
      <w:rPr>
        <w:rFonts w:ascii="Symbol" w:hAnsi="Symbol"/>
      </w:rPr>
    </w:lvl>
    <w:lvl w:ilvl="4" w:tplc="365E46A0">
      <w:start w:val="1"/>
      <w:numFmt w:val="bullet"/>
      <w:lvlText w:val="o"/>
      <w:lvlJc w:val="left"/>
      <w:pPr>
        <w:tabs>
          <w:tab w:val="num" w:pos="3600"/>
        </w:tabs>
        <w:ind w:left="3600" w:hanging="360"/>
      </w:pPr>
      <w:rPr>
        <w:rFonts w:ascii="Courier New" w:hAnsi="Courier New"/>
      </w:rPr>
    </w:lvl>
    <w:lvl w:ilvl="5" w:tplc="E03E5090">
      <w:start w:val="1"/>
      <w:numFmt w:val="bullet"/>
      <w:lvlText w:val=""/>
      <w:lvlJc w:val="left"/>
      <w:pPr>
        <w:tabs>
          <w:tab w:val="num" w:pos="4320"/>
        </w:tabs>
        <w:ind w:left="4320" w:hanging="360"/>
      </w:pPr>
      <w:rPr>
        <w:rFonts w:ascii="Wingdings" w:hAnsi="Wingdings"/>
      </w:rPr>
    </w:lvl>
    <w:lvl w:ilvl="6" w:tplc="0552911A">
      <w:start w:val="1"/>
      <w:numFmt w:val="bullet"/>
      <w:lvlText w:val=""/>
      <w:lvlJc w:val="left"/>
      <w:pPr>
        <w:tabs>
          <w:tab w:val="num" w:pos="5040"/>
        </w:tabs>
        <w:ind w:left="5040" w:hanging="360"/>
      </w:pPr>
      <w:rPr>
        <w:rFonts w:ascii="Symbol" w:hAnsi="Symbol"/>
      </w:rPr>
    </w:lvl>
    <w:lvl w:ilvl="7" w:tplc="023E72F8">
      <w:start w:val="1"/>
      <w:numFmt w:val="bullet"/>
      <w:lvlText w:val="o"/>
      <w:lvlJc w:val="left"/>
      <w:pPr>
        <w:tabs>
          <w:tab w:val="num" w:pos="5760"/>
        </w:tabs>
        <w:ind w:left="5760" w:hanging="360"/>
      </w:pPr>
      <w:rPr>
        <w:rFonts w:ascii="Courier New" w:hAnsi="Courier New"/>
      </w:rPr>
    </w:lvl>
    <w:lvl w:ilvl="8" w:tplc="ED767FB6">
      <w:start w:val="1"/>
      <w:numFmt w:val="bullet"/>
      <w:lvlText w:val=""/>
      <w:lvlJc w:val="left"/>
      <w:pPr>
        <w:tabs>
          <w:tab w:val="num" w:pos="6480"/>
        </w:tabs>
        <w:ind w:left="6480" w:hanging="360"/>
      </w:pPr>
      <w:rPr>
        <w:rFonts w:ascii="Wingdings" w:hAnsi="Wingdings"/>
      </w:rPr>
    </w:lvl>
  </w:abstractNum>
  <w:abstractNum w:abstractNumId="298" w15:restartNumberingAfterBreak="0">
    <w:nsid w:val="7DF628DF"/>
    <w:multiLevelType w:val="hybridMultilevel"/>
    <w:tmpl w:val="7DF628DF"/>
    <w:lvl w:ilvl="0" w:tplc="054A3DE4">
      <w:start w:val="1"/>
      <w:numFmt w:val="bullet"/>
      <w:lvlText w:val=""/>
      <w:lvlJc w:val="left"/>
      <w:pPr>
        <w:tabs>
          <w:tab w:val="num" w:pos="720"/>
        </w:tabs>
        <w:ind w:left="720" w:hanging="360"/>
      </w:pPr>
      <w:rPr>
        <w:rFonts w:ascii="Symbol" w:hAnsi="Symbol"/>
      </w:rPr>
    </w:lvl>
    <w:lvl w:ilvl="1" w:tplc="D8781D3E">
      <w:start w:val="1"/>
      <w:numFmt w:val="bullet"/>
      <w:lvlText w:val="o"/>
      <w:lvlJc w:val="left"/>
      <w:pPr>
        <w:tabs>
          <w:tab w:val="num" w:pos="1440"/>
        </w:tabs>
        <w:ind w:left="1440" w:hanging="360"/>
      </w:pPr>
      <w:rPr>
        <w:rFonts w:ascii="Courier New" w:hAnsi="Courier New"/>
      </w:rPr>
    </w:lvl>
    <w:lvl w:ilvl="2" w:tplc="2A0A1770">
      <w:start w:val="1"/>
      <w:numFmt w:val="bullet"/>
      <w:lvlText w:val=""/>
      <w:lvlJc w:val="left"/>
      <w:pPr>
        <w:tabs>
          <w:tab w:val="num" w:pos="2160"/>
        </w:tabs>
        <w:ind w:left="2160" w:hanging="360"/>
      </w:pPr>
      <w:rPr>
        <w:rFonts w:ascii="Wingdings" w:hAnsi="Wingdings"/>
      </w:rPr>
    </w:lvl>
    <w:lvl w:ilvl="3" w:tplc="6C964AA4">
      <w:start w:val="1"/>
      <w:numFmt w:val="bullet"/>
      <w:lvlText w:val=""/>
      <w:lvlJc w:val="left"/>
      <w:pPr>
        <w:tabs>
          <w:tab w:val="num" w:pos="2880"/>
        </w:tabs>
        <w:ind w:left="2880" w:hanging="360"/>
      </w:pPr>
      <w:rPr>
        <w:rFonts w:ascii="Symbol" w:hAnsi="Symbol"/>
      </w:rPr>
    </w:lvl>
    <w:lvl w:ilvl="4" w:tplc="F894D9F0">
      <w:start w:val="1"/>
      <w:numFmt w:val="bullet"/>
      <w:lvlText w:val="o"/>
      <w:lvlJc w:val="left"/>
      <w:pPr>
        <w:tabs>
          <w:tab w:val="num" w:pos="3600"/>
        </w:tabs>
        <w:ind w:left="3600" w:hanging="360"/>
      </w:pPr>
      <w:rPr>
        <w:rFonts w:ascii="Courier New" w:hAnsi="Courier New"/>
      </w:rPr>
    </w:lvl>
    <w:lvl w:ilvl="5" w:tplc="774299EE">
      <w:start w:val="1"/>
      <w:numFmt w:val="bullet"/>
      <w:lvlText w:val=""/>
      <w:lvlJc w:val="left"/>
      <w:pPr>
        <w:tabs>
          <w:tab w:val="num" w:pos="4320"/>
        </w:tabs>
        <w:ind w:left="4320" w:hanging="360"/>
      </w:pPr>
      <w:rPr>
        <w:rFonts w:ascii="Wingdings" w:hAnsi="Wingdings"/>
      </w:rPr>
    </w:lvl>
    <w:lvl w:ilvl="6" w:tplc="BF64CF5E">
      <w:start w:val="1"/>
      <w:numFmt w:val="bullet"/>
      <w:lvlText w:val=""/>
      <w:lvlJc w:val="left"/>
      <w:pPr>
        <w:tabs>
          <w:tab w:val="num" w:pos="5040"/>
        </w:tabs>
        <w:ind w:left="5040" w:hanging="360"/>
      </w:pPr>
      <w:rPr>
        <w:rFonts w:ascii="Symbol" w:hAnsi="Symbol"/>
      </w:rPr>
    </w:lvl>
    <w:lvl w:ilvl="7" w:tplc="E1587D32">
      <w:start w:val="1"/>
      <w:numFmt w:val="bullet"/>
      <w:lvlText w:val="o"/>
      <w:lvlJc w:val="left"/>
      <w:pPr>
        <w:tabs>
          <w:tab w:val="num" w:pos="5760"/>
        </w:tabs>
        <w:ind w:left="5760" w:hanging="360"/>
      </w:pPr>
      <w:rPr>
        <w:rFonts w:ascii="Courier New" w:hAnsi="Courier New"/>
      </w:rPr>
    </w:lvl>
    <w:lvl w:ilvl="8" w:tplc="85D819A2">
      <w:start w:val="1"/>
      <w:numFmt w:val="bullet"/>
      <w:lvlText w:val=""/>
      <w:lvlJc w:val="left"/>
      <w:pPr>
        <w:tabs>
          <w:tab w:val="num" w:pos="6480"/>
        </w:tabs>
        <w:ind w:left="6480" w:hanging="360"/>
      </w:pPr>
      <w:rPr>
        <w:rFonts w:ascii="Wingdings" w:hAnsi="Wingdings"/>
      </w:rPr>
    </w:lvl>
  </w:abstractNum>
  <w:abstractNum w:abstractNumId="299" w15:restartNumberingAfterBreak="0">
    <w:nsid w:val="7DF628E0"/>
    <w:multiLevelType w:val="hybridMultilevel"/>
    <w:tmpl w:val="7DF628E0"/>
    <w:lvl w:ilvl="0" w:tplc="1A22D2D6">
      <w:start w:val="1"/>
      <w:numFmt w:val="bullet"/>
      <w:lvlText w:val=""/>
      <w:lvlJc w:val="left"/>
      <w:pPr>
        <w:tabs>
          <w:tab w:val="num" w:pos="720"/>
        </w:tabs>
        <w:ind w:left="720" w:hanging="360"/>
      </w:pPr>
      <w:rPr>
        <w:rFonts w:ascii="Symbol" w:hAnsi="Symbol"/>
      </w:rPr>
    </w:lvl>
    <w:lvl w:ilvl="1" w:tplc="120CB97A">
      <w:start w:val="1"/>
      <w:numFmt w:val="bullet"/>
      <w:lvlText w:val="o"/>
      <w:lvlJc w:val="left"/>
      <w:pPr>
        <w:tabs>
          <w:tab w:val="num" w:pos="1440"/>
        </w:tabs>
        <w:ind w:left="1440" w:hanging="360"/>
      </w:pPr>
      <w:rPr>
        <w:rFonts w:ascii="Courier New" w:hAnsi="Courier New"/>
      </w:rPr>
    </w:lvl>
    <w:lvl w:ilvl="2" w:tplc="14A07D24">
      <w:start w:val="1"/>
      <w:numFmt w:val="bullet"/>
      <w:lvlText w:val=""/>
      <w:lvlJc w:val="left"/>
      <w:pPr>
        <w:tabs>
          <w:tab w:val="num" w:pos="2160"/>
        </w:tabs>
        <w:ind w:left="2160" w:hanging="360"/>
      </w:pPr>
      <w:rPr>
        <w:rFonts w:ascii="Wingdings" w:hAnsi="Wingdings"/>
      </w:rPr>
    </w:lvl>
    <w:lvl w:ilvl="3" w:tplc="30907DD2">
      <w:start w:val="1"/>
      <w:numFmt w:val="bullet"/>
      <w:lvlText w:val=""/>
      <w:lvlJc w:val="left"/>
      <w:pPr>
        <w:tabs>
          <w:tab w:val="num" w:pos="2880"/>
        </w:tabs>
        <w:ind w:left="2880" w:hanging="360"/>
      </w:pPr>
      <w:rPr>
        <w:rFonts w:ascii="Symbol" w:hAnsi="Symbol"/>
      </w:rPr>
    </w:lvl>
    <w:lvl w:ilvl="4" w:tplc="87F063E6">
      <w:start w:val="1"/>
      <w:numFmt w:val="bullet"/>
      <w:lvlText w:val="o"/>
      <w:lvlJc w:val="left"/>
      <w:pPr>
        <w:tabs>
          <w:tab w:val="num" w:pos="3600"/>
        </w:tabs>
        <w:ind w:left="3600" w:hanging="360"/>
      </w:pPr>
      <w:rPr>
        <w:rFonts w:ascii="Courier New" w:hAnsi="Courier New"/>
      </w:rPr>
    </w:lvl>
    <w:lvl w:ilvl="5" w:tplc="C6A8C1AE">
      <w:start w:val="1"/>
      <w:numFmt w:val="bullet"/>
      <w:lvlText w:val=""/>
      <w:lvlJc w:val="left"/>
      <w:pPr>
        <w:tabs>
          <w:tab w:val="num" w:pos="4320"/>
        </w:tabs>
        <w:ind w:left="4320" w:hanging="360"/>
      </w:pPr>
      <w:rPr>
        <w:rFonts w:ascii="Wingdings" w:hAnsi="Wingdings"/>
      </w:rPr>
    </w:lvl>
    <w:lvl w:ilvl="6" w:tplc="A3A220E0">
      <w:start w:val="1"/>
      <w:numFmt w:val="bullet"/>
      <w:lvlText w:val=""/>
      <w:lvlJc w:val="left"/>
      <w:pPr>
        <w:tabs>
          <w:tab w:val="num" w:pos="5040"/>
        </w:tabs>
        <w:ind w:left="5040" w:hanging="360"/>
      </w:pPr>
      <w:rPr>
        <w:rFonts w:ascii="Symbol" w:hAnsi="Symbol"/>
      </w:rPr>
    </w:lvl>
    <w:lvl w:ilvl="7" w:tplc="A6CA1532">
      <w:start w:val="1"/>
      <w:numFmt w:val="bullet"/>
      <w:lvlText w:val="o"/>
      <w:lvlJc w:val="left"/>
      <w:pPr>
        <w:tabs>
          <w:tab w:val="num" w:pos="5760"/>
        </w:tabs>
        <w:ind w:left="5760" w:hanging="360"/>
      </w:pPr>
      <w:rPr>
        <w:rFonts w:ascii="Courier New" w:hAnsi="Courier New"/>
      </w:rPr>
    </w:lvl>
    <w:lvl w:ilvl="8" w:tplc="641E5840">
      <w:start w:val="1"/>
      <w:numFmt w:val="bullet"/>
      <w:lvlText w:val=""/>
      <w:lvlJc w:val="left"/>
      <w:pPr>
        <w:tabs>
          <w:tab w:val="num" w:pos="6480"/>
        </w:tabs>
        <w:ind w:left="6480" w:hanging="360"/>
      </w:pPr>
      <w:rPr>
        <w:rFonts w:ascii="Wingdings" w:hAnsi="Wingdings"/>
      </w:rPr>
    </w:lvl>
  </w:abstractNum>
  <w:abstractNum w:abstractNumId="300" w15:restartNumberingAfterBreak="0">
    <w:nsid w:val="7DF628E1"/>
    <w:multiLevelType w:val="hybridMultilevel"/>
    <w:tmpl w:val="7DF628E1"/>
    <w:lvl w:ilvl="0" w:tplc="62E2CDD6">
      <w:start w:val="1"/>
      <w:numFmt w:val="bullet"/>
      <w:lvlText w:val=""/>
      <w:lvlJc w:val="left"/>
      <w:pPr>
        <w:tabs>
          <w:tab w:val="num" w:pos="720"/>
        </w:tabs>
        <w:ind w:left="720" w:hanging="360"/>
      </w:pPr>
      <w:rPr>
        <w:rFonts w:ascii="Symbol" w:hAnsi="Symbol"/>
      </w:rPr>
    </w:lvl>
    <w:lvl w:ilvl="1" w:tplc="3174BD6E">
      <w:start w:val="1"/>
      <w:numFmt w:val="bullet"/>
      <w:lvlText w:val="o"/>
      <w:lvlJc w:val="left"/>
      <w:pPr>
        <w:tabs>
          <w:tab w:val="num" w:pos="1440"/>
        </w:tabs>
        <w:ind w:left="1440" w:hanging="360"/>
      </w:pPr>
      <w:rPr>
        <w:rFonts w:ascii="Courier New" w:hAnsi="Courier New"/>
      </w:rPr>
    </w:lvl>
    <w:lvl w:ilvl="2" w:tplc="9EC21C44">
      <w:start w:val="1"/>
      <w:numFmt w:val="bullet"/>
      <w:lvlText w:val=""/>
      <w:lvlJc w:val="left"/>
      <w:pPr>
        <w:tabs>
          <w:tab w:val="num" w:pos="2160"/>
        </w:tabs>
        <w:ind w:left="2160" w:hanging="360"/>
      </w:pPr>
      <w:rPr>
        <w:rFonts w:ascii="Wingdings" w:hAnsi="Wingdings"/>
      </w:rPr>
    </w:lvl>
    <w:lvl w:ilvl="3" w:tplc="D7880FEA">
      <w:start w:val="1"/>
      <w:numFmt w:val="bullet"/>
      <w:lvlText w:val=""/>
      <w:lvlJc w:val="left"/>
      <w:pPr>
        <w:tabs>
          <w:tab w:val="num" w:pos="2880"/>
        </w:tabs>
        <w:ind w:left="2880" w:hanging="360"/>
      </w:pPr>
      <w:rPr>
        <w:rFonts w:ascii="Symbol" w:hAnsi="Symbol"/>
      </w:rPr>
    </w:lvl>
    <w:lvl w:ilvl="4" w:tplc="C7FA5220">
      <w:start w:val="1"/>
      <w:numFmt w:val="bullet"/>
      <w:lvlText w:val="o"/>
      <w:lvlJc w:val="left"/>
      <w:pPr>
        <w:tabs>
          <w:tab w:val="num" w:pos="3600"/>
        </w:tabs>
        <w:ind w:left="3600" w:hanging="360"/>
      </w:pPr>
      <w:rPr>
        <w:rFonts w:ascii="Courier New" w:hAnsi="Courier New"/>
      </w:rPr>
    </w:lvl>
    <w:lvl w:ilvl="5" w:tplc="13FE421C">
      <w:start w:val="1"/>
      <w:numFmt w:val="bullet"/>
      <w:lvlText w:val=""/>
      <w:lvlJc w:val="left"/>
      <w:pPr>
        <w:tabs>
          <w:tab w:val="num" w:pos="4320"/>
        </w:tabs>
        <w:ind w:left="4320" w:hanging="360"/>
      </w:pPr>
      <w:rPr>
        <w:rFonts w:ascii="Wingdings" w:hAnsi="Wingdings"/>
      </w:rPr>
    </w:lvl>
    <w:lvl w:ilvl="6" w:tplc="84009860">
      <w:start w:val="1"/>
      <w:numFmt w:val="bullet"/>
      <w:lvlText w:val=""/>
      <w:lvlJc w:val="left"/>
      <w:pPr>
        <w:tabs>
          <w:tab w:val="num" w:pos="5040"/>
        </w:tabs>
        <w:ind w:left="5040" w:hanging="360"/>
      </w:pPr>
      <w:rPr>
        <w:rFonts w:ascii="Symbol" w:hAnsi="Symbol"/>
      </w:rPr>
    </w:lvl>
    <w:lvl w:ilvl="7" w:tplc="44D87ED6">
      <w:start w:val="1"/>
      <w:numFmt w:val="bullet"/>
      <w:lvlText w:val="o"/>
      <w:lvlJc w:val="left"/>
      <w:pPr>
        <w:tabs>
          <w:tab w:val="num" w:pos="5760"/>
        </w:tabs>
        <w:ind w:left="5760" w:hanging="360"/>
      </w:pPr>
      <w:rPr>
        <w:rFonts w:ascii="Courier New" w:hAnsi="Courier New"/>
      </w:rPr>
    </w:lvl>
    <w:lvl w:ilvl="8" w:tplc="79AA0880">
      <w:start w:val="1"/>
      <w:numFmt w:val="bullet"/>
      <w:lvlText w:val=""/>
      <w:lvlJc w:val="left"/>
      <w:pPr>
        <w:tabs>
          <w:tab w:val="num" w:pos="6480"/>
        </w:tabs>
        <w:ind w:left="6480" w:hanging="360"/>
      </w:pPr>
      <w:rPr>
        <w:rFonts w:ascii="Wingdings" w:hAnsi="Wingdings"/>
      </w:rPr>
    </w:lvl>
  </w:abstractNum>
  <w:abstractNum w:abstractNumId="301" w15:restartNumberingAfterBreak="0">
    <w:nsid w:val="7DF628E2"/>
    <w:multiLevelType w:val="hybridMultilevel"/>
    <w:tmpl w:val="7DF628E2"/>
    <w:lvl w:ilvl="0" w:tplc="06044024">
      <w:start w:val="1"/>
      <w:numFmt w:val="bullet"/>
      <w:lvlText w:val=""/>
      <w:lvlJc w:val="left"/>
      <w:pPr>
        <w:tabs>
          <w:tab w:val="num" w:pos="720"/>
        </w:tabs>
        <w:ind w:left="720" w:hanging="360"/>
      </w:pPr>
      <w:rPr>
        <w:rFonts w:ascii="Symbol" w:hAnsi="Symbol"/>
      </w:rPr>
    </w:lvl>
    <w:lvl w:ilvl="1" w:tplc="FBCC5E78">
      <w:start w:val="1"/>
      <w:numFmt w:val="bullet"/>
      <w:lvlText w:val="o"/>
      <w:lvlJc w:val="left"/>
      <w:pPr>
        <w:tabs>
          <w:tab w:val="num" w:pos="1440"/>
        </w:tabs>
        <w:ind w:left="1440" w:hanging="360"/>
      </w:pPr>
      <w:rPr>
        <w:rFonts w:ascii="Courier New" w:hAnsi="Courier New"/>
      </w:rPr>
    </w:lvl>
    <w:lvl w:ilvl="2" w:tplc="85AEC83A">
      <w:start w:val="1"/>
      <w:numFmt w:val="bullet"/>
      <w:lvlText w:val=""/>
      <w:lvlJc w:val="left"/>
      <w:pPr>
        <w:tabs>
          <w:tab w:val="num" w:pos="2160"/>
        </w:tabs>
        <w:ind w:left="2160" w:hanging="360"/>
      </w:pPr>
      <w:rPr>
        <w:rFonts w:ascii="Wingdings" w:hAnsi="Wingdings"/>
      </w:rPr>
    </w:lvl>
    <w:lvl w:ilvl="3" w:tplc="F862597E">
      <w:start w:val="1"/>
      <w:numFmt w:val="bullet"/>
      <w:lvlText w:val=""/>
      <w:lvlJc w:val="left"/>
      <w:pPr>
        <w:tabs>
          <w:tab w:val="num" w:pos="2880"/>
        </w:tabs>
        <w:ind w:left="2880" w:hanging="360"/>
      </w:pPr>
      <w:rPr>
        <w:rFonts w:ascii="Symbol" w:hAnsi="Symbol"/>
      </w:rPr>
    </w:lvl>
    <w:lvl w:ilvl="4" w:tplc="D2103210">
      <w:start w:val="1"/>
      <w:numFmt w:val="bullet"/>
      <w:lvlText w:val="o"/>
      <w:lvlJc w:val="left"/>
      <w:pPr>
        <w:tabs>
          <w:tab w:val="num" w:pos="3600"/>
        </w:tabs>
        <w:ind w:left="3600" w:hanging="360"/>
      </w:pPr>
      <w:rPr>
        <w:rFonts w:ascii="Courier New" w:hAnsi="Courier New"/>
      </w:rPr>
    </w:lvl>
    <w:lvl w:ilvl="5" w:tplc="DD94F424">
      <w:start w:val="1"/>
      <w:numFmt w:val="bullet"/>
      <w:lvlText w:val=""/>
      <w:lvlJc w:val="left"/>
      <w:pPr>
        <w:tabs>
          <w:tab w:val="num" w:pos="4320"/>
        </w:tabs>
        <w:ind w:left="4320" w:hanging="360"/>
      </w:pPr>
      <w:rPr>
        <w:rFonts w:ascii="Wingdings" w:hAnsi="Wingdings"/>
      </w:rPr>
    </w:lvl>
    <w:lvl w:ilvl="6" w:tplc="9CBEB1A4">
      <w:start w:val="1"/>
      <w:numFmt w:val="bullet"/>
      <w:lvlText w:val=""/>
      <w:lvlJc w:val="left"/>
      <w:pPr>
        <w:tabs>
          <w:tab w:val="num" w:pos="5040"/>
        </w:tabs>
        <w:ind w:left="5040" w:hanging="360"/>
      </w:pPr>
      <w:rPr>
        <w:rFonts w:ascii="Symbol" w:hAnsi="Symbol"/>
      </w:rPr>
    </w:lvl>
    <w:lvl w:ilvl="7" w:tplc="6EAC15F8">
      <w:start w:val="1"/>
      <w:numFmt w:val="bullet"/>
      <w:lvlText w:val="o"/>
      <w:lvlJc w:val="left"/>
      <w:pPr>
        <w:tabs>
          <w:tab w:val="num" w:pos="5760"/>
        </w:tabs>
        <w:ind w:left="5760" w:hanging="360"/>
      </w:pPr>
      <w:rPr>
        <w:rFonts w:ascii="Courier New" w:hAnsi="Courier New"/>
      </w:rPr>
    </w:lvl>
    <w:lvl w:ilvl="8" w:tplc="5240E492">
      <w:start w:val="1"/>
      <w:numFmt w:val="bullet"/>
      <w:lvlText w:val=""/>
      <w:lvlJc w:val="left"/>
      <w:pPr>
        <w:tabs>
          <w:tab w:val="num" w:pos="6480"/>
        </w:tabs>
        <w:ind w:left="6480" w:hanging="360"/>
      </w:pPr>
      <w:rPr>
        <w:rFonts w:ascii="Wingdings" w:hAnsi="Wingdings"/>
      </w:rPr>
    </w:lvl>
  </w:abstractNum>
  <w:abstractNum w:abstractNumId="302" w15:restartNumberingAfterBreak="0">
    <w:nsid w:val="7DF628E3"/>
    <w:multiLevelType w:val="multilevel"/>
    <w:tmpl w:val="7DF628E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7DF628E4"/>
    <w:multiLevelType w:val="multilevel"/>
    <w:tmpl w:val="7DF628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4" w15:restartNumberingAfterBreak="0">
    <w:nsid w:val="7DF628E5"/>
    <w:multiLevelType w:val="multilevel"/>
    <w:tmpl w:val="7DF628E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5" w15:restartNumberingAfterBreak="0">
    <w:nsid w:val="7DF628E6"/>
    <w:multiLevelType w:val="hybridMultilevel"/>
    <w:tmpl w:val="7DF628E6"/>
    <w:lvl w:ilvl="0" w:tplc="7E064A3A">
      <w:start w:val="1"/>
      <w:numFmt w:val="bullet"/>
      <w:lvlText w:val=""/>
      <w:lvlJc w:val="left"/>
      <w:pPr>
        <w:tabs>
          <w:tab w:val="num" w:pos="720"/>
        </w:tabs>
        <w:ind w:left="720" w:hanging="360"/>
      </w:pPr>
      <w:rPr>
        <w:rFonts w:ascii="Symbol" w:hAnsi="Symbol"/>
      </w:rPr>
    </w:lvl>
    <w:lvl w:ilvl="1" w:tplc="190C4D08">
      <w:start w:val="1"/>
      <w:numFmt w:val="bullet"/>
      <w:lvlText w:val="o"/>
      <w:lvlJc w:val="left"/>
      <w:pPr>
        <w:tabs>
          <w:tab w:val="num" w:pos="1440"/>
        </w:tabs>
        <w:ind w:left="1440" w:hanging="360"/>
      </w:pPr>
      <w:rPr>
        <w:rFonts w:ascii="Courier New" w:hAnsi="Courier New"/>
      </w:rPr>
    </w:lvl>
    <w:lvl w:ilvl="2" w:tplc="9836E51E">
      <w:start w:val="1"/>
      <w:numFmt w:val="bullet"/>
      <w:lvlText w:val=""/>
      <w:lvlJc w:val="left"/>
      <w:pPr>
        <w:tabs>
          <w:tab w:val="num" w:pos="2160"/>
        </w:tabs>
        <w:ind w:left="2160" w:hanging="360"/>
      </w:pPr>
      <w:rPr>
        <w:rFonts w:ascii="Wingdings" w:hAnsi="Wingdings"/>
      </w:rPr>
    </w:lvl>
    <w:lvl w:ilvl="3" w:tplc="3D2C0C08">
      <w:start w:val="1"/>
      <w:numFmt w:val="bullet"/>
      <w:lvlText w:val=""/>
      <w:lvlJc w:val="left"/>
      <w:pPr>
        <w:tabs>
          <w:tab w:val="num" w:pos="2880"/>
        </w:tabs>
        <w:ind w:left="2880" w:hanging="360"/>
      </w:pPr>
      <w:rPr>
        <w:rFonts w:ascii="Symbol" w:hAnsi="Symbol"/>
      </w:rPr>
    </w:lvl>
    <w:lvl w:ilvl="4" w:tplc="070EEC1A">
      <w:start w:val="1"/>
      <w:numFmt w:val="bullet"/>
      <w:lvlText w:val="o"/>
      <w:lvlJc w:val="left"/>
      <w:pPr>
        <w:tabs>
          <w:tab w:val="num" w:pos="3600"/>
        </w:tabs>
        <w:ind w:left="3600" w:hanging="360"/>
      </w:pPr>
      <w:rPr>
        <w:rFonts w:ascii="Courier New" w:hAnsi="Courier New"/>
      </w:rPr>
    </w:lvl>
    <w:lvl w:ilvl="5" w:tplc="5F5CD6F0">
      <w:start w:val="1"/>
      <w:numFmt w:val="bullet"/>
      <w:lvlText w:val=""/>
      <w:lvlJc w:val="left"/>
      <w:pPr>
        <w:tabs>
          <w:tab w:val="num" w:pos="4320"/>
        </w:tabs>
        <w:ind w:left="4320" w:hanging="360"/>
      </w:pPr>
      <w:rPr>
        <w:rFonts w:ascii="Wingdings" w:hAnsi="Wingdings"/>
      </w:rPr>
    </w:lvl>
    <w:lvl w:ilvl="6" w:tplc="2F484942">
      <w:start w:val="1"/>
      <w:numFmt w:val="bullet"/>
      <w:lvlText w:val=""/>
      <w:lvlJc w:val="left"/>
      <w:pPr>
        <w:tabs>
          <w:tab w:val="num" w:pos="5040"/>
        </w:tabs>
        <w:ind w:left="5040" w:hanging="360"/>
      </w:pPr>
      <w:rPr>
        <w:rFonts w:ascii="Symbol" w:hAnsi="Symbol"/>
      </w:rPr>
    </w:lvl>
    <w:lvl w:ilvl="7" w:tplc="D3BC4A80">
      <w:start w:val="1"/>
      <w:numFmt w:val="bullet"/>
      <w:lvlText w:val="o"/>
      <w:lvlJc w:val="left"/>
      <w:pPr>
        <w:tabs>
          <w:tab w:val="num" w:pos="5760"/>
        </w:tabs>
        <w:ind w:left="5760" w:hanging="360"/>
      </w:pPr>
      <w:rPr>
        <w:rFonts w:ascii="Courier New" w:hAnsi="Courier New"/>
      </w:rPr>
    </w:lvl>
    <w:lvl w:ilvl="8" w:tplc="984AE930">
      <w:start w:val="1"/>
      <w:numFmt w:val="bullet"/>
      <w:lvlText w:val=""/>
      <w:lvlJc w:val="left"/>
      <w:pPr>
        <w:tabs>
          <w:tab w:val="num" w:pos="6480"/>
        </w:tabs>
        <w:ind w:left="6480" w:hanging="360"/>
      </w:pPr>
      <w:rPr>
        <w:rFonts w:ascii="Wingdings" w:hAnsi="Wingdings"/>
      </w:rPr>
    </w:lvl>
  </w:abstractNum>
  <w:abstractNum w:abstractNumId="306" w15:restartNumberingAfterBreak="0">
    <w:nsid w:val="7DF628E7"/>
    <w:multiLevelType w:val="hybridMultilevel"/>
    <w:tmpl w:val="7DF628E7"/>
    <w:lvl w:ilvl="0" w:tplc="AF66558A">
      <w:start w:val="1"/>
      <w:numFmt w:val="bullet"/>
      <w:lvlText w:val=""/>
      <w:lvlJc w:val="left"/>
      <w:pPr>
        <w:tabs>
          <w:tab w:val="num" w:pos="720"/>
        </w:tabs>
        <w:ind w:left="720" w:hanging="360"/>
      </w:pPr>
      <w:rPr>
        <w:rFonts w:ascii="Symbol" w:hAnsi="Symbol"/>
      </w:rPr>
    </w:lvl>
    <w:lvl w:ilvl="1" w:tplc="E89660C4">
      <w:start w:val="1"/>
      <w:numFmt w:val="bullet"/>
      <w:lvlText w:val="o"/>
      <w:lvlJc w:val="left"/>
      <w:pPr>
        <w:tabs>
          <w:tab w:val="num" w:pos="1440"/>
        </w:tabs>
        <w:ind w:left="1440" w:hanging="360"/>
      </w:pPr>
      <w:rPr>
        <w:rFonts w:ascii="Courier New" w:hAnsi="Courier New"/>
      </w:rPr>
    </w:lvl>
    <w:lvl w:ilvl="2" w:tplc="C336931C">
      <w:start w:val="1"/>
      <w:numFmt w:val="bullet"/>
      <w:lvlText w:val=""/>
      <w:lvlJc w:val="left"/>
      <w:pPr>
        <w:tabs>
          <w:tab w:val="num" w:pos="2160"/>
        </w:tabs>
        <w:ind w:left="2160" w:hanging="360"/>
      </w:pPr>
      <w:rPr>
        <w:rFonts w:ascii="Wingdings" w:hAnsi="Wingdings"/>
      </w:rPr>
    </w:lvl>
    <w:lvl w:ilvl="3" w:tplc="1C50942C">
      <w:start w:val="1"/>
      <w:numFmt w:val="bullet"/>
      <w:lvlText w:val=""/>
      <w:lvlJc w:val="left"/>
      <w:pPr>
        <w:tabs>
          <w:tab w:val="num" w:pos="2880"/>
        </w:tabs>
        <w:ind w:left="2880" w:hanging="360"/>
      </w:pPr>
      <w:rPr>
        <w:rFonts w:ascii="Symbol" w:hAnsi="Symbol"/>
      </w:rPr>
    </w:lvl>
    <w:lvl w:ilvl="4" w:tplc="C27486F6">
      <w:start w:val="1"/>
      <w:numFmt w:val="bullet"/>
      <w:lvlText w:val="o"/>
      <w:lvlJc w:val="left"/>
      <w:pPr>
        <w:tabs>
          <w:tab w:val="num" w:pos="3600"/>
        </w:tabs>
        <w:ind w:left="3600" w:hanging="360"/>
      </w:pPr>
      <w:rPr>
        <w:rFonts w:ascii="Courier New" w:hAnsi="Courier New"/>
      </w:rPr>
    </w:lvl>
    <w:lvl w:ilvl="5" w:tplc="290C10B8">
      <w:start w:val="1"/>
      <w:numFmt w:val="bullet"/>
      <w:lvlText w:val=""/>
      <w:lvlJc w:val="left"/>
      <w:pPr>
        <w:tabs>
          <w:tab w:val="num" w:pos="4320"/>
        </w:tabs>
        <w:ind w:left="4320" w:hanging="360"/>
      </w:pPr>
      <w:rPr>
        <w:rFonts w:ascii="Wingdings" w:hAnsi="Wingdings"/>
      </w:rPr>
    </w:lvl>
    <w:lvl w:ilvl="6" w:tplc="A76E9148">
      <w:start w:val="1"/>
      <w:numFmt w:val="bullet"/>
      <w:lvlText w:val=""/>
      <w:lvlJc w:val="left"/>
      <w:pPr>
        <w:tabs>
          <w:tab w:val="num" w:pos="5040"/>
        </w:tabs>
        <w:ind w:left="5040" w:hanging="360"/>
      </w:pPr>
      <w:rPr>
        <w:rFonts w:ascii="Symbol" w:hAnsi="Symbol"/>
      </w:rPr>
    </w:lvl>
    <w:lvl w:ilvl="7" w:tplc="F594DC66">
      <w:start w:val="1"/>
      <w:numFmt w:val="bullet"/>
      <w:lvlText w:val="o"/>
      <w:lvlJc w:val="left"/>
      <w:pPr>
        <w:tabs>
          <w:tab w:val="num" w:pos="5760"/>
        </w:tabs>
        <w:ind w:left="5760" w:hanging="360"/>
      </w:pPr>
      <w:rPr>
        <w:rFonts w:ascii="Courier New" w:hAnsi="Courier New"/>
      </w:rPr>
    </w:lvl>
    <w:lvl w:ilvl="8" w:tplc="E89AD9F6">
      <w:start w:val="1"/>
      <w:numFmt w:val="bullet"/>
      <w:lvlText w:val=""/>
      <w:lvlJc w:val="left"/>
      <w:pPr>
        <w:tabs>
          <w:tab w:val="num" w:pos="6480"/>
        </w:tabs>
        <w:ind w:left="6480" w:hanging="360"/>
      </w:pPr>
      <w:rPr>
        <w:rFonts w:ascii="Wingdings" w:hAnsi="Wingdings"/>
      </w:rPr>
    </w:lvl>
  </w:abstractNum>
  <w:abstractNum w:abstractNumId="307" w15:restartNumberingAfterBreak="0">
    <w:nsid w:val="7DF628E8"/>
    <w:multiLevelType w:val="hybridMultilevel"/>
    <w:tmpl w:val="7DF628E8"/>
    <w:lvl w:ilvl="0" w:tplc="B98A64C6">
      <w:start w:val="1"/>
      <w:numFmt w:val="bullet"/>
      <w:lvlText w:val=""/>
      <w:lvlJc w:val="left"/>
      <w:pPr>
        <w:tabs>
          <w:tab w:val="num" w:pos="720"/>
        </w:tabs>
        <w:ind w:left="720" w:hanging="360"/>
      </w:pPr>
      <w:rPr>
        <w:rFonts w:ascii="Symbol" w:hAnsi="Symbol"/>
      </w:rPr>
    </w:lvl>
    <w:lvl w:ilvl="1" w:tplc="544C469E">
      <w:start w:val="1"/>
      <w:numFmt w:val="bullet"/>
      <w:lvlText w:val="o"/>
      <w:lvlJc w:val="left"/>
      <w:pPr>
        <w:tabs>
          <w:tab w:val="num" w:pos="1440"/>
        </w:tabs>
        <w:ind w:left="1440" w:hanging="360"/>
      </w:pPr>
      <w:rPr>
        <w:rFonts w:ascii="Courier New" w:hAnsi="Courier New"/>
      </w:rPr>
    </w:lvl>
    <w:lvl w:ilvl="2" w:tplc="A2F2C4B8">
      <w:start w:val="1"/>
      <w:numFmt w:val="bullet"/>
      <w:lvlText w:val=""/>
      <w:lvlJc w:val="left"/>
      <w:pPr>
        <w:tabs>
          <w:tab w:val="num" w:pos="2160"/>
        </w:tabs>
        <w:ind w:left="2160" w:hanging="360"/>
      </w:pPr>
      <w:rPr>
        <w:rFonts w:ascii="Wingdings" w:hAnsi="Wingdings"/>
      </w:rPr>
    </w:lvl>
    <w:lvl w:ilvl="3" w:tplc="591AC37E">
      <w:start w:val="1"/>
      <w:numFmt w:val="bullet"/>
      <w:lvlText w:val=""/>
      <w:lvlJc w:val="left"/>
      <w:pPr>
        <w:tabs>
          <w:tab w:val="num" w:pos="2880"/>
        </w:tabs>
        <w:ind w:left="2880" w:hanging="360"/>
      </w:pPr>
      <w:rPr>
        <w:rFonts w:ascii="Symbol" w:hAnsi="Symbol"/>
      </w:rPr>
    </w:lvl>
    <w:lvl w:ilvl="4" w:tplc="5128EF16">
      <w:start w:val="1"/>
      <w:numFmt w:val="bullet"/>
      <w:lvlText w:val="o"/>
      <w:lvlJc w:val="left"/>
      <w:pPr>
        <w:tabs>
          <w:tab w:val="num" w:pos="3600"/>
        </w:tabs>
        <w:ind w:left="3600" w:hanging="360"/>
      </w:pPr>
      <w:rPr>
        <w:rFonts w:ascii="Courier New" w:hAnsi="Courier New"/>
      </w:rPr>
    </w:lvl>
    <w:lvl w:ilvl="5" w:tplc="9FD88A7C">
      <w:start w:val="1"/>
      <w:numFmt w:val="bullet"/>
      <w:lvlText w:val=""/>
      <w:lvlJc w:val="left"/>
      <w:pPr>
        <w:tabs>
          <w:tab w:val="num" w:pos="4320"/>
        </w:tabs>
        <w:ind w:left="4320" w:hanging="360"/>
      </w:pPr>
      <w:rPr>
        <w:rFonts w:ascii="Wingdings" w:hAnsi="Wingdings"/>
      </w:rPr>
    </w:lvl>
    <w:lvl w:ilvl="6" w:tplc="3B58FEAA">
      <w:start w:val="1"/>
      <w:numFmt w:val="bullet"/>
      <w:lvlText w:val=""/>
      <w:lvlJc w:val="left"/>
      <w:pPr>
        <w:tabs>
          <w:tab w:val="num" w:pos="5040"/>
        </w:tabs>
        <w:ind w:left="5040" w:hanging="360"/>
      </w:pPr>
      <w:rPr>
        <w:rFonts w:ascii="Symbol" w:hAnsi="Symbol"/>
      </w:rPr>
    </w:lvl>
    <w:lvl w:ilvl="7" w:tplc="8118FAF4">
      <w:start w:val="1"/>
      <w:numFmt w:val="bullet"/>
      <w:lvlText w:val="o"/>
      <w:lvlJc w:val="left"/>
      <w:pPr>
        <w:tabs>
          <w:tab w:val="num" w:pos="5760"/>
        </w:tabs>
        <w:ind w:left="5760" w:hanging="360"/>
      </w:pPr>
      <w:rPr>
        <w:rFonts w:ascii="Courier New" w:hAnsi="Courier New"/>
      </w:rPr>
    </w:lvl>
    <w:lvl w:ilvl="8" w:tplc="0D48FD1E">
      <w:start w:val="1"/>
      <w:numFmt w:val="bullet"/>
      <w:lvlText w:val=""/>
      <w:lvlJc w:val="left"/>
      <w:pPr>
        <w:tabs>
          <w:tab w:val="num" w:pos="6480"/>
        </w:tabs>
        <w:ind w:left="6480" w:hanging="360"/>
      </w:pPr>
      <w:rPr>
        <w:rFonts w:ascii="Wingdings" w:hAnsi="Wingdings"/>
      </w:rPr>
    </w:lvl>
  </w:abstractNum>
  <w:abstractNum w:abstractNumId="308" w15:restartNumberingAfterBreak="0">
    <w:nsid w:val="7DF628E9"/>
    <w:multiLevelType w:val="multilevel"/>
    <w:tmpl w:val="7DF628E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9" w15:restartNumberingAfterBreak="0">
    <w:nsid w:val="7DF628EA"/>
    <w:multiLevelType w:val="hybridMultilevel"/>
    <w:tmpl w:val="7DF628EA"/>
    <w:lvl w:ilvl="0" w:tplc="20B055B4">
      <w:start w:val="1"/>
      <w:numFmt w:val="bullet"/>
      <w:lvlText w:val=""/>
      <w:lvlJc w:val="left"/>
      <w:pPr>
        <w:tabs>
          <w:tab w:val="num" w:pos="720"/>
        </w:tabs>
        <w:ind w:left="720" w:hanging="360"/>
      </w:pPr>
      <w:rPr>
        <w:rFonts w:ascii="Symbol" w:hAnsi="Symbol"/>
      </w:rPr>
    </w:lvl>
    <w:lvl w:ilvl="1" w:tplc="347496B2">
      <w:start w:val="1"/>
      <w:numFmt w:val="bullet"/>
      <w:lvlText w:val="o"/>
      <w:lvlJc w:val="left"/>
      <w:pPr>
        <w:tabs>
          <w:tab w:val="num" w:pos="1440"/>
        </w:tabs>
        <w:ind w:left="1440" w:hanging="360"/>
      </w:pPr>
      <w:rPr>
        <w:rFonts w:ascii="Courier New" w:hAnsi="Courier New"/>
      </w:rPr>
    </w:lvl>
    <w:lvl w:ilvl="2" w:tplc="A4C00B9E">
      <w:start w:val="1"/>
      <w:numFmt w:val="bullet"/>
      <w:lvlText w:val=""/>
      <w:lvlJc w:val="left"/>
      <w:pPr>
        <w:tabs>
          <w:tab w:val="num" w:pos="2160"/>
        </w:tabs>
        <w:ind w:left="2160" w:hanging="360"/>
      </w:pPr>
      <w:rPr>
        <w:rFonts w:ascii="Wingdings" w:hAnsi="Wingdings"/>
      </w:rPr>
    </w:lvl>
    <w:lvl w:ilvl="3" w:tplc="0FF22FF6">
      <w:start w:val="1"/>
      <w:numFmt w:val="bullet"/>
      <w:lvlText w:val=""/>
      <w:lvlJc w:val="left"/>
      <w:pPr>
        <w:tabs>
          <w:tab w:val="num" w:pos="2880"/>
        </w:tabs>
        <w:ind w:left="2880" w:hanging="360"/>
      </w:pPr>
      <w:rPr>
        <w:rFonts w:ascii="Symbol" w:hAnsi="Symbol"/>
      </w:rPr>
    </w:lvl>
    <w:lvl w:ilvl="4" w:tplc="7C2AD0F4">
      <w:start w:val="1"/>
      <w:numFmt w:val="bullet"/>
      <w:lvlText w:val="o"/>
      <w:lvlJc w:val="left"/>
      <w:pPr>
        <w:tabs>
          <w:tab w:val="num" w:pos="3600"/>
        </w:tabs>
        <w:ind w:left="3600" w:hanging="360"/>
      </w:pPr>
      <w:rPr>
        <w:rFonts w:ascii="Courier New" w:hAnsi="Courier New"/>
      </w:rPr>
    </w:lvl>
    <w:lvl w:ilvl="5" w:tplc="CBB221EA">
      <w:start w:val="1"/>
      <w:numFmt w:val="bullet"/>
      <w:lvlText w:val=""/>
      <w:lvlJc w:val="left"/>
      <w:pPr>
        <w:tabs>
          <w:tab w:val="num" w:pos="4320"/>
        </w:tabs>
        <w:ind w:left="4320" w:hanging="360"/>
      </w:pPr>
      <w:rPr>
        <w:rFonts w:ascii="Wingdings" w:hAnsi="Wingdings"/>
      </w:rPr>
    </w:lvl>
    <w:lvl w:ilvl="6" w:tplc="53DA2F3C">
      <w:start w:val="1"/>
      <w:numFmt w:val="bullet"/>
      <w:lvlText w:val=""/>
      <w:lvlJc w:val="left"/>
      <w:pPr>
        <w:tabs>
          <w:tab w:val="num" w:pos="5040"/>
        </w:tabs>
        <w:ind w:left="5040" w:hanging="360"/>
      </w:pPr>
      <w:rPr>
        <w:rFonts w:ascii="Symbol" w:hAnsi="Symbol"/>
      </w:rPr>
    </w:lvl>
    <w:lvl w:ilvl="7" w:tplc="58A6297A">
      <w:start w:val="1"/>
      <w:numFmt w:val="bullet"/>
      <w:lvlText w:val="o"/>
      <w:lvlJc w:val="left"/>
      <w:pPr>
        <w:tabs>
          <w:tab w:val="num" w:pos="5760"/>
        </w:tabs>
        <w:ind w:left="5760" w:hanging="360"/>
      </w:pPr>
      <w:rPr>
        <w:rFonts w:ascii="Courier New" w:hAnsi="Courier New"/>
      </w:rPr>
    </w:lvl>
    <w:lvl w:ilvl="8" w:tplc="96A00578">
      <w:start w:val="1"/>
      <w:numFmt w:val="bullet"/>
      <w:lvlText w:val=""/>
      <w:lvlJc w:val="left"/>
      <w:pPr>
        <w:tabs>
          <w:tab w:val="num" w:pos="6480"/>
        </w:tabs>
        <w:ind w:left="6480" w:hanging="360"/>
      </w:pPr>
      <w:rPr>
        <w:rFonts w:ascii="Wingdings" w:hAnsi="Wingdings"/>
      </w:rPr>
    </w:lvl>
  </w:abstractNum>
  <w:abstractNum w:abstractNumId="310" w15:restartNumberingAfterBreak="0">
    <w:nsid w:val="7DF628EB"/>
    <w:multiLevelType w:val="hybridMultilevel"/>
    <w:tmpl w:val="7DF628EB"/>
    <w:lvl w:ilvl="0" w:tplc="64B2793A">
      <w:start w:val="1"/>
      <w:numFmt w:val="bullet"/>
      <w:lvlText w:val=""/>
      <w:lvlJc w:val="left"/>
      <w:pPr>
        <w:tabs>
          <w:tab w:val="num" w:pos="720"/>
        </w:tabs>
        <w:ind w:left="720" w:hanging="360"/>
      </w:pPr>
      <w:rPr>
        <w:rFonts w:ascii="Symbol" w:hAnsi="Symbol"/>
      </w:rPr>
    </w:lvl>
    <w:lvl w:ilvl="1" w:tplc="471EBC98">
      <w:start w:val="1"/>
      <w:numFmt w:val="bullet"/>
      <w:lvlText w:val="o"/>
      <w:lvlJc w:val="left"/>
      <w:pPr>
        <w:tabs>
          <w:tab w:val="num" w:pos="1440"/>
        </w:tabs>
        <w:ind w:left="1440" w:hanging="360"/>
      </w:pPr>
      <w:rPr>
        <w:rFonts w:ascii="Courier New" w:hAnsi="Courier New"/>
      </w:rPr>
    </w:lvl>
    <w:lvl w:ilvl="2" w:tplc="8A8455E0">
      <w:start w:val="1"/>
      <w:numFmt w:val="bullet"/>
      <w:lvlText w:val=""/>
      <w:lvlJc w:val="left"/>
      <w:pPr>
        <w:tabs>
          <w:tab w:val="num" w:pos="2160"/>
        </w:tabs>
        <w:ind w:left="2160" w:hanging="360"/>
      </w:pPr>
      <w:rPr>
        <w:rFonts w:ascii="Wingdings" w:hAnsi="Wingdings"/>
      </w:rPr>
    </w:lvl>
    <w:lvl w:ilvl="3" w:tplc="CC9E75E0">
      <w:start w:val="1"/>
      <w:numFmt w:val="bullet"/>
      <w:lvlText w:val=""/>
      <w:lvlJc w:val="left"/>
      <w:pPr>
        <w:tabs>
          <w:tab w:val="num" w:pos="2880"/>
        </w:tabs>
        <w:ind w:left="2880" w:hanging="360"/>
      </w:pPr>
      <w:rPr>
        <w:rFonts w:ascii="Symbol" w:hAnsi="Symbol"/>
      </w:rPr>
    </w:lvl>
    <w:lvl w:ilvl="4" w:tplc="81AC202C">
      <w:start w:val="1"/>
      <w:numFmt w:val="bullet"/>
      <w:lvlText w:val="o"/>
      <w:lvlJc w:val="left"/>
      <w:pPr>
        <w:tabs>
          <w:tab w:val="num" w:pos="3600"/>
        </w:tabs>
        <w:ind w:left="3600" w:hanging="360"/>
      </w:pPr>
      <w:rPr>
        <w:rFonts w:ascii="Courier New" w:hAnsi="Courier New"/>
      </w:rPr>
    </w:lvl>
    <w:lvl w:ilvl="5" w:tplc="BBD0A6B4">
      <w:start w:val="1"/>
      <w:numFmt w:val="bullet"/>
      <w:lvlText w:val=""/>
      <w:lvlJc w:val="left"/>
      <w:pPr>
        <w:tabs>
          <w:tab w:val="num" w:pos="4320"/>
        </w:tabs>
        <w:ind w:left="4320" w:hanging="360"/>
      </w:pPr>
      <w:rPr>
        <w:rFonts w:ascii="Wingdings" w:hAnsi="Wingdings"/>
      </w:rPr>
    </w:lvl>
    <w:lvl w:ilvl="6" w:tplc="F08EFB64">
      <w:start w:val="1"/>
      <w:numFmt w:val="bullet"/>
      <w:lvlText w:val=""/>
      <w:lvlJc w:val="left"/>
      <w:pPr>
        <w:tabs>
          <w:tab w:val="num" w:pos="5040"/>
        </w:tabs>
        <w:ind w:left="5040" w:hanging="360"/>
      </w:pPr>
      <w:rPr>
        <w:rFonts w:ascii="Symbol" w:hAnsi="Symbol"/>
      </w:rPr>
    </w:lvl>
    <w:lvl w:ilvl="7" w:tplc="F3A0F9A8">
      <w:start w:val="1"/>
      <w:numFmt w:val="bullet"/>
      <w:lvlText w:val="o"/>
      <w:lvlJc w:val="left"/>
      <w:pPr>
        <w:tabs>
          <w:tab w:val="num" w:pos="5760"/>
        </w:tabs>
        <w:ind w:left="5760" w:hanging="360"/>
      </w:pPr>
      <w:rPr>
        <w:rFonts w:ascii="Courier New" w:hAnsi="Courier New"/>
      </w:rPr>
    </w:lvl>
    <w:lvl w:ilvl="8" w:tplc="2EB8B29C">
      <w:start w:val="1"/>
      <w:numFmt w:val="bullet"/>
      <w:lvlText w:val=""/>
      <w:lvlJc w:val="left"/>
      <w:pPr>
        <w:tabs>
          <w:tab w:val="num" w:pos="6480"/>
        </w:tabs>
        <w:ind w:left="6480" w:hanging="360"/>
      </w:pPr>
      <w:rPr>
        <w:rFonts w:ascii="Wingdings" w:hAnsi="Wingdings"/>
      </w:rPr>
    </w:lvl>
  </w:abstractNum>
  <w:abstractNum w:abstractNumId="311" w15:restartNumberingAfterBreak="0">
    <w:nsid w:val="7DF628EC"/>
    <w:multiLevelType w:val="hybridMultilevel"/>
    <w:tmpl w:val="7DF628EC"/>
    <w:lvl w:ilvl="0" w:tplc="56464C26">
      <w:start w:val="1"/>
      <w:numFmt w:val="bullet"/>
      <w:lvlText w:val=""/>
      <w:lvlJc w:val="left"/>
      <w:pPr>
        <w:tabs>
          <w:tab w:val="num" w:pos="720"/>
        </w:tabs>
        <w:ind w:left="720" w:hanging="360"/>
      </w:pPr>
      <w:rPr>
        <w:rFonts w:ascii="Symbol" w:hAnsi="Symbol"/>
      </w:rPr>
    </w:lvl>
    <w:lvl w:ilvl="1" w:tplc="C03EAEC6">
      <w:start w:val="1"/>
      <w:numFmt w:val="bullet"/>
      <w:lvlText w:val="o"/>
      <w:lvlJc w:val="left"/>
      <w:pPr>
        <w:tabs>
          <w:tab w:val="num" w:pos="1440"/>
        </w:tabs>
        <w:ind w:left="1440" w:hanging="360"/>
      </w:pPr>
      <w:rPr>
        <w:rFonts w:ascii="Courier New" w:hAnsi="Courier New"/>
      </w:rPr>
    </w:lvl>
    <w:lvl w:ilvl="2" w:tplc="5CEE99A8">
      <w:start w:val="1"/>
      <w:numFmt w:val="bullet"/>
      <w:lvlText w:val=""/>
      <w:lvlJc w:val="left"/>
      <w:pPr>
        <w:tabs>
          <w:tab w:val="num" w:pos="2160"/>
        </w:tabs>
        <w:ind w:left="2160" w:hanging="360"/>
      </w:pPr>
      <w:rPr>
        <w:rFonts w:ascii="Wingdings" w:hAnsi="Wingdings"/>
      </w:rPr>
    </w:lvl>
    <w:lvl w:ilvl="3" w:tplc="2DE6429C">
      <w:start w:val="1"/>
      <w:numFmt w:val="bullet"/>
      <w:lvlText w:val=""/>
      <w:lvlJc w:val="left"/>
      <w:pPr>
        <w:tabs>
          <w:tab w:val="num" w:pos="2880"/>
        </w:tabs>
        <w:ind w:left="2880" w:hanging="360"/>
      </w:pPr>
      <w:rPr>
        <w:rFonts w:ascii="Symbol" w:hAnsi="Symbol"/>
      </w:rPr>
    </w:lvl>
    <w:lvl w:ilvl="4" w:tplc="E4566F5E">
      <w:start w:val="1"/>
      <w:numFmt w:val="bullet"/>
      <w:lvlText w:val="o"/>
      <w:lvlJc w:val="left"/>
      <w:pPr>
        <w:tabs>
          <w:tab w:val="num" w:pos="3600"/>
        </w:tabs>
        <w:ind w:left="3600" w:hanging="360"/>
      </w:pPr>
      <w:rPr>
        <w:rFonts w:ascii="Courier New" w:hAnsi="Courier New"/>
      </w:rPr>
    </w:lvl>
    <w:lvl w:ilvl="5" w:tplc="0448A24E">
      <w:start w:val="1"/>
      <w:numFmt w:val="bullet"/>
      <w:lvlText w:val=""/>
      <w:lvlJc w:val="left"/>
      <w:pPr>
        <w:tabs>
          <w:tab w:val="num" w:pos="4320"/>
        </w:tabs>
        <w:ind w:left="4320" w:hanging="360"/>
      </w:pPr>
      <w:rPr>
        <w:rFonts w:ascii="Wingdings" w:hAnsi="Wingdings"/>
      </w:rPr>
    </w:lvl>
    <w:lvl w:ilvl="6" w:tplc="33EEBDBC">
      <w:start w:val="1"/>
      <w:numFmt w:val="bullet"/>
      <w:lvlText w:val=""/>
      <w:lvlJc w:val="left"/>
      <w:pPr>
        <w:tabs>
          <w:tab w:val="num" w:pos="5040"/>
        </w:tabs>
        <w:ind w:left="5040" w:hanging="360"/>
      </w:pPr>
      <w:rPr>
        <w:rFonts w:ascii="Symbol" w:hAnsi="Symbol"/>
      </w:rPr>
    </w:lvl>
    <w:lvl w:ilvl="7" w:tplc="88186344">
      <w:start w:val="1"/>
      <w:numFmt w:val="bullet"/>
      <w:lvlText w:val="o"/>
      <w:lvlJc w:val="left"/>
      <w:pPr>
        <w:tabs>
          <w:tab w:val="num" w:pos="5760"/>
        </w:tabs>
        <w:ind w:left="5760" w:hanging="360"/>
      </w:pPr>
      <w:rPr>
        <w:rFonts w:ascii="Courier New" w:hAnsi="Courier New"/>
      </w:rPr>
    </w:lvl>
    <w:lvl w:ilvl="8" w:tplc="B43E1CB4">
      <w:start w:val="1"/>
      <w:numFmt w:val="bullet"/>
      <w:lvlText w:val=""/>
      <w:lvlJc w:val="left"/>
      <w:pPr>
        <w:tabs>
          <w:tab w:val="num" w:pos="6480"/>
        </w:tabs>
        <w:ind w:left="6480" w:hanging="360"/>
      </w:pPr>
      <w:rPr>
        <w:rFonts w:ascii="Wingdings" w:hAnsi="Wingdings"/>
      </w:rPr>
    </w:lvl>
  </w:abstractNum>
  <w:abstractNum w:abstractNumId="312" w15:restartNumberingAfterBreak="0">
    <w:nsid w:val="7DF628ED"/>
    <w:multiLevelType w:val="hybridMultilevel"/>
    <w:tmpl w:val="7DF628ED"/>
    <w:lvl w:ilvl="0" w:tplc="44FCE606">
      <w:start w:val="1"/>
      <w:numFmt w:val="bullet"/>
      <w:lvlText w:val=""/>
      <w:lvlJc w:val="left"/>
      <w:pPr>
        <w:tabs>
          <w:tab w:val="num" w:pos="720"/>
        </w:tabs>
        <w:ind w:left="720" w:hanging="360"/>
      </w:pPr>
      <w:rPr>
        <w:rFonts w:ascii="Symbol" w:hAnsi="Symbol"/>
      </w:rPr>
    </w:lvl>
    <w:lvl w:ilvl="1" w:tplc="176283EE">
      <w:start w:val="1"/>
      <w:numFmt w:val="bullet"/>
      <w:lvlText w:val="o"/>
      <w:lvlJc w:val="left"/>
      <w:pPr>
        <w:tabs>
          <w:tab w:val="num" w:pos="1440"/>
        </w:tabs>
        <w:ind w:left="1440" w:hanging="360"/>
      </w:pPr>
      <w:rPr>
        <w:rFonts w:ascii="Courier New" w:hAnsi="Courier New"/>
      </w:rPr>
    </w:lvl>
    <w:lvl w:ilvl="2" w:tplc="AD60CEFE">
      <w:start w:val="1"/>
      <w:numFmt w:val="bullet"/>
      <w:lvlText w:val=""/>
      <w:lvlJc w:val="left"/>
      <w:pPr>
        <w:tabs>
          <w:tab w:val="num" w:pos="2160"/>
        </w:tabs>
        <w:ind w:left="2160" w:hanging="360"/>
      </w:pPr>
      <w:rPr>
        <w:rFonts w:ascii="Wingdings" w:hAnsi="Wingdings"/>
      </w:rPr>
    </w:lvl>
    <w:lvl w:ilvl="3" w:tplc="8EA6002C">
      <w:start w:val="1"/>
      <w:numFmt w:val="bullet"/>
      <w:lvlText w:val=""/>
      <w:lvlJc w:val="left"/>
      <w:pPr>
        <w:tabs>
          <w:tab w:val="num" w:pos="2880"/>
        </w:tabs>
        <w:ind w:left="2880" w:hanging="360"/>
      </w:pPr>
      <w:rPr>
        <w:rFonts w:ascii="Symbol" w:hAnsi="Symbol"/>
      </w:rPr>
    </w:lvl>
    <w:lvl w:ilvl="4" w:tplc="188034EC">
      <w:start w:val="1"/>
      <w:numFmt w:val="bullet"/>
      <w:lvlText w:val="o"/>
      <w:lvlJc w:val="left"/>
      <w:pPr>
        <w:tabs>
          <w:tab w:val="num" w:pos="3600"/>
        </w:tabs>
        <w:ind w:left="3600" w:hanging="360"/>
      </w:pPr>
      <w:rPr>
        <w:rFonts w:ascii="Courier New" w:hAnsi="Courier New"/>
      </w:rPr>
    </w:lvl>
    <w:lvl w:ilvl="5" w:tplc="CB18DC0C">
      <w:start w:val="1"/>
      <w:numFmt w:val="bullet"/>
      <w:lvlText w:val=""/>
      <w:lvlJc w:val="left"/>
      <w:pPr>
        <w:tabs>
          <w:tab w:val="num" w:pos="4320"/>
        </w:tabs>
        <w:ind w:left="4320" w:hanging="360"/>
      </w:pPr>
      <w:rPr>
        <w:rFonts w:ascii="Wingdings" w:hAnsi="Wingdings"/>
      </w:rPr>
    </w:lvl>
    <w:lvl w:ilvl="6" w:tplc="75D62A46">
      <w:start w:val="1"/>
      <w:numFmt w:val="bullet"/>
      <w:lvlText w:val=""/>
      <w:lvlJc w:val="left"/>
      <w:pPr>
        <w:tabs>
          <w:tab w:val="num" w:pos="5040"/>
        </w:tabs>
        <w:ind w:left="5040" w:hanging="360"/>
      </w:pPr>
      <w:rPr>
        <w:rFonts w:ascii="Symbol" w:hAnsi="Symbol"/>
      </w:rPr>
    </w:lvl>
    <w:lvl w:ilvl="7" w:tplc="423C543C">
      <w:start w:val="1"/>
      <w:numFmt w:val="bullet"/>
      <w:lvlText w:val="o"/>
      <w:lvlJc w:val="left"/>
      <w:pPr>
        <w:tabs>
          <w:tab w:val="num" w:pos="5760"/>
        </w:tabs>
        <w:ind w:left="5760" w:hanging="360"/>
      </w:pPr>
      <w:rPr>
        <w:rFonts w:ascii="Courier New" w:hAnsi="Courier New"/>
      </w:rPr>
    </w:lvl>
    <w:lvl w:ilvl="8" w:tplc="08B6912A">
      <w:start w:val="1"/>
      <w:numFmt w:val="bullet"/>
      <w:lvlText w:val=""/>
      <w:lvlJc w:val="left"/>
      <w:pPr>
        <w:tabs>
          <w:tab w:val="num" w:pos="6480"/>
        </w:tabs>
        <w:ind w:left="6480" w:hanging="360"/>
      </w:pPr>
      <w:rPr>
        <w:rFonts w:ascii="Wingdings" w:hAnsi="Wingdings"/>
      </w:rPr>
    </w:lvl>
  </w:abstractNum>
  <w:abstractNum w:abstractNumId="313" w15:restartNumberingAfterBreak="0">
    <w:nsid w:val="7DF628EE"/>
    <w:multiLevelType w:val="hybridMultilevel"/>
    <w:tmpl w:val="7DF628EE"/>
    <w:lvl w:ilvl="0" w:tplc="E72E70F2">
      <w:start w:val="1"/>
      <w:numFmt w:val="bullet"/>
      <w:lvlText w:val=""/>
      <w:lvlJc w:val="left"/>
      <w:pPr>
        <w:tabs>
          <w:tab w:val="num" w:pos="720"/>
        </w:tabs>
        <w:ind w:left="720" w:hanging="360"/>
      </w:pPr>
      <w:rPr>
        <w:rFonts w:ascii="Symbol" w:hAnsi="Symbol"/>
      </w:rPr>
    </w:lvl>
    <w:lvl w:ilvl="1" w:tplc="8A7089E8">
      <w:start w:val="1"/>
      <w:numFmt w:val="bullet"/>
      <w:lvlText w:val="o"/>
      <w:lvlJc w:val="left"/>
      <w:pPr>
        <w:tabs>
          <w:tab w:val="num" w:pos="1440"/>
        </w:tabs>
        <w:ind w:left="1440" w:hanging="360"/>
      </w:pPr>
      <w:rPr>
        <w:rFonts w:ascii="Courier New" w:hAnsi="Courier New"/>
      </w:rPr>
    </w:lvl>
    <w:lvl w:ilvl="2" w:tplc="0D2C9808">
      <w:start w:val="1"/>
      <w:numFmt w:val="bullet"/>
      <w:lvlText w:val=""/>
      <w:lvlJc w:val="left"/>
      <w:pPr>
        <w:tabs>
          <w:tab w:val="num" w:pos="2160"/>
        </w:tabs>
        <w:ind w:left="2160" w:hanging="360"/>
      </w:pPr>
      <w:rPr>
        <w:rFonts w:ascii="Wingdings" w:hAnsi="Wingdings"/>
      </w:rPr>
    </w:lvl>
    <w:lvl w:ilvl="3" w:tplc="009EEF40">
      <w:start w:val="1"/>
      <w:numFmt w:val="bullet"/>
      <w:lvlText w:val=""/>
      <w:lvlJc w:val="left"/>
      <w:pPr>
        <w:tabs>
          <w:tab w:val="num" w:pos="2880"/>
        </w:tabs>
        <w:ind w:left="2880" w:hanging="360"/>
      </w:pPr>
      <w:rPr>
        <w:rFonts w:ascii="Symbol" w:hAnsi="Symbol"/>
      </w:rPr>
    </w:lvl>
    <w:lvl w:ilvl="4" w:tplc="F618BF80">
      <w:start w:val="1"/>
      <w:numFmt w:val="bullet"/>
      <w:lvlText w:val="o"/>
      <w:lvlJc w:val="left"/>
      <w:pPr>
        <w:tabs>
          <w:tab w:val="num" w:pos="3600"/>
        </w:tabs>
        <w:ind w:left="3600" w:hanging="360"/>
      </w:pPr>
      <w:rPr>
        <w:rFonts w:ascii="Courier New" w:hAnsi="Courier New"/>
      </w:rPr>
    </w:lvl>
    <w:lvl w:ilvl="5" w:tplc="069848C8">
      <w:start w:val="1"/>
      <w:numFmt w:val="bullet"/>
      <w:lvlText w:val=""/>
      <w:lvlJc w:val="left"/>
      <w:pPr>
        <w:tabs>
          <w:tab w:val="num" w:pos="4320"/>
        </w:tabs>
        <w:ind w:left="4320" w:hanging="360"/>
      </w:pPr>
      <w:rPr>
        <w:rFonts w:ascii="Wingdings" w:hAnsi="Wingdings"/>
      </w:rPr>
    </w:lvl>
    <w:lvl w:ilvl="6" w:tplc="7D1AC95A">
      <w:start w:val="1"/>
      <w:numFmt w:val="bullet"/>
      <w:lvlText w:val=""/>
      <w:lvlJc w:val="left"/>
      <w:pPr>
        <w:tabs>
          <w:tab w:val="num" w:pos="5040"/>
        </w:tabs>
        <w:ind w:left="5040" w:hanging="360"/>
      </w:pPr>
      <w:rPr>
        <w:rFonts w:ascii="Symbol" w:hAnsi="Symbol"/>
      </w:rPr>
    </w:lvl>
    <w:lvl w:ilvl="7" w:tplc="0234D5B4">
      <w:start w:val="1"/>
      <w:numFmt w:val="bullet"/>
      <w:lvlText w:val="o"/>
      <w:lvlJc w:val="left"/>
      <w:pPr>
        <w:tabs>
          <w:tab w:val="num" w:pos="5760"/>
        </w:tabs>
        <w:ind w:left="5760" w:hanging="360"/>
      </w:pPr>
      <w:rPr>
        <w:rFonts w:ascii="Courier New" w:hAnsi="Courier New"/>
      </w:rPr>
    </w:lvl>
    <w:lvl w:ilvl="8" w:tplc="04244F1A">
      <w:start w:val="1"/>
      <w:numFmt w:val="bullet"/>
      <w:lvlText w:val=""/>
      <w:lvlJc w:val="left"/>
      <w:pPr>
        <w:tabs>
          <w:tab w:val="num" w:pos="6480"/>
        </w:tabs>
        <w:ind w:left="6480" w:hanging="360"/>
      </w:pPr>
      <w:rPr>
        <w:rFonts w:ascii="Wingdings" w:hAnsi="Wingdings"/>
      </w:rPr>
    </w:lvl>
  </w:abstractNum>
  <w:abstractNum w:abstractNumId="314" w15:restartNumberingAfterBreak="0">
    <w:nsid w:val="7DF628EF"/>
    <w:multiLevelType w:val="hybridMultilevel"/>
    <w:tmpl w:val="7DF628EF"/>
    <w:lvl w:ilvl="0" w:tplc="6E320A26">
      <w:start w:val="1"/>
      <w:numFmt w:val="bullet"/>
      <w:lvlText w:val=""/>
      <w:lvlJc w:val="left"/>
      <w:pPr>
        <w:tabs>
          <w:tab w:val="num" w:pos="720"/>
        </w:tabs>
        <w:ind w:left="720" w:hanging="360"/>
      </w:pPr>
      <w:rPr>
        <w:rFonts w:ascii="Symbol" w:hAnsi="Symbol"/>
      </w:rPr>
    </w:lvl>
    <w:lvl w:ilvl="1" w:tplc="CD085BC6">
      <w:start w:val="1"/>
      <w:numFmt w:val="bullet"/>
      <w:lvlText w:val="o"/>
      <w:lvlJc w:val="left"/>
      <w:pPr>
        <w:tabs>
          <w:tab w:val="num" w:pos="1440"/>
        </w:tabs>
        <w:ind w:left="1440" w:hanging="360"/>
      </w:pPr>
      <w:rPr>
        <w:rFonts w:ascii="Courier New" w:hAnsi="Courier New"/>
      </w:rPr>
    </w:lvl>
    <w:lvl w:ilvl="2" w:tplc="33EA240C">
      <w:start w:val="1"/>
      <w:numFmt w:val="bullet"/>
      <w:lvlText w:val=""/>
      <w:lvlJc w:val="left"/>
      <w:pPr>
        <w:tabs>
          <w:tab w:val="num" w:pos="2160"/>
        </w:tabs>
        <w:ind w:left="2160" w:hanging="360"/>
      </w:pPr>
      <w:rPr>
        <w:rFonts w:ascii="Wingdings" w:hAnsi="Wingdings"/>
      </w:rPr>
    </w:lvl>
    <w:lvl w:ilvl="3" w:tplc="5E160278">
      <w:start w:val="1"/>
      <w:numFmt w:val="bullet"/>
      <w:lvlText w:val=""/>
      <w:lvlJc w:val="left"/>
      <w:pPr>
        <w:tabs>
          <w:tab w:val="num" w:pos="2880"/>
        </w:tabs>
        <w:ind w:left="2880" w:hanging="360"/>
      </w:pPr>
      <w:rPr>
        <w:rFonts w:ascii="Symbol" w:hAnsi="Symbol"/>
      </w:rPr>
    </w:lvl>
    <w:lvl w:ilvl="4" w:tplc="311A178C">
      <w:start w:val="1"/>
      <w:numFmt w:val="bullet"/>
      <w:lvlText w:val="o"/>
      <w:lvlJc w:val="left"/>
      <w:pPr>
        <w:tabs>
          <w:tab w:val="num" w:pos="3600"/>
        </w:tabs>
        <w:ind w:left="3600" w:hanging="360"/>
      </w:pPr>
      <w:rPr>
        <w:rFonts w:ascii="Courier New" w:hAnsi="Courier New"/>
      </w:rPr>
    </w:lvl>
    <w:lvl w:ilvl="5" w:tplc="CA56DE70">
      <w:start w:val="1"/>
      <w:numFmt w:val="bullet"/>
      <w:lvlText w:val=""/>
      <w:lvlJc w:val="left"/>
      <w:pPr>
        <w:tabs>
          <w:tab w:val="num" w:pos="4320"/>
        </w:tabs>
        <w:ind w:left="4320" w:hanging="360"/>
      </w:pPr>
      <w:rPr>
        <w:rFonts w:ascii="Wingdings" w:hAnsi="Wingdings"/>
      </w:rPr>
    </w:lvl>
    <w:lvl w:ilvl="6" w:tplc="F922405C">
      <w:start w:val="1"/>
      <w:numFmt w:val="bullet"/>
      <w:lvlText w:val=""/>
      <w:lvlJc w:val="left"/>
      <w:pPr>
        <w:tabs>
          <w:tab w:val="num" w:pos="5040"/>
        </w:tabs>
        <w:ind w:left="5040" w:hanging="360"/>
      </w:pPr>
      <w:rPr>
        <w:rFonts w:ascii="Symbol" w:hAnsi="Symbol"/>
      </w:rPr>
    </w:lvl>
    <w:lvl w:ilvl="7" w:tplc="7F649F52">
      <w:start w:val="1"/>
      <w:numFmt w:val="bullet"/>
      <w:lvlText w:val="o"/>
      <w:lvlJc w:val="left"/>
      <w:pPr>
        <w:tabs>
          <w:tab w:val="num" w:pos="5760"/>
        </w:tabs>
        <w:ind w:left="5760" w:hanging="360"/>
      </w:pPr>
      <w:rPr>
        <w:rFonts w:ascii="Courier New" w:hAnsi="Courier New"/>
      </w:rPr>
    </w:lvl>
    <w:lvl w:ilvl="8" w:tplc="B1463D36">
      <w:start w:val="1"/>
      <w:numFmt w:val="bullet"/>
      <w:lvlText w:val=""/>
      <w:lvlJc w:val="left"/>
      <w:pPr>
        <w:tabs>
          <w:tab w:val="num" w:pos="6480"/>
        </w:tabs>
        <w:ind w:left="6480" w:hanging="360"/>
      </w:pPr>
      <w:rPr>
        <w:rFonts w:ascii="Wingdings" w:hAnsi="Wingdings"/>
      </w:rPr>
    </w:lvl>
  </w:abstractNum>
  <w:abstractNum w:abstractNumId="315" w15:restartNumberingAfterBreak="0">
    <w:nsid w:val="7DF628F0"/>
    <w:multiLevelType w:val="hybridMultilevel"/>
    <w:tmpl w:val="7DF628F0"/>
    <w:lvl w:ilvl="0" w:tplc="3866E844">
      <w:start w:val="1"/>
      <w:numFmt w:val="bullet"/>
      <w:lvlText w:val=""/>
      <w:lvlJc w:val="left"/>
      <w:pPr>
        <w:tabs>
          <w:tab w:val="num" w:pos="720"/>
        </w:tabs>
        <w:ind w:left="720" w:hanging="360"/>
      </w:pPr>
      <w:rPr>
        <w:rFonts w:ascii="Symbol" w:hAnsi="Symbol"/>
      </w:rPr>
    </w:lvl>
    <w:lvl w:ilvl="1" w:tplc="0D12DFF8">
      <w:start w:val="1"/>
      <w:numFmt w:val="bullet"/>
      <w:lvlText w:val="o"/>
      <w:lvlJc w:val="left"/>
      <w:pPr>
        <w:tabs>
          <w:tab w:val="num" w:pos="1440"/>
        </w:tabs>
        <w:ind w:left="1440" w:hanging="360"/>
      </w:pPr>
      <w:rPr>
        <w:rFonts w:ascii="Courier New" w:hAnsi="Courier New"/>
      </w:rPr>
    </w:lvl>
    <w:lvl w:ilvl="2" w:tplc="C142AA9E">
      <w:start w:val="1"/>
      <w:numFmt w:val="bullet"/>
      <w:lvlText w:val=""/>
      <w:lvlJc w:val="left"/>
      <w:pPr>
        <w:tabs>
          <w:tab w:val="num" w:pos="2160"/>
        </w:tabs>
        <w:ind w:left="2160" w:hanging="360"/>
      </w:pPr>
      <w:rPr>
        <w:rFonts w:ascii="Wingdings" w:hAnsi="Wingdings"/>
      </w:rPr>
    </w:lvl>
    <w:lvl w:ilvl="3" w:tplc="2484393E">
      <w:start w:val="1"/>
      <w:numFmt w:val="bullet"/>
      <w:lvlText w:val=""/>
      <w:lvlJc w:val="left"/>
      <w:pPr>
        <w:tabs>
          <w:tab w:val="num" w:pos="2880"/>
        </w:tabs>
        <w:ind w:left="2880" w:hanging="360"/>
      </w:pPr>
      <w:rPr>
        <w:rFonts w:ascii="Symbol" w:hAnsi="Symbol"/>
      </w:rPr>
    </w:lvl>
    <w:lvl w:ilvl="4" w:tplc="6586574A">
      <w:start w:val="1"/>
      <w:numFmt w:val="bullet"/>
      <w:lvlText w:val="o"/>
      <w:lvlJc w:val="left"/>
      <w:pPr>
        <w:tabs>
          <w:tab w:val="num" w:pos="3600"/>
        </w:tabs>
        <w:ind w:left="3600" w:hanging="360"/>
      </w:pPr>
      <w:rPr>
        <w:rFonts w:ascii="Courier New" w:hAnsi="Courier New"/>
      </w:rPr>
    </w:lvl>
    <w:lvl w:ilvl="5" w:tplc="02FE20C2">
      <w:start w:val="1"/>
      <w:numFmt w:val="bullet"/>
      <w:lvlText w:val=""/>
      <w:lvlJc w:val="left"/>
      <w:pPr>
        <w:tabs>
          <w:tab w:val="num" w:pos="4320"/>
        </w:tabs>
        <w:ind w:left="4320" w:hanging="360"/>
      </w:pPr>
      <w:rPr>
        <w:rFonts w:ascii="Wingdings" w:hAnsi="Wingdings"/>
      </w:rPr>
    </w:lvl>
    <w:lvl w:ilvl="6" w:tplc="219E201A">
      <w:start w:val="1"/>
      <w:numFmt w:val="bullet"/>
      <w:lvlText w:val=""/>
      <w:lvlJc w:val="left"/>
      <w:pPr>
        <w:tabs>
          <w:tab w:val="num" w:pos="5040"/>
        </w:tabs>
        <w:ind w:left="5040" w:hanging="360"/>
      </w:pPr>
      <w:rPr>
        <w:rFonts w:ascii="Symbol" w:hAnsi="Symbol"/>
      </w:rPr>
    </w:lvl>
    <w:lvl w:ilvl="7" w:tplc="10B8A6DE">
      <w:start w:val="1"/>
      <w:numFmt w:val="bullet"/>
      <w:lvlText w:val="o"/>
      <w:lvlJc w:val="left"/>
      <w:pPr>
        <w:tabs>
          <w:tab w:val="num" w:pos="5760"/>
        </w:tabs>
        <w:ind w:left="5760" w:hanging="360"/>
      </w:pPr>
      <w:rPr>
        <w:rFonts w:ascii="Courier New" w:hAnsi="Courier New"/>
      </w:rPr>
    </w:lvl>
    <w:lvl w:ilvl="8" w:tplc="FD62564E">
      <w:start w:val="1"/>
      <w:numFmt w:val="bullet"/>
      <w:lvlText w:val=""/>
      <w:lvlJc w:val="left"/>
      <w:pPr>
        <w:tabs>
          <w:tab w:val="num" w:pos="6480"/>
        </w:tabs>
        <w:ind w:left="6480" w:hanging="360"/>
      </w:pPr>
      <w:rPr>
        <w:rFonts w:ascii="Wingdings" w:hAnsi="Wingdings"/>
      </w:rPr>
    </w:lvl>
  </w:abstractNum>
  <w:abstractNum w:abstractNumId="316" w15:restartNumberingAfterBreak="0">
    <w:nsid w:val="7DF628F1"/>
    <w:multiLevelType w:val="hybridMultilevel"/>
    <w:tmpl w:val="7DF628F1"/>
    <w:lvl w:ilvl="0" w:tplc="EBE69418">
      <w:start w:val="1"/>
      <w:numFmt w:val="bullet"/>
      <w:lvlText w:val=""/>
      <w:lvlJc w:val="left"/>
      <w:pPr>
        <w:tabs>
          <w:tab w:val="num" w:pos="720"/>
        </w:tabs>
        <w:ind w:left="720" w:hanging="360"/>
      </w:pPr>
      <w:rPr>
        <w:rFonts w:ascii="Symbol" w:hAnsi="Symbol"/>
      </w:rPr>
    </w:lvl>
    <w:lvl w:ilvl="1" w:tplc="F90E4740">
      <w:start w:val="1"/>
      <w:numFmt w:val="bullet"/>
      <w:lvlText w:val="o"/>
      <w:lvlJc w:val="left"/>
      <w:pPr>
        <w:tabs>
          <w:tab w:val="num" w:pos="1440"/>
        </w:tabs>
        <w:ind w:left="1440" w:hanging="360"/>
      </w:pPr>
      <w:rPr>
        <w:rFonts w:ascii="Courier New" w:hAnsi="Courier New"/>
      </w:rPr>
    </w:lvl>
    <w:lvl w:ilvl="2" w:tplc="E81C41BC">
      <w:start w:val="1"/>
      <w:numFmt w:val="bullet"/>
      <w:lvlText w:val=""/>
      <w:lvlJc w:val="left"/>
      <w:pPr>
        <w:tabs>
          <w:tab w:val="num" w:pos="2160"/>
        </w:tabs>
        <w:ind w:left="2160" w:hanging="360"/>
      </w:pPr>
      <w:rPr>
        <w:rFonts w:ascii="Wingdings" w:hAnsi="Wingdings"/>
      </w:rPr>
    </w:lvl>
    <w:lvl w:ilvl="3" w:tplc="57F6D02C">
      <w:start w:val="1"/>
      <w:numFmt w:val="bullet"/>
      <w:lvlText w:val=""/>
      <w:lvlJc w:val="left"/>
      <w:pPr>
        <w:tabs>
          <w:tab w:val="num" w:pos="2880"/>
        </w:tabs>
        <w:ind w:left="2880" w:hanging="360"/>
      </w:pPr>
      <w:rPr>
        <w:rFonts w:ascii="Symbol" w:hAnsi="Symbol"/>
      </w:rPr>
    </w:lvl>
    <w:lvl w:ilvl="4" w:tplc="A8A0B44A">
      <w:start w:val="1"/>
      <w:numFmt w:val="bullet"/>
      <w:lvlText w:val="o"/>
      <w:lvlJc w:val="left"/>
      <w:pPr>
        <w:tabs>
          <w:tab w:val="num" w:pos="3600"/>
        </w:tabs>
        <w:ind w:left="3600" w:hanging="360"/>
      </w:pPr>
      <w:rPr>
        <w:rFonts w:ascii="Courier New" w:hAnsi="Courier New"/>
      </w:rPr>
    </w:lvl>
    <w:lvl w:ilvl="5" w:tplc="F23CA16A">
      <w:start w:val="1"/>
      <w:numFmt w:val="bullet"/>
      <w:lvlText w:val=""/>
      <w:lvlJc w:val="left"/>
      <w:pPr>
        <w:tabs>
          <w:tab w:val="num" w:pos="4320"/>
        </w:tabs>
        <w:ind w:left="4320" w:hanging="360"/>
      </w:pPr>
      <w:rPr>
        <w:rFonts w:ascii="Wingdings" w:hAnsi="Wingdings"/>
      </w:rPr>
    </w:lvl>
    <w:lvl w:ilvl="6" w:tplc="C6D0ADBE">
      <w:start w:val="1"/>
      <w:numFmt w:val="bullet"/>
      <w:lvlText w:val=""/>
      <w:lvlJc w:val="left"/>
      <w:pPr>
        <w:tabs>
          <w:tab w:val="num" w:pos="5040"/>
        </w:tabs>
        <w:ind w:left="5040" w:hanging="360"/>
      </w:pPr>
      <w:rPr>
        <w:rFonts w:ascii="Symbol" w:hAnsi="Symbol"/>
      </w:rPr>
    </w:lvl>
    <w:lvl w:ilvl="7" w:tplc="E27C6CE6">
      <w:start w:val="1"/>
      <w:numFmt w:val="bullet"/>
      <w:lvlText w:val="o"/>
      <w:lvlJc w:val="left"/>
      <w:pPr>
        <w:tabs>
          <w:tab w:val="num" w:pos="5760"/>
        </w:tabs>
        <w:ind w:left="5760" w:hanging="360"/>
      </w:pPr>
      <w:rPr>
        <w:rFonts w:ascii="Courier New" w:hAnsi="Courier New"/>
      </w:rPr>
    </w:lvl>
    <w:lvl w:ilvl="8" w:tplc="0BF877D8">
      <w:start w:val="1"/>
      <w:numFmt w:val="bullet"/>
      <w:lvlText w:val=""/>
      <w:lvlJc w:val="left"/>
      <w:pPr>
        <w:tabs>
          <w:tab w:val="num" w:pos="6480"/>
        </w:tabs>
        <w:ind w:left="6480" w:hanging="360"/>
      </w:pPr>
      <w:rPr>
        <w:rFonts w:ascii="Wingdings" w:hAnsi="Wingdings"/>
      </w:rPr>
    </w:lvl>
  </w:abstractNum>
  <w:abstractNum w:abstractNumId="317" w15:restartNumberingAfterBreak="0">
    <w:nsid w:val="7DF628F2"/>
    <w:multiLevelType w:val="hybridMultilevel"/>
    <w:tmpl w:val="7DF628F2"/>
    <w:lvl w:ilvl="0" w:tplc="3DCC1E66">
      <w:start w:val="1"/>
      <w:numFmt w:val="bullet"/>
      <w:lvlText w:val=""/>
      <w:lvlJc w:val="left"/>
      <w:pPr>
        <w:tabs>
          <w:tab w:val="num" w:pos="720"/>
        </w:tabs>
        <w:ind w:left="720" w:hanging="360"/>
      </w:pPr>
      <w:rPr>
        <w:rFonts w:ascii="Symbol" w:hAnsi="Symbol"/>
      </w:rPr>
    </w:lvl>
    <w:lvl w:ilvl="1" w:tplc="A5C892FE">
      <w:start w:val="1"/>
      <w:numFmt w:val="bullet"/>
      <w:lvlText w:val="o"/>
      <w:lvlJc w:val="left"/>
      <w:pPr>
        <w:tabs>
          <w:tab w:val="num" w:pos="1440"/>
        </w:tabs>
        <w:ind w:left="1440" w:hanging="360"/>
      </w:pPr>
      <w:rPr>
        <w:rFonts w:ascii="Courier New" w:hAnsi="Courier New"/>
      </w:rPr>
    </w:lvl>
    <w:lvl w:ilvl="2" w:tplc="870436D2">
      <w:start w:val="1"/>
      <w:numFmt w:val="bullet"/>
      <w:lvlText w:val=""/>
      <w:lvlJc w:val="left"/>
      <w:pPr>
        <w:tabs>
          <w:tab w:val="num" w:pos="2160"/>
        </w:tabs>
        <w:ind w:left="2160" w:hanging="360"/>
      </w:pPr>
      <w:rPr>
        <w:rFonts w:ascii="Wingdings" w:hAnsi="Wingdings"/>
      </w:rPr>
    </w:lvl>
    <w:lvl w:ilvl="3" w:tplc="89D66AE2">
      <w:start w:val="1"/>
      <w:numFmt w:val="bullet"/>
      <w:lvlText w:val=""/>
      <w:lvlJc w:val="left"/>
      <w:pPr>
        <w:tabs>
          <w:tab w:val="num" w:pos="2880"/>
        </w:tabs>
        <w:ind w:left="2880" w:hanging="360"/>
      </w:pPr>
      <w:rPr>
        <w:rFonts w:ascii="Symbol" w:hAnsi="Symbol"/>
      </w:rPr>
    </w:lvl>
    <w:lvl w:ilvl="4" w:tplc="EFE4AA0A">
      <w:start w:val="1"/>
      <w:numFmt w:val="bullet"/>
      <w:lvlText w:val="o"/>
      <w:lvlJc w:val="left"/>
      <w:pPr>
        <w:tabs>
          <w:tab w:val="num" w:pos="3600"/>
        </w:tabs>
        <w:ind w:left="3600" w:hanging="360"/>
      </w:pPr>
      <w:rPr>
        <w:rFonts w:ascii="Courier New" w:hAnsi="Courier New"/>
      </w:rPr>
    </w:lvl>
    <w:lvl w:ilvl="5" w:tplc="BD2240B2">
      <w:start w:val="1"/>
      <w:numFmt w:val="bullet"/>
      <w:lvlText w:val=""/>
      <w:lvlJc w:val="left"/>
      <w:pPr>
        <w:tabs>
          <w:tab w:val="num" w:pos="4320"/>
        </w:tabs>
        <w:ind w:left="4320" w:hanging="360"/>
      </w:pPr>
      <w:rPr>
        <w:rFonts w:ascii="Wingdings" w:hAnsi="Wingdings"/>
      </w:rPr>
    </w:lvl>
    <w:lvl w:ilvl="6" w:tplc="6B8C7AF0">
      <w:start w:val="1"/>
      <w:numFmt w:val="bullet"/>
      <w:lvlText w:val=""/>
      <w:lvlJc w:val="left"/>
      <w:pPr>
        <w:tabs>
          <w:tab w:val="num" w:pos="5040"/>
        </w:tabs>
        <w:ind w:left="5040" w:hanging="360"/>
      </w:pPr>
      <w:rPr>
        <w:rFonts w:ascii="Symbol" w:hAnsi="Symbol"/>
      </w:rPr>
    </w:lvl>
    <w:lvl w:ilvl="7" w:tplc="AC164526">
      <w:start w:val="1"/>
      <w:numFmt w:val="bullet"/>
      <w:lvlText w:val="o"/>
      <w:lvlJc w:val="left"/>
      <w:pPr>
        <w:tabs>
          <w:tab w:val="num" w:pos="5760"/>
        </w:tabs>
        <w:ind w:left="5760" w:hanging="360"/>
      </w:pPr>
      <w:rPr>
        <w:rFonts w:ascii="Courier New" w:hAnsi="Courier New"/>
      </w:rPr>
    </w:lvl>
    <w:lvl w:ilvl="8" w:tplc="2B549F7C">
      <w:start w:val="1"/>
      <w:numFmt w:val="bullet"/>
      <w:lvlText w:val=""/>
      <w:lvlJc w:val="left"/>
      <w:pPr>
        <w:tabs>
          <w:tab w:val="num" w:pos="6480"/>
        </w:tabs>
        <w:ind w:left="6480" w:hanging="360"/>
      </w:pPr>
      <w:rPr>
        <w:rFonts w:ascii="Wingdings" w:hAnsi="Wingdings"/>
      </w:rPr>
    </w:lvl>
  </w:abstractNum>
  <w:abstractNum w:abstractNumId="318" w15:restartNumberingAfterBreak="0">
    <w:nsid w:val="7DF628F3"/>
    <w:multiLevelType w:val="hybridMultilevel"/>
    <w:tmpl w:val="7DF628F3"/>
    <w:lvl w:ilvl="0" w:tplc="6B400DF8">
      <w:start w:val="1"/>
      <w:numFmt w:val="bullet"/>
      <w:lvlText w:val=""/>
      <w:lvlJc w:val="left"/>
      <w:pPr>
        <w:tabs>
          <w:tab w:val="num" w:pos="720"/>
        </w:tabs>
        <w:ind w:left="720" w:hanging="360"/>
      </w:pPr>
      <w:rPr>
        <w:rFonts w:ascii="Symbol" w:hAnsi="Symbol"/>
      </w:rPr>
    </w:lvl>
    <w:lvl w:ilvl="1" w:tplc="1F38F3C0">
      <w:start w:val="1"/>
      <w:numFmt w:val="bullet"/>
      <w:lvlText w:val="o"/>
      <w:lvlJc w:val="left"/>
      <w:pPr>
        <w:tabs>
          <w:tab w:val="num" w:pos="1440"/>
        </w:tabs>
        <w:ind w:left="1440" w:hanging="360"/>
      </w:pPr>
      <w:rPr>
        <w:rFonts w:ascii="Courier New" w:hAnsi="Courier New"/>
      </w:rPr>
    </w:lvl>
    <w:lvl w:ilvl="2" w:tplc="BF06CA4C">
      <w:start w:val="1"/>
      <w:numFmt w:val="bullet"/>
      <w:lvlText w:val=""/>
      <w:lvlJc w:val="left"/>
      <w:pPr>
        <w:tabs>
          <w:tab w:val="num" w:pos="2160"/>
        </w:tabs>
        <w:ind w:left="2160" w:hanging="360"/>
      </w:pPr>
      <w:rPr>
        <w:rFonts w:ascii="Wingdings" w:hAnsi="Wingdings"/>
      </w:rPr>
    </w:lvl>
    <w:lvl w:ilvl="3" w:tplc="450E8328">
      <w:start w:val="1"/>
      <w:numFmt w:val="bullet"/>
      <w:lvlText w:val=""/>
      <w:lvlJc w:val="left"/>
      <w:pPr>
        <w:tabs>
          <w:tab w:val="num" w:pos="2880"/>
        </w:tabs>
        <w:ind w:left="2880" w:hanging="360"/>
      </w:pPr>
      <w:rPr>
        <w:rFonts w:ascii="Symbol" w:hAnsi="Symbol"/>
      </w:rPr>
    </w:lvl>
    <w:lvl w:ilvl="4" w:tplc="2FE85E18">
      <w:start w:val="1"/>
      <w:numFmt w:val="bullet"/>
      <w:lvlText w:val="o"/>
      <w:lvlJc w:val="left"/>
      <w:pPr>
        <w:tabs>
          <w:tab w:val="num" w:pos="3600"/>
        </w:tabs>
        <w:ind w:left="3600" w:hanging="360"/>
      </w:pPr>
      <w:rPr>
        <w:rFonts w:ascii="Courier New" w:hAnsi="Courier New"/>
      </w:rPr>
    </w:lvl>
    <w:lvl w:ilvl="5" w:tplc="1CE4AFBE">
      <w:start w:val="1"/>
      <w:numFmt w:val="bullet"/>
      <w:lvlText w:val=""/>
      <w:lvlJc w:val="left"/>
      <w:pPr>
        <w:tabs>
          <w:tab w:val="num" w:pos="4320"/>
        </w:tabs>
        <w:ind w:left="4320" w:hanging="360"/>
      </w:pPr>
      <w:rPr>
        <w:rFonts w:ascii="Wingdings" w:hAnsi="Wingdings"/>
      </w:rPr>
    </w:lvl>
    <w:lvl w:ilvl="6" w:tplc="816454D0">
      <w:start w:val="1"/>
      <w:numFmt w:val="bullet"/>
      <w:lvlText w:val=""/>
      <w:lvlJc w:val="left"/>
      <w:pPr>
        <w:tabs>
          <w:tab w:val="num" w:pos="5040"/>
        </w:tabs>
        <w:ind w:left="5040" w:hanging="360"/>
      </w:pPr>
      <w:rPr>
        <w:rFonts w:ascii="Symbol" w:hAnsi="Symbol"/>
      </w:rPr>
    </w:lvl>
    <w:lvl w:ilvl="7" w:tplc="4AB0D9E8">
      <w:start w:val="1"/>
      <w:numFmt w:val="bullet"/>
      <w:lvlText w:val="o"/>
      <w:lvlJc w:val="left"/>
      <w:pPr>
        <w:tabs>
          <w:tab w:val="num" w:pos="5760"/>
        </w:tabs>
        <w:ind w:left="5760" w:hanging="360"/>
      </w:pPr>
      <w:rPr>
        <w:rFonts w:ascii="Courier New" w:hAnsi="Courier New"/>
      </w:rPr>
    </w:lvl>
    <w:lvl w:ilvl="8" w:tplc="51185AA0">
      <w:start w:val="1"/>
      <w:numFmt w:val="bullet"/>
      <w:lvlText w:val=""/>
      <w:lvlJc w:val="left"/>
      <w:pPr>
        <w:tabs>
          <w:tab w:val="num" w:pos="6480"/>
        </w:tabs>
        <w:ind w:left="6480" w:hanging="360"/>
      </w:pPr>
      <w:rPr>
        <w:rFonts w:ascii="Wingdings" w:hAnsi="Wingdings"/>
      </w:rPr>
    </w:lvl>
  </w:abstractNum>
  <w:abstractNum w:abstractNumId="319" w15:restartNumberingAfterBreak="0">
    <w:nsid w:val="7DF628F4"/>
    <w:multiLevelType w:val="multilevel"/>
    <w:tmpl w:val="7DF628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0" w15:restartNumberingAfterBreak="0">
    <w:nsid w:val="7DF628F5"/>
    <w:multiLevelType w:val="hybridMultilevel"/>
    <w:tmpl w:val="7DF628F5"/>
    <w:lvl w:ilvl="0" w:tplc="9878CC66">
      <w:start w:val="1"/>
      <w:numFmt w:val="bullet"/>
      <w:lvlText w:val=""/>
      <w:lvlJc w:val="left"/>
      <w:pPr>
        <w:tabs>
          <w:tab w:val="num" w:pos="720"/>
        </w:tabs>
        <w:ind w:left="720" w:hanging="360"/>
      </w:pPr>
      <w:rPr>
        <w:rFonts w:ascii="Symbol" w:hAnsi="Symbol"/>
      </w:rPr>
    </w:lvl>
    <w:lvl w:ilvl="1" w:tplc="19FC4ADE">
      <w:start w:val="1"/>
      <w:numFmt w:val="bullet"/>
      <w:lvlText w:val="o"/>
      <w:lvlJc w:val="left"/>
      <w:pPr>
        <w:tabs>
          <w:tab w:val="num" w:pos="1440"/>
        </w:tabs>
        <w:ind w:left="1440" w:hanging="360"/>
      </w:pPr>
      <w:rPr>
        <w:rFonts w:ascii="Courier New" w:hAnsi="Courier New"/>
      </w:rPr>
    </w:lvl>
    <w:lvl w:ilvl="2" w:tplc="75B2B698">
      <w:start w:val="1"/>
      <w:numFmt w:val="bullet"/>
      <w:lvlText w:val=""/>
      <w:lvlJc w:val="left"/>
      <w:pPr>
        <w:tabs>
          <w:tab w:val="num" w:pos="2160"/>
        </w:tabs>
        <w:ind w:left="2160" w:hanging="360"/>
      </w:pPr>
      <w:rPr>
        <w:rFonts w:ascii="Wingdings" w:hAnsi="Wingdings"/>
      </w:rPr>
    </w:lvl>
    <w:lvl w:ilvl="3" w:tplc="7CDC937E">
      <w:start w:val="1"/>
      <w:numFmt w:val="bullet"/>
      <w:lvlText w:val=""/>
      <w:lvlJc w:val="left"/>
      <w:pPr>
        <w:tabs>
          <w:tab w:val="num" w:pos="2880"/>
        </w:tabs>
        <w:ind w:left="2880" w:hanging="360"/>
      </w:pPr>
      <w:rPr>
        <w:rFonts w:ascii="Symbol" w:hAnsi="Symbol"/>
      </w:rPr>
    </w:lvl>
    <w:lvl w:ilvl="4" w:tplc="C5BA13A8">
      <w:start w:val="1"/>
      <w:numFmt w:val="bullet"/>
      <w:lvlText w:val="o"/>
      <w:lvlJc w:val="left"/>
      <w:pPr>
        <w:tabs>
          <w:tab w:val="num" w:pos="3600"/>
        </w:tabs>
        <w:ind w:left="3600" w:hanging="360"/>
      </w:pPr>
      <w:rPr>
        <w:rFonts w:ascii="Courier New" w:hAnsi="Courier New"/>
      </w:rPr>
    </w:lvl>
    <w:lvl w:ilvl="5" w:tplc="5C22F99A">
      <w:start w:val="1"/>
      <w:numFmt w:val="bullet"/>
      <w:lvlText w:val=""/>
      <w:lvlJc w:val="left"/>
      <w:pPr>
        <w:tabs>
          <w:tab w:val="num" w:pos="4320"/>
        </w:tabs>
        <w:ind w:left="4320" w:hanging="360"/>
      </w:pPr>
      <w:rPr>
        <w:rFonts w:ascii="Wingdings" w:hAnsi="Wingdings"/>
      </w:rPr>
    </w:lvl>
    <w:lvl w:ilvl="6" w:tplc="28746E9A">
      <w:start w:val="1"/>
      <w:numFmt w:val="bullet"/>
      <w:lvlText w:val=""/>
      <w:lvlJc w:val="left"/>
      <w:pPr>
        <w:tabs>
          <w:tab w:val="num" w:pos="5040"/>
        </w:tabs>
        <w:ind w:left="5040" w:hanging="360"/>
      </w:pPr>
      <w:rPr>
        <w:rFonts w:ascii="Symbol" w:hAnsi="Symbol"/>
      </w:rPr>
    </w:lvl>
    <w:lvl w:ilvl="7" w:tplc="A75E483A">
      <w:start w:val="1"/>
      <w:numFmt w:val="bullet"/>
      <w:lvlText w:val="o"/>
      <w:lvlJc w:val="left"/>
      <w:pPr>
        <w:tabs>
          <w:tab w:val="num" w:pos="5760"/>
        </w:tabs>
        <w:ind w:left="5760" w:hanging="360"/>
      </w:pPr>
      <w:rPr>
        <w:rFonts w:ascii="Courier New" w:hAnsi="Courier New"/>
      </w:rPr>
    </w:lvl>
    <w:lvl w:ilvl="8" w:tplc="3F5C22C2">
      <w:start w:val="1"/>
      <w:numFmt w:val="bullet"/>
      <w:lvlText w:val=""/>
      <w:lvlJc w:val="left"/>
      <w:pPr>
        <w:tabs>
          <w:tab w:val="num" w:pos="6480"/>
        </w:tabs>
        <w:ind w:left="6480" w:hanging="360"/>
      </w:pPr>
      <w:rPr>
        <w:rFonts w:ascii="Wingdings" w:hAnsi="Wingdings"/>
      </w:rPr>
    </w:lvl>
  </w:abstractNum>
  <w:abstractNum w:abstractNumId="321" w15:restartNumberingAfterBreak="0">
    <w:nsid w:val="7DF628F6"/>
    <w:multiLevelType w:val="hybridMultilevel"/>
    <w:tmpl w:val="7DF628F6"/>
    <w:lvl w:ilvl="0" w:tplc="5BCC0F20">
      <w:start w:val="1"/>
      <w:numFmt w:val="bullet"/>
      <w:lvlText w:val=""/>
      <w:lvlJc w:val="left"/>
      <w:pPr>
        <w:tabs>
          <w:tab w:val="num" w:pos="720"/>
        </w:tabs>
        <w:ind w:left="720" w:hanging="360"/>
      </w:pPr>
      <w:rPr>
        <w:rFonts w:ascii="Symbol" w:hAnsi="Symbol"/>
      </w:rPr>
    </w:lvl>
    <w:lvl w:ilvl="1" w:tplc="912CC014">
      <w:start w:val="1"/>
      <w:numFmt w:val="bullet"/>
      <w:lvlText w:val="o"/>
      <w:lvlJc w:val="left"/>
      <w:pPr>
        <w:tabs>
          <w:tab w:val="num" w:pos="1440"/>
        </w:tabs>
        <w:ind w:left="1440" w:hanging="360"/>
      </w:pPr>
      <w:rPr>
        <w:rFonts w:ascii="Courier New" w:hAnsi="Courier New"/>
      </w:rPr>
    </w:lvl>
    <w:lvl w:ilvl="2" w:tplc="78B07C36">
      <w:start w:val="1"/>
      <w:numFmt w:val="bullet"/>
      <w:lvlText w:val=""/>
      <w:lvlJc w:val="left"/>
      <w:pPr>
        <w:tabs>
          <w:tab w:val="num" w:pos="2160"/>
        </w:tabs>
        <w:ind w:left="2160" w:hanging="360"/>
      </w:pPr>
      <w:rPr>
        <w:rFonts w:ascii="Wingdings" w:hAnsi="Wingdings"/>
      </w:rPr>
    </w:lvl>
    <w:lvl w:ilvl="3" w:tplc="C134859C">
      <w:start w:val="1"/>
      <w:numFmt w:val="bullet"/>
      <w:lvlText w:val=""/>
      <w:lvlJc w:val="left"/>
      <w:pPr>
        <w:tabs>
          <w:tab w:val="num" w:pos="2880"/>
        </w:tabs>
        <w:ind w:left="2880" w:hanging="360"/>
      </w:pPr>
      <w:rPr>
        <w:rFonts w:ascii="Symbol" w:hAnsi="Symbol"/>
      </w:rPr>
    </w:lvl>
    <w:lvl w:ilvl="4" w:tplc="4782B2AA">
      <w:start w:val="1"/>
      <w:numFmt w:val="bullet"/>
      <w:lvlText w:val="o"/>
      <w:lvlJc w:val="left"/>
      <w:pPr>
        <w:tabs>
          <w:tab w:val="num" w:pos="3600"/>
        </w:tabs>
        <w:ind w:left="3600" w:hanging="360"/>
      </w:pPr>
      <w:rPr>
        <w:rFonts w:ascii="Courier New" w:hAnsi="Courier New"/>
      </w:rPr>
    </w:lvl>
    <w:lvl w:ilvl="5" w:tplc="BD1EA774">
      <w:start w:val="1"/>
      <w:numFmt w:val="bullet"/>
      <w:lvlText w:val=""/>
      <w:lvlJc w:val="left"/>
      <w:pPr>
        <w:tabs>
          <w:tab w:val="num" w:pos="4320"/>
        </w:tabs>
        <w:ind w:left="4320" w:hanging="360"/>
      </w:pPr>
      <w:rPr>
        <w:rFonts w:ascii="Wingdings" w:hAnsi="Wingdings"/>
      </w:rPr>
    </w:lvl>
    <w:lvl w:ilvl="6" w:tplc="9E861A60">
      <w:start w:val="1"/>
      <w:numFmt w:val="bullet"/>
      <w:lvlText w:val=""/>
      <w:lvlJc w:val="left"/>
      <w:pPr>
        <w:tabs>
          <w:tab w:val="num" w:pos="5040"/>
        </w:tabs>
        <w:ind w:left="5040" w:hanging="360"/>
      </w:pPr>
      <w:rPr>
        <w:rFonts w:ascii="Symbol" w:hAnsi="Symbol"/>
      </w:rPr>
    </w:lvl>
    <w:lvl w:ilvl="7" w:tplc="2E20E928">
      <w:start w:val="1"/>
      <w:numFmt w:val="bullet"/>
      <w:lvlText w:val="o"/>
      <w:lvlJc w:val="left"/>
      <w:pPr>
        <w:tabs>
          <w:tab w:val="num" w:pos="5760"/>
        </w:tabs>
        <w:ind w:left="5760" w:hanging="360"/>
      </w:pPr>
      <w:rPr>
        <w:rFonts w:ascii="Courier New" w:hAnsi="Courier New"/>
      </w:rPr>
    </w:lvl>
    <w:lvl w:ilvl="8" w:tplc="5FB8B370">
      <w:start w:val="1"/>
      <w:numFmt w:val="bullet"/>
      <w:lvlText w:val=""/>
      <w:lvlJc w:val="left"/>
      <w:pPr>
        <w:tabs>
          <w:tab w:val="num" w:pos="6480"/>
        </w:tabs>
        <w:ind w:left="6480" w:hanging="360"/>
      </w:pPr>
      <w:rPr>
        <w:rFonts w:ascii="Wingdings" w:hAnsi="Wingdings"/>
      </w:rPr>
    </w:lvl>
  </w:abstractNum>
  <w:abstractNum w:abstractNumId="322" w15:restartNumberingAfterBreak="0">
    <w:nsid w:val="7DF628F7"/>
    <w:multiLevelType w:val="multilevel"/>
    <w:tmpl w:val="7DF628F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3" w15:restartNumberingAfterBreak="0">
    <w:nsid w:val="7DF628F8"/>
    <w:multiLevelType w:val="hybridMultilevel"/>
    <w:tmpl w:val="7DF628F8"/>
    <w:lvl w:ilvl="0" w:tplc="4092748C">
      <w:start w:val="1"/>
      <w:numFmt w:val="bullet"/>
      <w:lvlText w:val=""/>
      <w:lvlJc w:val="left"/>
      <w:pPr>
        <w:tabs>
          <w:tab w:val="num" w:pos="720"/>
        </w:tabs>
        <w:ind w:left="720" w:hanging="360"/>
      </w:pPr>
      <w:rPr>
        <w:rFonts w:ascii="Symbol" w:hAnsi="Symbol"/>
      </w:rPr>
    </w:lvl>
    <w:lvl w:ilvl="1" w:tplc="840C28E2">
      <w:start w:val="1"/>
      <w:numFmt w:val="bullet"/>
      <w:lvlText w:val="o"/>
      <w:lvlJc w:val="left"/>
      <w:pPr>
        <w:tabs>
          <w:tab w:val="num" w:pos="1440"/>
        </w:tabs>
        <w:ind w:left="1440" w:hanging="360"/>
      </w:pPr>
      <w:rPr>
        <w:rFonts w:ascii="Courier New" w:hAnsi="Courier New"/>
      </w:rPr>
    </w:lvl>
    <w:lvl w:ilvl="2" w:tplc="B1AA4DE4">
      <w:start w:val="1"/>
      <w:numFmt w:val="bullet"/>
      <w:lvlText w:val=""/>
      <w:lvlJc w:val="left"/>
      <w:pPr>
        <w:tabs>
          <w:tab w:val="num" w:pos="2160"/>
        </w:tabs>
        <w:ind w:left="2160" w:hanging="360"/>
      </w:pPr>
      <w:rPr>
        <w:rFonts w:ascii="Wingdings" w:hAnsi="Wingdings"/>
      </w:rPr>
    </w:lvl>
    <w:lvl w:ilvl="3" w:tplc="886870C8">
      <w:start w:val="1"/>
      <w:numFmt w:val="bullet"/>
      <w:lvlText w:val=""/>
      <w:lvlJc w:val="left"/>
      <w:pPr>
        <w:tabs>
          <w:tab w:val="num" w:pos="2880"/>
        </w:tabs>
        <w:ind w:left="2880" w:hanging="360"/>
      </w:pPr>
      <w:rPr>
        <w:rFonts w:ascii="Symbol" w:hAnsi="Symbol"/>
      </w:rPr>
    </w:lvl>
    <w:lvl w:ilvl="4" w:tplc="38A6917A">
      <w:start w:val="1"/>
      <w:numFmt w:val="bullet"/>
      <w:lvlText w:val="o"/>
      <w:lvlJc w:val="left"/>
      <w:pPr>
        <w:tabs>
          <w:tab w:val="num" w:pos="3600"/>
        </w:tabs>
        <w:ind w:left="3600" w:hanging="360"/>
      </w:pPr>
      <w:rPr>
        <w:rFonts w:ascii="Courier New" w:hAnsi="Courier New"/>
      </w:rPr>
    </w:lvl>
    <w:lvl w:ilvl="5" w:tplc="83643422">
      <w:start w:val="1"/>
      <w:numFmt w:val="bullet"/>
      <w:lvlText w:val=""/>
      <w:lvlJc w:val="left"/>
      <w:pPr>
        <w:tabs>
          <w:tab w:val="num" w:pos="4320"/>
        </w:tabs>
        <w:ind w:left="4320" w:hanging="360"/>
      </w:pPr>
      <w:rPr>
        <w:rFonts w:ascii="Wingdings" w:hAnsi="Wingdings"/>
      </w:rPr>
    </w:lvl>
    <w:lvl w:ilvl="6" w:tplc="75FA76C8">
      <w:start w:val="1"/>
      <w:numFmt w:val="bullet"/>
      <w:lvlText w:val=""/>
      <w:lvlJc w:val="left"/>
      <w:pPr>
        <w:tabs>
          <w:tab w:val="num" w:pos="5040"/>
        </w:tabs>
        <w:ind w:left="5040" w:hanging="360"/>
      </w:pPr>
      <w:rPr>
        <w:rFonts w:ascii="Symbol" w:hAnsi="Symbol"/>
      </w:rPr>
    </w:lvl>
    <w:lvl w:ilvl="7" w:tplc="721E67E8">
      <w:start w:val="1"/>
      <w:numFmt w:val="bullet"/>
      <w:lvlText w:val="o"/>
      <w:lvlJc w:val="left"/>
      <w:pPr>
        <w:tabs>
          <w:tab w:val="num" w:pos="5760"/>
        </w:tabs>
        <w:ind w:left="5760" w:hanging="360"/>
      </w:pPr>
      <w:rPr>
        <w:rFonts w:ascii="Courier New" w:hAnsi="Courier New"/>
      </w:rPr>
    </w:lvl>
    <w:lvl w:ilvl="8" w:tplc="A190A8E6">
      <w:start w:val="1"/>
      <w:numFmt w:val="bullet"/>
      <w:lvlText w:val=""/>
      <w:lvlJc w:val="left"/>
      <w:pPr>
        <w:tabs>
          <w:tab w:val="num" w:pos="6480"/>
        </w:tabs>
        <w:ind w:left="6480" w:hanging="360"/>
      </w:pPr>
      <w:rPr>
        <w:rFonts w:ascii="Wingdings" w:hAnsi="Wingdings"/>
      </w:rPr>
    </w:lvl>
  </w:abstractNum>
  <w:abstractNum w:abstractNumId="324" w15:restartNumberingAfterBreak="0">
    <w:nsid w:val="7DF628F9"/>
    <w:multiLevelType w:val="hybridMultilevel"/>
    <w:tmpl w:val="7DF628F9"/>
    <w:lvl w:ilvl="0" w:tplc="ABAC9668">
      <w:start w:val="1"/>
      <w:numFmt w:val="bullet"/>
      <w:lvlText w:val=""/>
      <w:lvlJc w:val="left"/>
      <w:pPr>
        <w:tabs>
          <w:tab w:val="num" w:pos="720"/>
        </w:tabs>
        <w:ind w:left="720" w:hanging="360"/>
      </w:pPr>
      <w:rPr>
        <w:rFonts w:ascii="Symbol" w:hAnsi="Symbol"/>
      </w:rPr>
    </w:lvl>
    <w:lvl w:ilvl="1" w:tplc="84CCE5A4">
      <w:start w:val="1"/>
      <w:numFmt w:val="bullet"/>
      <w:lvlText w:val="o"/>
      <w:lvlJc w:val="left"/>
      <w:pPr>
        <w:tabs>
          <w:tab w:val="num" w:pos="1440"/>
        </w:tabs>
        <w:ind w:left="1440" w:hanging="360"/>
      </w:pPr>
      <w:rPr>
        <w:rFonts w:ascii="Courier New" w:hAnsi="Courier New"/>
      </w:rPr>
    </w:lvl>
    <w:lvl w:ilvl="2" w:tplc="7D1AD8FC">
      <w:start w:val="1"/>
      <w:numFmt w:val="bullet"/>
      <w:lvlText w:val=""/>
      <w:lvlJc w:val="left"/>
      <w:pPr>
        <w:tabs>
          <w:tab w:val="num" w:pos="2160"/>
        </w:tabs>
        <w:ind w:left="2160" w:hanging="360"/>
      </w:pPr>
      <w:rPr>
        <w:rFonts w:ascii="Wingdings" w:hAnsi="Wingdings"/>
      </w:rPr>
    </w:lvl>
    <w:lvl w:ilvl="3" w:tplc="E0B653AA">
      <w:start w:val="1"/>
      <w:numFmt w:val="bullet"/>
      <w:lvlText w:val=""/>
      <w:lvlJc w:val="left"/>
      <w:pPr>
        <w:tabs>
          <w:tab w:val="num" w:pos="2880"/>
        </w:tabs>
        <w:ind w:left="2880" w:hanging="360"/>
      </w:pPr>
      <w:rPr>
        <w:rFonts w:ascii="Symbol" w:hAnsi="Symbol"/>
      </w:rPr>
    </w:lvl>
    <w:lvl w:ilvl="4" w:tplc="14627566">
      <w:start w:val="1"/>
      <w:numFmt w:val="bullet"/>
      <w:lvlText w:val="o"/>
      <w:lvlJc w:val="left"/>
      <w:pPr>
        <w:tabs>
          <w:tab w:val="num" w:pos="3600"/>
        </w:tabs>
        <w:ind w:left="3600" w:hanging="360"/>
      </w:pPr>
      <w:rPr>
        <w:rFonts w:ascii="Courier New" w:hAnsi="Courier New"/>
      </w:rPr>
    </w:lvl>
    <w:lvl w:ilvl="5" w:tplc="359E66FA">
      <w:start w:val="1"/>
      <w:numFmt w:val="bullet"/>
      <w:lvlText w:val=""/>
      <w:lvlJc w:val="left"/>
      <w:pPr>
        <w:tabs>
          <w:tab w:val="num" w:pos="4320"/>
        </w:tabs>
        <w:ind w:left="4320" w:hanging="360"/>
      </w:pPr>
      <w:rPr>
        <w:rFonts w:ascii="Wingdings" w:hAnsi="Wingdings"/>
      </w:rPr>
    </w:lvl>
    <w:lvl w:ilvl="6" w:tplc="FE8874D8">
      <w:start w:val="1"/>
      <w:numFmt w:val="bullet"/>
      <w:lvlText w:val=""/>
      <w:lvlJc w:val="left"/>
      <w:pPr>
        <w:tabs>
          <w:tab w:val="num" w:pos="5040"/>
        </w:tabs>
        <w:ind w:left="5040" w:hanging="360"/>
      </w:pPr>
      <w:rPr>
        <w:rFonts w:ascii="Symbol" w:hAnsi="Symbol"/>
      </w:rPr>
    </w:lvl>
    <w:lvl w:ilvl="7" w:tplc="01103A4E">
      <w:start w:val="1"/>
      <w:numFmt w:val="bullet"/>
      <w:lvlText w:val="o"/>
      <w:lvlJc w:val="left"/>
      <w:pPr>
        <w:tabs>
          <w:tab w:val="num" w:pos="5760"/>
        </w:tabs>
        <w:ind w:left="5760" w:hanging="360"/>
      </w:pPr>
      <w:rPr>
        <w:rFonts w:ascii="Courier New" w:hAnsi="Courier New"/>
      </w:rPr>
    </w:lvl>
    <w:lvl w:ilvl="8" w:tplc="28DE2E4A">
      <w:start w:val="1"/>
      <w:numFmt w:val="bullet"/>
      <w:lvlText w:val=""/>
      <w:lvlJc w:val="left"/>
      <w:pPr>
        <w:tabs>
          <w:tab w:val="num" w:pos="6480"/>
        </w:tabs>
        <w:ind w:left="6480" w:hanging="360"/>
      </w:pPr>
      <w:rPr>
        <w:rFonts w:ascii="Wingdings" w:hAnsi="Wingdings"/>
      </w:rPr>
    </w:lvl>
  </w:abstractNum>
  <w:abstractNum w:abstractNumId="325" w15:restartNumberingAfterBreak="0">
    <w:nsid w:val="7DF628FA"/>
    <w:multiLevelType w:val="hybridMultilevel"/>
    <w:tmpl w:val="7DF628FA"/>
    <w:lvl w:ilvl="0" w:tplc="84261E9C">
      <w:start w:val="1"/>
      <w:numFmt w:val="bullet"/>
      <w:lvlText w:val=""/>
      <w:lvlJc w:val="left"/>
      <w:pPr>
        <w:tabs>
          <w:tab w:val="num" w:pos="720"/>
        </w:tabs>
        <w:ind w:left="720" w:hanging="360"/>
      </w:pPr>
      <w:rPr>
        <w:rFonts w:ascii="Symbol" w:hAnsi="Symbol"/>
      </w:rPr>
    </w:lvl>
    <w:lvl w:ilvl="1" w:tplc="C1C64CB6">
      <w:start w:val="1"/>
      <w:numFmt w:val="bullet"/>
      <w:lvlText w:val="o"/>
      <w:lvlJc w:val="left"/>
      <w:pPr>
        <w:tabs>
          <w:tab w:val="num" w:pos="1440"/>
        </w:tabs>
        <w:ind w:left="1440" w:hanging="360"/>
      </w:pPr>
      <w:rPr>
        <w:rFonts w:ascii="Courier New" w:hAnsi="Courier New"/>
      </w:rPr>
    </w:lvl>
    <w:lvl w:ilvl="2" w:tplc="64EAC688">
      <w:start w:val="1"/>
      <w:numFmt w:val="bullet"/>
      <w:lvlText w:val=""/>
      <w:lvlJc w:val="left"/>
      <w:pPr>
        <w:tabs>
          <w:tab w:val="num" w:pos="2160"/>
        </w:tabs>
        <w:ind w:left="2160" w:hanging="360"/>
      </w:pPr>
      <w:rPr>
        <w:rFonts w:ascii="Wingdings" w:hAnsi="Wingdings"/>
      </w:rPr>
    </w:lvl>
    <w:lvl w:ilvl="3" w:tplc="F20E8CBA">
      <w:start w:val="1"/>
      <w:numFmt w:val="bullet"/>
      <w:lvlText w:val=""/>
      <w:lvlJc w:val="left"/>
      <w:pPr>
        <w:tabs>
          <w:tab w:val="num" w:pos="2880"/>
        </w:tabs>
        <w:ind w:left="2880" w:hanging="360"/>
      </w:pPr>
      <w:rPr>
        <w:rFonts w:ascii="Symbol" w:hAnsi="Symbol"/>
      </w:rPr>
    </w:lvl>
    <w:lvl w:ilvl="4" w:tplc="5B82067A">
      <w:start w:val="1"/>
      <w:numFmt w:val="bullet"/>
      <w:lvlText w:val="o"/>
      <w:lvlJc w:val="left"/>
      <w:pPr>
        <w:tabs>
          <w:tab w:val="num" w:pos="3600"/>
        </w:tabs>
        <w:ind w:left="3600" w:hanging="360"/>
      </w:pPr>
      <w:rPr>
        <w:rFonts w:ascii="Courier New" w:hAnsi="Courier New"/>
      </w:rPr>
    </w:lvl>
    <w:lvl w:ilvl="5" w:tplc="BDC6F550">
      <w:start w:val="1"/>
      <w:numFmt w:val="bullet"/>
      <w:lvlText w:val=""/>
      <w:lvlJc w:val="left"/>
      <w:pPr>
        <w:tabs>
          <w:tab w:val="num" w:pos="4320"/>
        </w:tabs>
        <w:ind w:left="4320" w:hanging="360"/>
      </w:pPr>
      <w:rPr>
        <w:rFonts w:ascii="Wingdings" w:hAnsi="Wingdings"/>
      </w:rPr>
    </w:lvl>
    <w:lvl w:ilvl="6" w:tplc="BD34E7B8">
      <w:start w:val="1"/>
      <w:numFmt w:val="bullet"/>
      <w:lvlText w:val=""/>
      <w:lvlJc w:val="left"/>
      <w:pPr>
        <w:tabs>
          <w:tab w:val="num" w:pos="5040"/>
        </w:tabs>
        <w:ind w:left="5040" w:hanging="360"/>
      </w:pPr>
      <w:rPr>
        <w:rFonts w:ascii="Symbol" w:hAnsi="Symbol"/>
      </w:rPr>
    </w:lvl>
    <w:lvl w:ilvl="7" w:tplc="FA2AC226">
      <w:start w:val="1"/>
      <w:numFmt w:val="bullet"/>
      <w:lvlText w:val="o"/>
      <w:lvlJc w:val="left"/>
      <w:pPr>
        <w:tabs>
          <w:tab w:val="num" w:pos="5760"/>
        </w:tabs>
        <w:ind w:left="5760" w:hanging="360"/>
      </w:pPr>
      <w:rPr>
        <w:rFonts w:ascii="Courier New" w:hAnsi="Courier New"/>
      </w:rPr>
    </w:lvl>
    <w:lvl w:ilvl="8" w:tplc="AEA229AC">
      <w:start w:val="1"/>
      <w:numFmt w:val="bullet"/>
      <w:lvlText w:val=""/>
      <w:lvlJc w:val="left"/>
      <w:pPr>
        <w:tabs>
          <w:tab w:val="num" w:pos="6480"/>
        </w:tabs>
        <w:ind w:left="6480" w:hanging="360"/>
      </w:pPr>
      <w:rPr>
        <w:rFonts w:ascii="Wingdings" w:hAnsi="Wingdings"/>
      </w:rPr>
    </w:lvl>
  </w:abstractNum>
  <w:abstractNum w:abstractNumId="326" w15:restartNumberingAfterBreak="0">
    <w:nsid w:val="7DF628FB"/>
    <w:multiLevelType w:val="hybridMultilevel"/>
    <w:tmpl w:val="7DF628FB"/>
    <w:lvl w:ilvl="0" w:tplc="A1CECB26">
      <w:start w:val="1"/>
      <w:numFmt w:val="bullet"/>
      <w:lvlText w:val=""/>
      <w:lvlJc w:val="left"/>
      <w:pPr>
        <w:tabs>
          <w:tab w:val="num" w:pos="720"/>
        </w:tabs>
        <w:ind w:left="720" w:hanging="360"/>
      </w:pPr>
      <w:rPr>
        <w:rFonts w:ascii="Symbol" w:hAnsi="Symbol"/>
      </w:rPr>
    </w:lvl>
    <w:lvl w:ilvl="1" w:tplc="1354EC0A">
      <w:start w:val="1"/>
      <w:numFmt w:val="bullet"/>
      <w:lvlText w:val="o"/>
      <w:lvlJc w:val="left"/>
      <w:pPr>
        <w:tabs>
          <w:tab w:val="num" w:pos="1440"/>
        </w:tabs>
        <w:ind w:left="1440" w:hanging="360"/>
      </w:pPr>
      <w:rPr>
        <w:rFonts w:ascii="Courier New" w:hAnsi="Courier New"/>
      </w:rPr>
    </w:lvl>
    <w:lvl w:ilvl="2" w:tplc="F67CB818">
      <w:start w:val="1"/>
      <w:numFmt w:val="bullet"/>
      <w:lvlText w:val=""/>
      <w:lvlJc w:val="left"/>
      <w:pPr>
        <w:tabs>
          <w:tab w:val="num" w:pos="2160"/>
        </w:tabs>
        <w:ind w:left="2160" w:hanging="360"/>
      </w:pPr>
      <w:rPr>
        <w:rFonts w:ascii="Wingdings" w:hAnsi="Wingdings"/>
      </w:rPr>
    </w:lvl>
    <w:lvl w:ilvl="3" w:tplc="E30AB0D8">
      <w:start w:val="1"/>
      <w:numFmt w:val="bullet"/>
      <w:lvlText w:val=""/>
      <w:lvlJc w:val="left"/>
      <w:pPr>
        <w:tabs>
          <w:tab w:val="num" w:pos="2880"/>
        </w:tabs>
        <w:ind w:left="2880" w:hanging="360"/>
      </w:pPr>
      <w:rPr>
        <w:rFonts w:ascii="Symbol" w:hAnsi="Symbol"/>
      </w:rPr>
    </w:lvl>
    <w:lvl w:ilvl="4" w:tplc="DE40CAD2">
      <w:start w:val="1"/>
      <w:numFmt w:val="bullet"/>
      <w:lvlText w:val="o"/>
      <w:lvlJc w:val="left"/>
      <w:pPr>
        <w:tabs>
          <w:tab w:val="num" w:pos="3600"/>
        </w:tabs>
        <w:ind w:left="3600" w:hanging="360"/>
      </w:pPr>
      <w:rPr>
        <w:rFonts w:ascii="Courier New" w:hAnsi="Courier New"/>
      </w:rPr>
    </w:lvl>
    <w:lvl w:ilvl="5" w:tplc="58E22822">
      <w:start w:val="1"/>
      <w:numFmt w:val="bullet"/>
      <w:lvlText w:val=""/>
      <w:lvlJc w:val="left"/>
      <w:pPr>
        <w:tabs>
          <w:tab w:val="num" w:pos="4320"/>
        </w:tabs>
        <w:ind w:left="4320" w:hanging="360"/>
      </w:pPr>
      <w:rPr>
        <w:rFonts w:ascii="Wingdings" w:hAnsi="Wingdings"/>
      </w:rPr>
    </w:lvl>
    <w:lvl w:ilvl="6" w:tplc="212CFAEE">
      <w:start w:val="1"/>
      <w:numFmt w:val="bullet"/>
      <w:lvlText w:val=""/>
      <w:lvlJc w:val="left"/>
      <w:pPr>
        <w:tabs>
          <w:tab w:val="num" w:pos="5040"/>
        </w:tabs>
        <w:ind w:left="5040" w:hanging="360"/>
      </w:pPr>
      <w:rPr>
        <w:rFonts w:ascii="Symbol" w:hAnsi="Symbol"/>
      </w:rPr>
    </w:lvl>
    <w:lvl w:ilvl="7" w:tplc="1B76BE26">
      <w:start w:val="1"/>
      <w:numFmt w:val="bullet"/>
      <w:lvlText w:val="o"/>
      <w:lvlJc w:val="left"/>
      <w:pPr>
        <w:tabs>
          <w:tab w:val="num" w:pos="5760"/>
        </w:tabs>
        <w:ind w:left="5760" w:hanging="360"/>
      </w:pPr>
      <w:rPr>
        <w:rFonts w:ascii="Courier New" w:hAnsi="Courier New"/>
      </w:rPr>
    </w:lvl>
    <w:lvl w:ilvl="8" w:tplc="5CC2E63A">
      <w:start w:val="1"/>
      <w:numFmt w:val="bullet"/>
      <w:lvlText w:val=""/>
      <w:lvlJc w:val="left"/>
      <w:pPr>
        <w:tabs>
          <w:tab w:val="num" w:pos="6480"/>
        </w:tabs>
        <w:ind w:left="6480" w:hanging="360"/>
      </w:pPr>
      <w:rPr>
        <w:rFonts w:ascii="Wingdings" w:hAnsi="Wingdings"/>
      </w:rPr>
    </w:lvl>
  </w:abstractNum>
  <w:abstractNum w:abstractNumId="327" w15:restartNumberingAfterBreak="0">
    <w:nsid w:val="7DF628FC"/>
    <w:multiLevelType w:val="hybridMultilevel"/>
    <w:tmpl w:val="7DF628FC"/>
    <w:lvl w:ilvl="0" w:tplc="6E06717A">
      <w:start w:val="1"/>
      <w:numFmt w:val="bullet"/>
      <w:lvlText w:val=""/>
      <w:lvlJc w:val="left"/>
      <w:pPr>
        <w:tabs>
          <w:tab w:val="num" w:pos="720"/>
        </w:tabs>
        <w:ind w:left="720" w:hanging="360"/>
      </w:pPr>
      <w:rPr>
        <w:rFonts w:ascii="Symbol" w:hAnsi="Symbol"/>
      </w:rPr>
    </w:lvl>
    <w:lvl w:ilvl="1" w:tplc="E42047FE">
      <w:start w:val="1"/>
      <w:numFmt w:val="bullet"/>
      <w:lvlText w:val="o"/>
      <w:lvlJc w:val="left"/>
      <w:pPr>
        <w:tabs>
          <w:tab w:val="num" w:pos="1440"/>
        </w:tabs>
        <w:ind w:left="1440" w:hanging="360"/>
      </w:pPr>
      <w:rPr>
        <w:rFonts w:ascii="Courier New" w:hAnsi="Courier New"/>
      </w:rPr>
    </w:lvl>
    <w:lvl w:ilvl="2" w:tplc="2B942886">
      <w:start w:val="1"/>
      <w:numFmt w:val="bullet"/>
      <w:lvlText w:val=""/>
      <w:lvlJc w:val="left"/>
      <w:pPr>
        <w:tabs>
          <w:tab w:val="num" w:pos="2160"/>
        </w:tabs>
        <w:ind w:left="2160" w:hanging="360"/>
      </w:pPr>
      <w:rPr>
        <w:rFonts w:ascii="Wingdings" w:hAnsi="Wingdings"/>
      </w:rPr>
    </w:lvl>
    <w:lvl w:ilvl="3" w:tplc="0E6CA944">
      <w:start w:val="1"/>
      <w:numFmt w:val="bullet"/>
      <w:lvlText w:val=""/>
      <w:lvlJc w:val="left"/>
      <w:pPr>
        <w:tabs>
          <w:tab w:val="num" w:pos="2880"/>
        </w:tabs>
        <w:ind w:left="2880" w:hanging="360"/>
      </w:pPr>
      <w:rPr>
        <w:rFonts w:ascii="Symbol" w:hAnsi="Symbol"/>
      </w:rPr>
    </w:lvl>
    <w:lvl w:ilvl="4" w:tplc="1EC27AEE">
      <w:start w:val="1"/>
      <w:numFmt w:val="bullet"/>
      <w:lvlText w:val="o"/>
      <w:lvlJc w:val="left"/>
      <w:pPr>
        <w:tabs>
          <w:tab w:val="num" w:pos="3600"/>
        </w:tabs>
        <w:ind w:left="3600" w:hanging="360"/>
      </w:pPr>
      <w:rPr>
        <w:rFonts w:ascii="Courier New" w:hAnsi="Courier New"/>
      </w:rPr>
    </w:lvl>
    <w:lvl w:ilvl="5" w:tplc="6E2AD6DA">
      <w:start w:val="1"/>
      <w:numFmt w:val="bullet"/>
      <w:lvlText w:val=""/>
      <w:lvlJc w:val="left"/>
      <w:pPr>
        <w:tabs>
          <w:tab w:val="num" w:pos="4320"/>
        </w:tabs>
        <w:ind w:left="4320" w:hanging="360"/>
      </w:pPr>
      <w:rPr>
        <w:rFonts w:ascii="Wingdings" w:hAnsi="Wingdings"/>
      </w:rPr>
    </w:lvl>
    <w:lvl w:ilvl="6" w:tplc="F3664CCC">
      <w:start w:val="1"/>
      <w:numFmt w:val="bullet"/>
      <w:lvlText w:val=""/>
      <w:lvlJc w:val="left"/>
      <w:pPr>
        <w:tabs>
          <w:tab w:val="num" w:pos="5040"/>
        </w:tabs>
        <w:ind w:left="5040" w:hanging="360"/>
      </w:pPr>
      <w:rPr>
        <w:rFonts w:ascii="Symbol" w:hAnsi="Symbol"/>
      </w:rPr>
    </w:lvl>
    <w:lvl w:ilvl="7" w:tplc="C3B212E6">
      <w:start w:val="1"/>
      <w:numFmt w:val="bullet"/>
      <w:lvlText w:val="o"/>
      <w:lvlJc w:val="left"/>
      <w:pPr>
        <w:tabs>
          <w:tab w:val="num" w:pos="5760"/>
        </w:tabs>
        <w:ind w:left="5760" w:hanging="360"/>
      </w:pPr>
      <w:rPr>
        <w:rFonts w:ascii="Courier New" w:hAnsi="Courier New"/>
      </w:rPr>
    </w:lvl>
    <w:lvl w:ilvl="8" w:tplc="5D7A6E46">
      <w:start w:val="1"/>
      <w:numFmt w:val="bullet"/>
      <w:lvlText w:val=""/>
      <w:lvlJc w:val="left"/>
      <w:pPr>
        <w:tabs>
          <w:tab w:val="num" w:pos="6480"/>
        </w:tabs>
        <w:ind w:left="6480" w:hanging="360"/>
      </w:pPr>
      <w:rPr>
        <w:rFonts w:ascii="Wingdings" w:hAnsi="Wingdings"/>
      </w:rPr>
    </w:lvl>
  </w:abstractNum>
  <w:abstractNum w:abstractNumId="328" w15:restartNumberingAfterBreak="0">
    <w:nsid w:val="7DF628FD"/>
    <w:multiLevelType w:val="hybridMultilevel"/>
    <w:tmpl w:val="7DF628FD"/>
    <w:lvl w:ilvl="0" w:tplc="50149AE8">
      <w:start w:val="1"/>
      <w:numFmt w:val="bullet"/>
      <w:lvlText w:val=""/>
      <w:lvlJc w:val="left"/>
      <w:pPr>
        <w:tabs>
          <w:tab w:val="num" w:pos="720"/>
        </w:tabs>
        <w:ind w:left="720" w:hanging="360"/>
      </w:pPr>
      <w:rPr>
        <w:rFonts w:ascii="Symbol" w:hAnsi="Symbol"/>
      </w:rPr>
    </w:lvl>
    <w:lvl w:ilvl="1" w:tplc="2B16667C">
      <w:start w:val="1"/>
      <w:numFmt w:val="bullet"/>
      <w:lvlText w:val="o"/>
      <w:lvlJc w:val="left"/>
      <w:pPr>
        <w:tabs>
          <w:tab w:val="num" w:pos="1440"/>
        </w:tabs>
        <w:ind w:left="1440" w:hanging="360"/>
      </w:pPr>
      <w:rPr>
        <w:rFonts w:ascii="Courier New" w:hAnsi="Courier New"/>
      </w:rPr>
    </w:lvl>
    <w:lvl w:ilvl="2" w:tplc="230E5594">
      <w:start w:val="1"/>
      <w:numFmt w:val="bullet"/>
      <w:lvlText w:val=""/>
      <w:lvlJc w:val="left"/>
      <w:pPr>
        <w:tabs>
          <w:tab w:val="num" w:pos="2160"/>
        </w:tabs>
        <w:ind w:left="2160" w:hanging="360"/>
      </w:pPr>
      <w:rPr>
        <w:rFonts w:ascii="Wingdings" w:hAnsi="Wingdings"/>
      </w:rPr>
    </w:lvl>
    <w:lvl w:ilvl="3" w:tplc="646A902E">
      <w:start w:val="1"/>
      <w:numFmt w:val="bullet"/>
      <w:lvlText w:val=""/>
      <w:lvlJc w:val="left"/>
      <w:pPr>
        <w:tabs>
          <w:tab w:val="num" w:pos="2880"/>
        </w:tabs>
        <w:ind w:left="2880" w:hanging="360"/>
      </w:pPr>
      <w:rPr>
        <w:rFonts w:ascii="Symbol" w:hAnsi="Symbol"/>
      </w:rPr>
    </w:lvl>
    <w:lvl w:ilvl="4" w:tplc="DD629E3A">
      <w:start w:val="1"/>
      <w:numFmt w:val="bullet"/>
      <w:lvlText w:val="o"/>
      <w:lvlJc w:val="left"/>
      <w:pPr>
        <w:tabs>
          <w:tab w:val="num" w:pos="3600"/>
        </w:tabs>
        <w:ind w:left="3600" w:hanging="360"/>
      </w:pPr>
      <w:rPr>
        <w:rFonts w:ascii="Courier New" w:hAnsi="Courier New"/>
      </w:rPr>
    </w:lvl>
    <w:lvl w:ilvl="5" w:tplc="B73E5CFC">
      <w:start w:val="1"/>
      <w:numFmt w:val="bullet"/>
      <w:lvlText w:val=""/>
      <w:lvlJc w:val="left"/>
      <w:pPr>
        <w:tabs>
          <w:tab w:val="num" w:pos="4320"/>
        </w:tabs>
        <w:ind w:left="4320" w:hanging="360"/>
      </w:pPr>
      <w:rPr>
        <w:rFonts w:ascii="Wingdings" w:hAnsi="Wingdings"/>
      </w:rPr>
    </w:lvl>
    <w:lvl w:ilvl="6" w:tplc="B8D2FA78">
      <w:start w:val="1"/>
      <w:numFmt w:val="bullet"/>
      <w:lvlText w:val=""/>
      <w:lvlJc w:val="left"/>
      <w:pPr>
        <w:tabs>
          <w:tab w:val="num" w:pos="5040"/>
        </w:tabs>
        <w:ind w:left="5040" w:hanging="360"/>
      </w:pPr>
      <w:rPr>
        <w:rFonts w:ascii="Symbol" w:hAnsi="Symbol"/>
      </w:rPr>
    </w:lvl>
    <w:lvl w:ilvl="7" w:tplc="67D61DFE">
      <w:start w:val="1"/>
      <w:numFmt w:val="bullet"/>
      <w:lvlText w:val="o"/>
      <w:lvlJc w:val="left"/>
      <w:pPr>
        <w:tabs>
          <w:tab w:val="num" w:pos="5760"/>
        </w:tabs>
        <w:ind w:left="5760" w:hanging="360"/>
      </w:pPr>
      <w:rPr>
        <w:rFonts w:ascii="Courier New" w:hAnsi="Courier New"/>
      </w:rPr>
    </w:lvl>
    <w:lvl w:ilvl="8" w:tplc="EDA8E7FA">
      <w:start w:val="1"/>
      <w:numFmt w:val="bullet"/>
      <w:lvlText w:val=""/>
      <w:lvlJc w:val="left"/>
      <w:pPr>
        <w:tabs>
          <w:tab w:val="num" w:pos="6480"/>
        </w:tabs>
        <w:ind w:left="6480" w:hanging="360"/>
      </w:pPr>
      <w:rPr>
        <w:rFonts w:ascii="Wingdings" w:hAnsi="Wingdings"/>
      </w:rPr>
    </w:lvl>
  </w:abstractNum>
  <w:abstractNum w:abstractNumId="329" w15:restartNumberingAfterBreak="0">
    <w:nsid w:val="7DF628FE"/>
    <w:multiLevelType w:val="hybridMultilevel"/>
    <w:tmpl w:val="7DF628FE"/>
    <w:lvl w:ilvl="0" w:tplc="02863DB4">
      <w:start w:val="1"/>
      <w:numFmt w:val="bullet"/>
      <w:lvlText w:val=""/>
      <w:lvlJc w:val="left"/>
      <w:pPr>
        <w:tabs>
          <w:tab w:val="num" w:pos="720"/>
        </w:tabs>
        <w:ind w:left="720" w:hanging="360"/>
      </w:pPr>
      <w:rPr>
        <w:rFonts w:ascii="Symbol" w:hAnsi="Symbol"/>
      </w:rPr>
    </w:lvl>
    <w:lvl w:ilvl="1" w:tplc="962465D4">
      <w:start w:val="1"/>
      <w:numFmt w:val="bullet"/>
      <w:lvlText w:val="o"/>
      <w:lvlJc w:val="left"/>
      <w:pPr>
        <w:tabs>
          <w:tab w:val="num" w:pos="1440"/>
        </w:tabs>
        <w:ind w:left="1440" w:hanging="360"/>
      </w:pPr>
      <w:rPr>
        <w:rFonts w:ascii="Courier New" w:hAnsi="Courier New"/>
      </w:rPr>
    </w:lvl>
    <w:lvl w:ilvl="2" w:tplc="DA7C5E5A">
      <w:start w:val="1"/>
      <w:numFmt w:val="bullet"/>
      <w:lvlText w:val=""/>
      <w:lvlJc w:val="left"/>
      <w:pPr>
        <w:tabs>
          <w:tab w:val="num" w:pos="2160"/>
        </w:tabs>
        <w:ind w:left="2160" w:hanging="360"/>
      </w:pPr>
      <w:rPr>
        <w:rFonts w:ascii="Wingdings" w:hAnsi="Wingdings"/>
      </w:rPr>
    </w:lvl>
    <w:lvl w:ilvl="3" w:tplc="009CDA92">
      <w:start w:val="1"/>
      <w:numFmt w:val="bullet"/>
      <w:lvlText w:val=""/>
      <w:lvlJc w:val="left"/>
      <w:pPr>
        <w:tabs>
          <w:tab w:val="num" w:pos="2880"/>
        </w:tabs>
        <w:ind w:left="2880" w:hanging="360"/>
      </w:pPr>
      <w:rPr>
        <w:rFonts w:ascii="Symbol" w:hAnsi="Symbol"/>
      </w:rPr>
    </w:lvl>
    <w:lvl w:ilvl="4" w:tplc="8F60D66C">
      <w:start w:val="1"/>
      <w:numFmt w:val="bullet"/>
      <w:lvlText w:val="o"/>
      <w:lvlJc w:val="left"/>
      <w:pPr>
        <w:tabs>
          <w:tab w:val="num" w:pos="3600"/>
        </w:tabs>
        <w:ind w:left="3600" w:hanging="360"/>
      </w:pPr>
      <w:rPr>
        <w:rFonts w:ascii="Courier New" w:hAnsi="Courier New"/>
      </w:rPr>
    </w:lvl>
    <w:lvl w:ilvl="5" w:tplc="99FE0FDE">
      <w:start w:val="1"/>
      <w:numFmt w:val="bullet"/>
      <w:lvlText w:val=""/>
      <w:lvlJc w:val="left"/>
      <w:pPr>
        <w:tabs>
          <w:tab w:val="num" w:pos="4320"/>
        </w:tabs>
        <w:ind w:left="4320" w:hanging="360"/>
      </w:pPr>
      <w:rPr>
        <w:rFonts w:ascii="Wingdings" w:hAnsi="Wingdings"/>
      </w:rPr>
    </w:lvl>
    <w:lvl w:ilvl="6" w:tplc="0BAE6CE8">
      <w:start w:val="1"/>
      <w:numFmt w:val="bullet"/>
      <w:lvlText w:val=""/>
      <w:lvlJc w:val="left"/>
      <w:pPr>
        <w:tabs>
          <w:tab w:val="num" w:pos="5040"/>
        </w:tabs>
        <w:ind w:left="5040" w:hanging="360"/>
      </w:pPr>
      <w:rPr>
        <w:rFonts w:ascii="Symbol" w:hAnsi="Symbol"/>
      </w:rPr>
    </w:lvl>
    <w:lvl w:ilvl="7" w:tplc="6672B712">
      <w:start w:val="1"/>
      <w:numFmt w:val="bullet"/>
      <w:lvlText w:val="o"/>
      <w:lvlJc w:val="left"/>
      <w:pPr>
        <w:tabs>
          <w:tab w:val="num" w:pos="5760"/>
        </w:tabs>
        <w:ind w:left="5760" w:hanging="360"/>
      </w:pPr>
      <w:rPr>
        <w:rFonts w:ascii="Courier New" w:hAnsi="Courier New"/>
      </w:rPr>
    </w:lvl>
    <w:lvl w:ilvl="8" w:tplc="B4F6C360">
      <w:start w:val="1"/>
      <w:numFmt w:val="bullet"/>
      <w:lvlText w:val=""/>
      <w:lvlJc w:val="left"/>
      <w:pPr>
        <w:tabs>
          <w:tab w:val="num" w:pos="6480"/>
        </w:tabs>
        <w:ind w:left="6480" w:hanging="360"/>
      </w:pPr>
      <w:rPr>
        <w:rFonts w:ascii="Wingdings" w:hAnsi="Wingdings"/>
      </w:rPr>
    </w:lvl>
  </w:abstractNum>
  <w:abstractNum w:abstractNumId="330" w15:restartNumberingAfterBreak="0">
    <w:nsid w:val="7DF628FF"/>
    <w:multiLevelType w:val="hybridMultilevel"/>
    <w:tmpl w:val="7DF628FF"/>
    <w:lvl w:ilvl="0" w:tplc="FE7C743A">
      <w:start w:val="1"/>
      <w:numFmt w:val="bullet"/>
      <w:lvlText w:val=""/>
      <w:lvlJc w:val="left"/>
      <w:pPr>
        <w:tabs>
          <w:tab w:val="num" w:pos="720"/>
        </w:tabs>
        <w:ind w:left="720" w:hanging="360"/>
      </w:pPr>
      <w:rPr>
        <w:rFonts w:ascii="Symbol" w:hAnsi="Symbol"/>
      </w:rPr>
    </w:lvl>
    <w:lvl w:ilvl="1" w:tplc="3A3C9AD4">
      <w:start w:val="1"/>
      <w:numFmt w:val="bullet"/>
      <w:lvlText w:val="o"/>
      <w:lvlJc w:val="left"/>
      <w:pPr>
        <w:tabs>
          <w:tab w:val="num" w:pos="1440"/>
        </w:tabs>
        <w:ind w:left="1440" w:hanging="360"/>
      </w:pPr>
      <w:rPr>
        <w:rFonts w:ascii="Courier New" w:hAnsi="Courier New"/>
      </w:rPr>
    </w:lvl>
    <w:lvl w:ilvl="2" w:tplc="2AFC8C46">
      <w:start w:val="1"/>
      <w:numFmt w:val="bullet"/>
      <w:lvlText w:val=""/>
      <w:lvlJc w:val="left"/>
      <w:pPr>
        <w:tabs>
          <w:tab w:val="num" w:pos="2160"/>
        </w:tabs>
        <w:ind w:left="2160" w:hanging="360"/>
      </w:pPr>
      <w:rPr>
        <w:rFonts w:ascii="Wingdings" w:hAnsi="Wingdings"/>
      </w:rPr>
    </w:lvl>
    <w:lvl w:ilvl="3" w:tplc="D3F887D0">
      <w:start w:val="1"/>
      <w:numFmt w:val="bullet"/>
      <w:lvlText w:val=""/>
      <w:lvlJc w:val="left"/>
      <w:pPr>
        <w:tabs>
          <w:tab w:val="num" w:pos="2880"/>
        </w:tabs>
        <w:ind w:left="2880" w:hanging="360"/>
      </w:pPr>
      <w:rPr>
        <w:rFonts w:ascii="Symbol" w:hAnsi="Symbol"/>
      </w:rPr>
    </w:lvl>
    <w:lvl w:ilvl="4" w:tplc="B96ABCDE">
      <w:start w:val="1"/>
      <w:numFmt w:val="bullet"/>
      <w:lvlText w:val="o"/>
      <w:lvlJc w:val="left"/>
      <w:pPr>
        <w:tabs>
          <w:tab w:val="num" w:pos="3600"/>
        </w:tabs>
        <w:ind w:left="3600" w:hanging="360"/>
      </w:pPr>
      <w:rPr>
        <w:rFonts w:ascii="Courier New" w:hAnsi="Courier New"/>
      </w:rPr>
    </w:lvl>
    <w:lvl w:ilvl="5" w:tplc="47C854BC">
      <w:start w:val="1"/>
      <w:numFmt w:val="bullet"/>
      <w:lvlText w:val=""/>
      <w:lvlJc w:val="left"/>
      <w:pPr>
        <w:tabs>
          <w:tab w:val="num" w:pos="4320"/>
        </w:tabs>
        <w:ind w:left="4320" w:hanging="360"/>
      </w:pPr>
      <w:rPr>
        <w:rFonts w:ascii="Wingdings" w:hAnsi="Wingdings"/>
      </w:rPr>
    </w:lvl>
    <w:lvl w:ilvl="6" w:tplc="0EE00C6A">
      <w:start w:val="1"/>
      <w:numFmt w:val="bullet"/>
      <w:lvlText w:val=""/>
      <w:lvlJc w:val="left"/>
      <w:pPr>
        <w:tabs>
          <w:tab w:val="num" w:pos="5040"/>
        </w:tabs>
        <w:ind w:left="5040" w:hanging="360"/>
      </w:pPr>
      <w:rPr>
        <w:rFonts w:ascii="Symbol" w:hAnsi="Symbol"/>
      </w:rPr>
    </w:lvl>
    <w:lvl w:ilvl="7" w:tplc="953A52E8">
      <w:start w:val="1"/>
      <w:numFmt w:val="bullet"/>
      <w:lvlText w:val="o"/>
      <w:lvlJc w:val="left"/>
      <w:pPr>
        <w:tabs>
          <w:tab w:val="num" w:pos="5760"/>
        </w:tabs>
        <w:ind w:left="5760" w:hanging="360"/>
      </w:pPr>
      <w:rPr>
        <w:rFonts w:ascii="Courier New" w:hAnsi="Courier New"/>
      </w:rPr>
    </w:lvl>
    <w:lvl w:ilvl="8" w:tplc="0984814E">
      <w:start w:val="1"/>
      <w:numFmt w:val="bullet"/>
      <w:lvlText w:val=""/>
      <w:lvlJc w:val="left"/>
      <w:pPr>
        <w:tabs>
          <w:tab w:val="num" w:pos="6480"/>
        </w:tabs>
        <w:ind w:left="6480" w:hanging="360"/>
      </w:pPr>
      <w:rPr>
        <w:rFonts w:ascii="Wingdings" w:hAnsi="Wingdings"/>
      </w:rPr>
    </w:lvl>
  </w:abstractNum>
  <w:abstractNum w:abstractNumId="331" w15:restartNumberingAfterBreak="0">
    <w:nsid w:val="7DF62900"/>
    <w:multiLevelType w:val="hybridMultilevel"/>
    <w:tmpl w:val="7DF62900"/>
    <w:lvl w:ilvl="0" w:tplc="49663608">
      <w:start w:val="1"/>
      <w:numFmt w:val="bullet"/>
      <w:lvlText w:val=""/>
      <w:lvlJc w:val="left"/>
      <w:pPr>
        <w:tabs>
          <w:tab w:val="num" w:pos="720"/>
        </w:tabs>
        <w:ind w:left="720" w:hanging="360"/>
      </w:pPr>
      <w:rPr>
        <w:rFonts w:ascii="Symbol" w:hAnsi="Symbol"/>
      </w:rPr>
    </w:lvl>
    <w:lvl w:ilvl="1" w:tplc="2D684ADA">
      <w:start w:val="1"/>
      <w:numFmt w:val="bullet"/>
      <w:lvlText w:val="o"/>
      <w:lvlJc w:val="left"/>
      <w:pPr>
        <w:tabs>
          <w:tab w:val="num" w:pos="1440"/>
        </w:tabs>
        <w:ind w:left="1440" w:hanging="360"/>
      </w:pPr>
      <w:rPr>
        <w:rFonts w:ascii="Courier New" w:hAnsi="Courier New"/>
      </w:rPr>
    </w:lvl>
    <w:lvl w:ilvl="2" w:tplc="F29AA428">
      <w:start w:val="1"/>
      <w:numFmt w:val="bullet"/>
      <w:lvlText w:val=""/>
      <w:lvlJc w:val="left"/>
      <w:pPr>
        <w:tabs>
          <w:tab w:val="num" w:pos="2160"/>
        </w:tabs>
        <w:ind w:left="2160" w:hanging="360"/>
      </w:pPr>
      <w:rPr>
        <w:rFonts w:ascii="Wingdings" w:hAnsi="Wingdings"/>
      </w:rPr>
    </w:lvl>
    <w:lvl w:ilvl="3" w:tplc="1A465E96">
      <w:start w:val="1"/>
      <w:numFmt w:val="bullet"/>
      <w:lvlText w:val=""/>
      <w:lvlJc w:val="left"/>
      <w:pPr>
        <w:tabs>
          <w:tab w:val="num" w:pos="2880"/>
        </w:tabs>
        <w:ind w:left="2880" w:hanging="360"/>
      </w:pPr>
      <w:rPr>
        <w:rFonts w:ascii="Symbol" w:hAnsi="Symbol"/>
      </w:rPr>
    </w:lvl>
    <w:lvl w:ilvl="4" w:tplc="30FCA400">
      <w:start w:val="1"/>
      <w:numFmt w:val="bullet"/>
      <w:lvlText w:val="o"/>
      <w:lvlJc w:val="left"/>
      <w:pPr>
        <w:tabs>
          <w:tab w:val="num" w:pos="3600"/>
        </w:tabs>
        <w:ind w:left="3600" w:hanging="360"/>
      </w:pPr>
      <w:rPr>
        <w:rFonts w:ascii="Courier New" w:hAnsi="Courier New"/>
      </w:rPr>
    </w:lvl>
    <w:lvl w:ilvl="5" w:tplc="06461554">
      <w:start w:val="1"/>
      <w:numFmt w:val="bullet"/>
      <w:lvlText w:val=""/>
      <w:lvlJc w:val="left"/>
      <w:pPr>
        <w:tabs>
          <w:tab w:val="num" w:pos="4320"/>
        </w:tabs>
        <w:ind w:left="4320" w:hanging="360"/>
      </w:pPr>
      <w:rPr>
        <w:rFonts w:ascii="Wingdings" w:hAnsi="Wingdings"/>
      </w:rPr>
    </w:lvl>
    <w:lvl w:ilvl="6" w:tplc="AD6A6122">
      <w:start w:val="1"/>
      <w:numFmt w:val="bullet"/>
      <w:lvlText w:val=""/>
      <w:lvlJc w:val="left"/>
      <w:pPr>
        <w:tabs>
          <w:tab w:val="num" w:pos="5040"/>
        </w:tabs>
        <w:ind w:left="5040" w:hanging="360"/>
      </w:pPr>
      <w:rPr>
        <w:rFonts w:ascii="Symbol" w:hAnsi="Symbol"/>
      </w:rPr>
    </w:lvl>
    <w:lvl w:ilvl="7" w:tplc="AF362324">
      <w:start w:val="1"/>
      <w:numFmt w:val="bullet"/>
      <w:lvlText w:val="o"/>
      <w:lvlJc w:val="left"/>
      <w:pPr>
        <w:tabs>
          <w:tab w:val="num" w:pos="5760"/>
        </w:tabs>
        <w:ind w:left="5760" w:hanging="360"/>
      </w:pPr>
      <w:rPr>
        <w:rFonts w:ascii="Courier New" w:hAnsi="Courier New"/>
      </w:rPr>
    </w:lvl>
    <w:lvl w:ilvl="8" w:tplc="6E089E3A">
      <w:start w:val="1"/>
      <w:numFmt w:val="bullet"/>
      <w:lvlText w:val=""/>
      <w:lvlJc w:val="left"/>
      <w:pPr>
        <w:tabs>
          <w:tab w:val="num" w:pos="6480"/>
        </w:tabs>
        <w:ind w:left="6480" w:hanging="360"/>
      </w:pPr>
      <w:rPr>
        <w:rFonts w:ascii="Wingdings" w:hAnsi="Wingdings"/>
      </w:rPr>
    </w:lvl>
  </w:abstractNum>
  <w:abstractNum w:abstractNumId="332" w15:restartNumberingAfterBreak="0">
    <w:nsid w:val="7DF62901"/>
    <w:multiLevelType w:val="hybridMultilevel"/>
    <w:tmpl w:val="7DF62901"/>
    <w:lvl w:ilvl="0" w:tplc="B5D42458">
      <w:start w:val="1"/>
      <w:numFmt w:val="bullet"/>
      <w:lvlText w:val=""/>
      <w:lvlJc w:val="left"/>
      <w:pPr>
        <w:tabs>
          <w:tab w:val="num" w:pos="720"/>
        </w:tabs>
        <w:ind w:left="720" w:hanging="360"/>
      </w:pPr>
      <w:rPr>
        <w:rFonts w:ascii="Symbol" w:hAnsi="Symbol"/>
      </w:rPr>
    </w:lvl>
    <w:lvl w:ilvl="1" w:tplc="A54C0848">
      <w:start w:val="1"/>
      <w:numFmt w:val="bullet"/>
      <w:lvlText w:val="o"/>
      <w:lvlJc w:val="left"/>
      <w:pPr>
        <w:tabs>
          <w:tab w:val="num" w:pos="1440"/>
        </w:tabs>
        <w:ind w:left="1440" w:hanging="360"/>
      </w:pPr>
      <w:rPr>
        <w:rFonts w:ascii="Courier New" w:hAnsi="Courier New"/>
      </w:rPr>
    </w:lvl>
    <w:lvl w:ilvl="2" w:tplc="33849802">
      <w:start w:val="1"/>
      <w:numFmt w:val="bullet"/>
      <w:lvlText w:val=""/>
      <w:lvlJc w:val="left"/>
      <w:pPr>
        <w:tabs>
          <w:tab w:val="num" w:pos="2160"/>
        </w:tabs>
        <w:ind w:left="2160" w:hanging="360"/>
      </w:pPr>
      <w:rPr>
        <w:rFonts w:ascii="Wingdings" w:hAnsi="Wingdings"/>
      </w:rPr>
    </w:lvl>
    <w:lvl w:ilvl="3" w:tplc="31A03112">
      <w:start w:val="1"/>
      <w:numFmt w:val="bullet"/>
      <w:lvlText w:val=""/>
      <w:lvlJc w:val="left"/>
      <w:pPr>
        <w:tabs>
          <w:tab w:val="num" w:pos="2880"/>
        </w:tabs>
        <w:ind w:left="2880" w:hanging="360"/>
      </w:pPr>
      <w:rPr>
        <w:rFonts w:ascii="Symbol" w:hAnsi="Symbol"/>
      </w:rPr>
    </w:lvl>
    <w:lvl w:ilvl="4" w:tplc="E2A6AEA2">
      <w:start w:val="1"/>
      <w:numFmt w:val="bullet"/>
      <w:lvlText w:val="o"/>
      <w:lvlJc w:val="left"/>
      <w:pPr>
        <w:tabs>
          <w:tab w:val="num" w:pos="3600"/>
        </w:tabs>
        <w:ind w:left="3600" w:hanging="360"/>
      </w:pPr>
      <w:rPr>
        <w:rFonts w:ascii="Courier New" w:hAnsi="Courier New"/>
      </w:rPr>
    </w:lvl>
    <w:lvl w:ilvl="5" w:tplc="E7D4342A">
      <w:start w:val="1"/>
      <w:numFmt w:val="bullet"/>
      <w:lvlText w:val=""/>
      <w:lvlJc w:val="left"/>
      <w:pPr>
        <w:tabs>
          <w:tab w:val="num" w:pos="4320"/>
        </w:tabs>
        <w:ind w:left="4320" w:hanging="360"/>
      </w:pPr>
      <w:rPr>
        <w:rFonts w:ascii="Wingdings" w:hAnsi="Wingdings"/>
      </w:rPr>
    </w:lvl>
    <w:lvl w:ilvl="6" w:tplc="7DF81544">
      <w:start w:val="1"/>
      <w:numFmt w:val="bullet"/>
      <w:lvlText w:val=""/>
      <w:lvlJc w:val="left"/>
      <w:pPr>
        <w:tabs>
          <w:tab w:val="num" w:pos="5040"/>
        </w:tabs>
        <w:ind w:left="5040" w:hanging="360"/>
      </w:pPr>
      <w:rPr>
        <w:rFonts w:ascii="Symbol" w:hAnsi="Symbol"/>
      </w:rPr>
    </w:lvl>
    <w:lvl w:ilvl="7" w:tplc="2F6A6B50">
      <w:start w:val="1"/>
      <w:numFmt w:val="bullet"/>
      <w:lvlText w:val="o"/>
      <w:lvlJc w:val="left"/>
      <w:pPr>
        <w:tabs>
          <w:tab w:val="num" w:pos="5760"/>
        </w:tabs>
        <w:ind w:left="5760" w:hanging="360"/>
      </w:pPr>
      <w:rPr>
        <w:rFonts w:ascii="Courier New" w:hAnsi="Courier New"/>
      </w:rPr>
    </w:lvl>
    <w:lvl w:ilvl="8" w:tplc="42C4BF88">
      <w:start w:val="1"/>
      <w:numFmt w:val="bullet"/>
      <w:lvlText w:val=""/>
      <w:lvlJc w:val="left"/>
      <w:pPr>
        <w:tabs>
          <w:tab w:val="num" w:pos="6480"/>
        </w:tabs>
        <w:ind w:left="6480" w:hanging="360"/>
      </w:pPr>
      <w:rPr>
        <w:rFonts w:ascii="Wingdings" w:hAnsi="Wingdings"/>
      </w:rPr>
    </w:lvl>
  </w:abstractNum>
  <w:abstractNum w:abstractNumId="333" w15:restartNumberingAfterBreak="0">
    <w:nsid w:val="7DF62902"/>
    <w:multiLevelType w:val="hybridMultilevel"/>
    <w:tmpl w:val="7DF62902"/>
    <w:lvl w:ilvl="0" w:tplc="0762AE7A">
      <w:start w:val="1"/>
      <w:numFmt w:val="bullet"/>
      <w:lvlText w:val=""/>
      <w:lvlJc w:val="left"/>
      <w:pPr>
        <w:tabs>
          <w:tab w:val="num" w:pos="720"/>
        </w:tabs>
        <w:ind w:left="720" w:hanging="360"/>
      </w:pPr>
      <w:rPr>
        <w:rFonts w:ascii="Symbol" w:hAnsi="Symbol"/>
      </w:rPr>
    </w:lvl>
    <w:lvl w:ilvl="1" w:tplc="01766CEA">
      <w:start w:val="1"/>
      <w:numFmt w:val="bullet"/>
      <w:lvlText w:val="o"/>
      <w:lvlJc w:val="left"/>
      <w:pPr>
        <w:tabs>
          <w:tab w:val="num" w:pos="1440"/>
        </w:tabs>
        <w:ind w:left="1440" w:hanging="360"/>
      </w:pPr>
      <w:rPr>
        <w:rFonts w:ascii="Courier New" w:hAnsi="Courier New"/>
      </w:rPr>
    </w:lvl>
    <w:lvl w:ilvl="2" w:tplc="C4D8259C">
      <w:start w:val="1"/>
      <w:numFmt w:val="bullet"/>
      <w:lvlText w:val=""/>
      <w:lvlJc w:val="left"/>
      <w:pPr>
        <w:tabs>
          <w:tab w:val="num" w:pos="2160"/>
        </w:tabs>
        <w:ind w:left="2160" w:hanging="360"/>
      </w:pPr>
      <w:rPr>
        <w:rFonts w:ascii="Wingdings" w:hAnsi="Wingdings"/>
      </w:rPr>
    </w:lvl>
    <w:lvl w:ilvl="3" w:tplc="57908724">
      <w:start w:val="1"/>
      <w:numFmt w:val="bullet"/>
      <w:lvlText w:val=""/>
      <w:lvlJc w:val="left"/>
      <w:pPr>
        <w:tabs>
          <w:tab w:val="num" w:pos="2880"/>
        </w:tabs>
        <w:ind w:left="2880" w:hanging="360"/>
      </w:pPr>
      <w:rPr>
        <w:rFonts w:ascii="Symbol" w:hAnsi="Symbol"/>
      </w:rPr>
    </w:lvl>
    <w:lvl w:ilvl="4" w:tplc="10BC4CCA">
      <w:start w:val="1"/>
      <w:numFmt w:val="bullet"/>
      <w:lvlText w:val="o"/>
      <w:lvlJc w:val="left"/>
      <w:pPr>
        <w:tabs>
          <w:tab w:val="num" w:pos="3600"/>
        </w:tabs>
        <w:ind w:left="3600" w:hanging="360"/>
      </w:pPr>
      <w:rPr>
        <w:rFonts w:ascii="Courier New" w:hAnsi="Courier New"/>
      </w:rPr>
    </w:lvl>
    <w:lvl w:ilvl="5" w:tplc="6792ED76">
      <w:start w:val="1"/>
      <w:numFmt w:val="bullet"/>
      <w:lvlText w:val=""/>
      <w:lvlJc w:val="left"/>
      <w:pPr>
        <w:tabs>
          <w:tab w:val="num" w:pos="4320"/>
        </w:tabs>
        <w:ind w:left="4320" w:hanging="360"/>
      </w:pPr>
      <w:rPr>
        <w:rFonts w:ascii="Wingdings" w:hAnsi="Wingdings"/>
      </w:rPr>
    </w:lvl>
    <w:lvl w:ilvl="6" w:tplc="7C368204">
      <w:start w:val="1"/>
      <w:numFmt w:val="bullet"/>
      <w:lvlText w:val=""/>
      <w:lvlJc w:val="left"/>
      <w:pPr>
        <w:tabs>
          <w:tab w:val="num" w:pos="5040"/>
        </w:tabs>
        <w:ind w:left="5040" w:hanging="360"/>
      </w:pPr>
      <w:rPr>
        <w:rFonts w:ascii="Symbol" w:hAnsi="Symbol"/>
      </w:rPr>
    </w:lvl>
    <w:lvl w:ilvl="7" w:tplc="4104C72E">
      <w:start w:val="1"/>
      <w:numFmt w:val="bullet"/>
      <w:lvlText w:val="o"/>
      <w:lvlJc w:val="left"/>
      <w:pPr>
        <w:tabs>
          <w:tab w:val="num" w:pos="5760"/>
        </w:tabs>
        <w:ind w:left="5760" w:hanging="360"/>
      </w:pPr>
      <w:rPr>
        <w:rFonts w:ascii="Courier New" w:hAnsi="Courier New"/>
      </w:rPr>
    </w:lvl>
    <w:lvl w:ilvl="8" w:tplc="A7AA9AFA">
      <w:start w:val="1"/>
      <w:numFmt w:val="bullet"/>
      <w:lvlText w:val=""/>
      <w:lvlJc w:val="left"/>
      <w:pPr>
        <w:tabs>
          <w:tab w:val="num" w:pos="6480"/>
        </w:tabs>
        <w:ind w:left="6480" w:hanging="360"/>
      </w:pPr>
      <w:rPr>
        <w:rFonts w:ascii="Wingdings" w:hAnsi="Wingdings"/>
      </w:rPr>
    </w:lvl>
  </w:abstractNum>
  <w:abstractNum w:abstractNumId="334" w15:restartNumberingAfterBreak="0">
    <w:nsid w:val="7DF62903"/>
    <w:multiLevelType w:val="hybridMultilevel"/>
    <w:tmpl w:val="7DF62903"/>
    <w:lvl w:ilvl="0" w:tplc="C8166BDC">
      <w:start w:val="1"/>
      <w:numFmt w:val="bullet"/>
      <w:lvlText w:val=""/>
      <w:lvlJc w:val="left"/>
      <w:pPr>
        <w:tabs>
          <w:tab w:val="num" w:pos="720"/>
        </w:tabs>
        <w:ind w:left="720" w:hanging="360"/>
      </w:pPr>
      <w:rPr>
        <w:rFonts w:ascii="Symbol" w:hAnsi="Symbol"/>
      </w:rPr>
    </w:lvl>
    <w:lvl w:ilvl="1" w:tplc="4A4EDFE2">
      <w:start w:val="1"/>
      <w:numFmt w:val="bullet"/>
      <w:lvlText w:val="o"/>
      <w:lvlJc w:val="left"/>
      <w:pPr>
        <w:tabs>
          <w:tab w:val="num" w:pos="1440"/>
        </w:tabs>
        <w:ind w:left="1440" w:hanging="360"/>
      </w:pPr>
      <w:rPr>
        <w:rFonts w:ascii="Courier New" w:hAnsi="Courier New"/>
      </w:rPr>
    </w:lvl>
    <w:lvl w:ilvl="2" w:tplc="8A844AC6">
      <w:start w:val="1"/>
      <w:numFmt w:val="bullet"/>
      <w:lvlText w:val=""/>
      <w:lvlJc w:val="left"/>
      <w:pPr>
        <w:tabs>
          <w:tab w:val="num" w:pos="2160"/>
        </w:tabs>
        <w:ind w:left="2160" w:hanging="360"/>
      </w:pPr>
      <w:rPr>
        <w:rFonts w:ascii="Wingdings" w:hAnsi="Wingdings"/>
      </w:rPr>
    </w:lvl>
    <w:lvl w:ilvl="3" w:tplc="042A162C">
      <w:start w:val="1"/>
      <w:numFmt w:val="bullet"/>
      <w:lvlText w:val=""/>
      <w:lvlJc w:val="left"/>
      <w:pPr>
        <w:tabs>
          <w:tab w:val="num" w:pos="2880"/>
        </w:tabs>
        <w:ind w:left="2880" w:hanging="360"/>
      </w:pPr>
      <w:rPr>
        <w:rFonts w:ascii="Symbol" w:hAnsi="Symbol"/>
      </w:rPr>
    </w:lvl>
    <w:lvl w:ilvl="4" w:tplc="09C66400">
      <w:start w:val="1"/>
      <w:numFmt w:val="bullet"/>
      <w:lvlText w:val="o"/>
      <w:lvlJc w:val="left"/>
      <w:pPr>
        <w:tabs>
          <w:tab w:val="num" w:pos="3600"/>
        </w:tabs>
        <w:ind w:left="3600" w:hanging="360"/>
      </w:pPr>
      <w:rPr>
        <w:rFonts w:ascii="Courier New" w:hAnsi="Courier New"/>
      </w:rPr>
    </w:lvl>
    <w:lvl w:ilvl="5" w:tplc="E9C4B1E6">
      <w:start w:val="1"/>
      <w:numFmt w:val="bullet"/>
      <w:lvlText w:val=""/>
      <w:lvlJc w:val="left"/>
      <w:pPr>
        <w:tabs>
          <w:tab w:val="num" w:pos="4320"/>
        </w:tabs>
        <w:ind w:left="4320" w:hanging="360"/>
      </w:pPr>
      <w:rPr>
        <w:rFonts w:ascii="Wingdings" w:hAnsi="Wingdings"/>
      </w:rPr>
    </w:lvl>
    <w:lvl w:ilvl="6" w:tplc="429E00A4">
      <w:start w:val="1"/>
      <w:numFmt w:val="bullet"/>
      <w:lvlText w:val=""/>
      <w:lvlJc w:val="left"/>
      <w:pPr>
        <w:tabs>
          <w:tab w:val="num" w:pos="5040"/>
        </w:tabs>
        <w:ind w:left="5040" w:hanging="360"/>
      </w:pPr>
      <w:rPr>
        <w:rFonts w:ascii="Symbol" w:hAnsi="Symbol"/>
      </w:rPr>
    </w:lvl>
    <w:lvl w:ilvl="7" w:tplc="D772ABA6">
      <w:start w:val="1"/>
      <w:numFmt w:val="bullet"/>
      <w:lvlText w:val="o"/>
      <w:lvlJc w:val="left"/>
      <w:pPr>
        <w:tabs>
          <w:tab w:val="num" w:pos="5760"/>
        </w:tabs>
        <w:ind w:left="5760" w:hanging="360"/>
      </w:pPr>
      <w:rPr>
        <w:rFonts w:ascii="Courier New" w:hAnsi="Courier New"/>
      </w:rPr>
    </w:lvl>
    <w:lvl w:ilvl="8" w:tplc="8A160854">
      <w:start w:val="1"/>
      <w:numFmt w:val="bullet"/>
      <w:lvlText w:val=""/>
      <w:lvlJc w:val="left"/>
      <w:pPr>
        <w:tabs>
          <w:tab w:val="num" w:pos="6480"/>
        </w:tabs>
        <w:ind w:left="6480" w:hanging="360"/>
      </w:pPr>
      <w:rPr>
        <w:rFonts w:ascii="Wingdings" w:hAnsi="Wingdings"/>
      </w:rPr>
    </w:lvl>
  </w:abstractNum>
  <w:abstractNum w:abstractNumId="335" w15:restartNumberingAfterBreak="0">
    <w:nsid w:val="7DF62904"/>
    <w:multiLevelType w:val="hybridMultilevel"/>
    <w:tmpl w:val="7DF62904"/>
    <w:lvl w:ilvl="0" w:tplc="46D81EF2">
      <w:start w:val="1"/>
      <w:numFmt w:val="bullet"/>
      <w:lvlText w:val=""/>
      <w:lvlJc w:val="left"/>
      <w:pPr>
        <w:tabs>
          <w:tab w:val="num" w:pos="720"/>
        </w:tabs>
        <w:ind w:left="720" w:hanging="360"/>
      </w:pPr>
      <w:rPr>
        <w:rFonts w:ascii="Symbol" w:hAnsi="Symbol"/>
      </w:rPr>
    </w:lvl>
    <w:lvl w:ilvl="1" w:tplc="9F5C38E0">
      <w:start w:val="1"/>
      <w:numFmt w:val="bullet"/>
      <w:lvlText w:val="o"/>
      <w:lvlJc w:val="left"/>
      <w:pPr>
        <w:tabs>
          <w:tab w:val="num" w:pos="1440"/>
        </w:tabs>
        <w:ind w:left="1440" w:hanging="360"/>
      </w:pPr>
      <w:rPr>
        <w:rFonts w:ascii="Courier New" w:hAnsi="Courier New"/>
      </w:rPr>
    </w:lvl>
    <w:lvl w:ilvl="2" w:tplc="7728940C">
      <w:start w:val="1"/>
      <w:numFmt w:val="bullet"/>
      <w:lvlText w:val=""/>
      <w:lvlJc w:val="left"/>
      <w:pPr>
        <w:tabs>
          <w:tab w:val="num" w:pos="2160"/>
        </w:tabs>
        <w:ind w:left="2160" w:hanging="360"/>
      </w:pPr>
      <w:rPr>
        <w:rFonts w:ascii="Wingdings" w:hAnsi="Wingdings"/>
      </w:rPr>
    </w:lvl>
    <w:lvl w:ilvl="3" w:tplc="2BF8493C">
      <w:start w:val="1"/>
      <w:numFmt w:val="bullet"/>
      <w:lvlText w:val=""/>
      <w:lvlJc w:val="left"/>
      <w:pPr>
        <w:tabs>
          <w:tab w:val="num" w:pos="2880"/>
        </w:tabs>
        <w:ind w:left="2880" w:hanging="360"/>
      </w:pPr>
      <w:rPr>
        <w:rFonts w:ascii="Symbol" w:hAnsi="Symbol"/>
      </w:rPr>
    </w:lvl>
    <w:lvl w:ilvl="4" w:tplc="161ED9FC">
      <w:start w:val="1"/>
      <w:numFmt w:val="bullet"/>
      <w:lvlText w:val="o"/>
      <w:lvlJc w:val="left"/>
      <w:pPr>
        <w:tabs>
          <w:tab w:val="num" w:pos="3600"/>
        </w:tabs>
        <w:ind w:left="3600" w:hanging="360"/>
      </w:pPr>
      <w:rPr>
        <w:rFonts w:ascii="Courier New" w:hAnsi="Courier New"/>
      </w:rPr>
    </w:lvl>
    <w:lvl w:ilvl="5" w:tplc="1E06577A">
      <w:start w:val="1"/>
      <w:numFmt w:val="bullet"/>
      <w:lvlText w:val=""/>
      <w:lvlJc w:val="left"/>
      <w:pPr>
        <w:tabs>
          <w:tab w:val="num" w:pos="4320"/>
        </w:tabs>
        <w:ind w:left="4320" w:hanging="360"/>
      </w:pPr>
      <w:rPr>
        <w:rFonts w:ascii="Wingdings" w:hAnsi="Wingdings"/>
      </w:rPr>
    </w:lvl>
    <w:lvl w:ilvl="6" w:tplc="76342F4A">
      <w:start w:val="1"/>
      <w:numFmt w:val="bullet"/>
      <w:lvlText w:val=""/>
      <w:lvlJc w:val="left"/>
      <w:pPr>
        <w:tabs>
          <w:tab w:val="num" w:pos="5040"/>
        </w:tabs>
        <w:ind w:left="5040" w:hanging="360"/>
      </w:pPr>
      <w:rPr>
        <w:rFonts w:ascii="Symbol" w:hAnsi="Symbol"/>
      </w:rPr>
    </w:lvl>
    <w:lvl w:ilvl="7" w:tplc="AD8C709E">
      <w:start w:val="1"/>
      <w:numFmt w:val="bullet"/>
      <w:lvlText w:val="o"/>
      <w:lvlJc w:val="left"/>
      <w:pPr>
        <w:tabs>
          <w:tab w:val="num" w:pos="5760"/>
        </w:tabs>
        <w:ind w:left="5760" w:hanging="360"/>
      </w:pPr>
      <w:rPr>
        <w:rFonts w:ascii="Courier New" w:hAnsi="Courier New"/>
      </w:rPr>
    </w:lvl>
    <w:lvl w:ilvl="8" w:tplc="B9A0BF7E">
      <w:start w:val="1"/>
      <w:numFmt w:val="bullet"/>
      <w:lvlText w:val=""/>
      <w:lvlJc w:val="left"/>
      <w:pPr>
        <w:tabs>
          <w:tab w:val="num" w:pos="6480"/>
        </w:tabs>
        <w:ind w:left="6480" w:hanging="360"/>
      </w:pPr>
      <w:rPr>
        <w:rFonts w:ascii="Wingdings" w:hAnsi="Wingdings"/>
      </w:rPr>
    </w:lvl>
  </w:abstractNum>
  <w:abstractNum w:abstractNumId="336" w15:restartNumberingAfterBreak="0">
    <w:nsid w:val="7DF62905"/>
    <w:multiLevelType w:val="hybridMultilevel"/>
    <w:tmpl w:val="7DF62905"/>
    <w:lvl w:ilvl="0" w:tplc="C77ECCA4">
      <w:start w:val="1"/>
      <w:numFmt w:val="bullet"/>
      <w:lvlText w:val=""/>
      <w:lvlJc w:val="left"/>
      <w:pPr>
        <w:tabs>
          <w:tab w:val="num" w:pos="720"/>
        </w:tabs>
        <w:ind w:left="720" w:hanging="360"/>
      </w:pPr>
      <w:rPr>
        <w:rFonts w:ascii="Symbol" w:hAnsi="Symbol"/>
      </w:rPr>
    </w:lvl>
    <w:lvl w:ilvl="1" w:tplc="31169D1A">
      <w:start w:val="1"/>
      <w:numFmt w:val="bullet"/>
      <w:lvlText w:val="o"/>
      <w:lvlJc w:val="left"/>
      <w:pPr>
        <w:tabs>
          <w:tab w:val="num" w:pos="1440"/>
        </w:tabs>
        <w:ind w:left="1440" w:hanging="360"/>
      </w:pPr>
      <w:rPr>
        <w:rFonts w:ascii="Courier New" w:hAnsi="Courier New"/>
      </w:rPr>
    </w:lvl>
    <w:lvl w:ilvl="2" w:tplc="885EE856">
      <w:start w:val="1"/>
      <w:numFmt w:val="bullet"/>
      <w:lvlText w:val=""/>
      <w:lvlJc w:val="left"/>
      <w:pPr>
        <w:tabs>
          <w:tab w:val="num" w:pos="2160"/>
        </w:tabs>
        <w:ind w:left="2160" w:hanging="360"/>
      </w:pPr>
      <w:rPr>
        <w:rFonts w:ascii="Wingdings" w:hAnsi="Wingdings"/>
      </w:rPr>
    </w:lvl>
    <w:lvl w:ilvl="3" w:tplc="F3047674">
      <w:start w:val="1"/>
      <w:numFmt w:val="bullet"/>
      <w:lvlText w:val=""/>
      <w:lvlJc w:val="left"/>
      <w:pPr>
        <w:tabs>
          <w:tab w:val="num" w:pos="2880"/>
        </w:tabs>
        <w:ind w:left="2880" w:hanging="360"/>
      </w:pPr>
      <w:rPr>
        <w:rFonts w:ascii="Symbol" w:hAnsi="Symbol"/>
      </w:rPr>
    </w:lvl>
    <w:lvl w:ilvl="4" w:tplc="B364A472">
      <w:start w:val="1"/>
      <w:numFmt w:val="bullet"/>
      <w:lvlText w:val="o"/>
      <w:lvlJc w:val="left"/>
      <w:pPr>
        <w:tabs>
          <w:tab w:val="num" w:pos="3600"/>
        </w:tabs>
        <w:ind w:left="3600" w:hanging="360"/>
      </w:pPr>
      <w:rPr>
        <w:rFonts w:ascii="Courier New" w:hAnsi="Courier New"/>
      </w:rPr>
    </w:lvl>
    <w:lvl w:ilvl="5" w:tplc="332468F8">
      <w:start w:val="1"/>
      <w:numFmt w:val="bullet"/>
      <w:lvlText w:val=""/>
      <w:lvlJc w:val="left"/>
      <w:pPr>
        <w:tabs>
          <w:tab w:val="num" w:pos="4320"/>
        </w:tabs>
        <w:ind w:left="4320" w:hanging="360"/>
      </w:pPr>
      <w:rPr>
        <w:rFonts w:ascii="Wingdings" w:hAnsi="Wingdings"/>
      </w:rPr>
    </w:lvl>
    <w:lvl w:ilvl="6" w:tplc="7256E918">
      <w:start w:val="1"/>
      <w:numFmt w:val="bullet"/>
      <w:lvlText w:val=""/>
      <w:lvlJc w:val="left"/>
      <w:pPr>
        <w:tabs>
          <w:tab w:val="num" w:pos="5040"/>
        </w:tabs>
        <w:ind w:left="5040" w:hanging="360"/>
      </w:pPr>
      <w:rPr>
        <w:rFonts w:ascii="Symbol" w:hAnsi="Symbol"/>
      </w:rPr>
    </w:lvl>
    <w:lvl w:ilvl="7" w:tplc="DD8E264C">
      <w:start w:val="1"/>
      <w:numFmt w:val="bullet"/>
      <w:lvlText w:val="o"/>
      <w:lvlJc w:val="left"/>
      <w:pPr>
        <w:tabs>
          <w:tab w:val="num" w:pos="5760"/>
        </w:tabs>
        <w:ind w:left="5760" w:hanging="360"/>
      </w:pPr>
      <w:rPr>
        <w:rFonts w:ascii="Courier New" w:hAnsi="Courier New"/>
      </w:rPr>
    </w:lvl>
    <w:lvl w:ilvl="8" w:tplc="81ECD402">
      <w:start w:val="1"/>
      <w:numFmt w:val="bullet"/>
      <w:lvlText w:val=""/>
      <w:lvlJc w:val="left"/>
      <w:pPr>
        <w:tabs>
          <w:tab w:val="num" w:pos="6480"/>
        </w:tabs>
        <w:ind w:left="6480" w:hanging="360"/>
      </w:pPr>
      <w:rPr>
        <w:rFonts w:ascii="Wingdings" w:hAnsi="Wingdings"/>
      </w:rPr>
    </w:lvl>
  </w:abstractNum>
  <w:abstractNum w:abstractNumId="337" w15:restartNumberingAfterBreak="0">
    <w:nsid w:val="7DF62906"/>
    <w:multiLevelType w:val="hybridMultilevel"/>
    <w:tmpl w:val="7DF62906"/>
    <w:lvl w:ilvl="0" w:tplc="FC6C86AE">
      <w:start w:val="1"/>
      <w:numFmt w:val="bullet"/>
      <w:lvlText w:val=""/>
      <w:lvlJc w:val="left"/>
      <w:pPr>
        <w:tabs>
          <w:tab w:val="num" w:pos="720"/>
        </w:tabs>
        <w:ind w:left="720" w:hanging="360"/>
      </w:pPr>
      <w:rPr>
        <w:rFonts w:ascii="Symbol" w:hAnsi="Symbol"/>
      </w:rPr>
    </w:lvl>
    <w:lvl w:ilvl="1" w:tplc="2A8A6FD8">
      <w:start w:val="1"/>
      <w:numFmt w:val="bullet"/>
      <w:lvlText w:val="o"/>
      <w:lvlJc w:val="left"/>
      <w:pPr>
        <w:tabs>
          <w:tab w:val="num" w:pos="1440"/>
        </w:tabs>
        <w:ind w:left="1440" w:hanging="360"/>
      </w:pPr>
      <w:rPr>
        <w:rFonts w:ascii="Courier New" w:hAnsi="Courier New"/>
      </w:rPr>
    </w:lvl>
    <w:lvl w:ilvl="2" w:tplc="3C6424EE">
      <w:start w:val="1"/>
      <w:numFmt w:val="bullet"/>
      <w:lvlText w:val=""/>
      <w:lvlJc w:val="left"/>
      <w:pPr>
        <w:tabs>
          <w:tab w:val="num" w:pos="2160"/>
        </w:tabs>
        <w:ind w:left="2160" w:hanging="360"/>
      </w:pPr>
      <w:rPr>
        <w:rFonts w:ascii="Wingdings" w:hAnsi="Wingdings"/>
      </w:rPr>
    </w:lvl>
    <w:lvl w:ilvl="3" w:tplc="36F81460">
      <w:start w:val="1"/>
      <w:numFmt w:val="bullet"/>
      <w:lvlText w:val=""/>
      <w:lvlJc w:val="left"/>
      <w:pPr>
        <w:tabs>
          <w:tab w:val="num" w:pos="2880"/>
        </w:tabs>
        <w:ind w:left="2880" w:hanging="360"/>
      </w:pPr>
      <w:rPr>
        <w:rFonts w:ascii="Symbol" w:hAnsi="Symbol"/>
      </w:rPr>
    </w:lvl>
    <w:lvl w:ilvl="4" w:tplc="E8C22032">
      <w:start w:val="1"/>
      <w:numFmt w:val="bullet"/>
      <w:lvlText w:val="o"/>
      <w:lvlJc w:val="left"/>
      <w:pPr>
        <w:tabs>
          <w:tab w:val="num" w:pos="3600"/>
        </w:tabs>
        <w:ind w:left="3600" w:hanging="360"/>
      </w:pPr>
      <w:rPr>
        <w:rFonts w:ascii="Courier New" w:hAnsi="Courier New"/>
      </w:rPr>
    </w:lvl>
    <w:lvl w:ilvl="5" w:tplc="6DACB7AC">
      <w:start w:val="1"/>
      <w:numFmt w:val="bullet"/>
      <w:lvlText w:val=""/>
      <w:lvlJc w:val="left"/>
      <w:pPr>
        <w:tabs>
          <w:tab w:val="num" w:pos="4320"/>
        </w:tabs>
        <w:ind w:left="4320" w:hanging="360"/>
      </w:pPr>
      <w:rPr>
        <w:rFonts w:ascii="Wingdings" w:hAnsi="Wingdings"/>
      </w:rPr>
    </w:lvl>
    <w:lvl w:ilvl="6" w:tplc="E3B0963C">
      <w:start w:val="1"/>
      <w:numFmt w:val="bullet"/>
      <w:lvlText w:val=""/>
      <w:lvlJc w:val="left"/>
      <w:pPr>
        <w:tabs>
          <w:tab w:val="num" w:pos="5040"/>
        </w:tabs>
        <w:ind w:left="5040" w:hanging="360"/>
      </w:pPr>
      <w:rPr>
        <w:rFonts w:ascii="Symbol" w:hAnsi="Symbol"/>
      </w:rPr>
    </w:lvl>
    <w:lvl w:ilvl="7" w:tplc="0C600810">
      <w:start w:val="1"/>
      <w:numFmt w:val="bullet"/>
      <w:lvlText w:val="o"/>
      <w:lvlJc w:val="left"/>
      <w:pPr>
        <w:tabs>
          <w:tab w:val="num" w:pos="5760"/>
        </w:tabs>
        <w:ind w:left="5760" w:hanging="360"/>
      </w:pPr>
      <w:rPr>
        <w:rFonts w:ascii="Courier New" w:hAnsi="Courier New"/>
      </w:rPr>
    </w:lvl>
    <w:lvl w:ilvl="8" w:tplc="A5089DFE">
      <w:start w:val="1"/>
      <w:numFmt w:val="bullet"/>
      <w:lvlText w:val=""/>
      <w:lvlJc w:val="left"/>
      <w:pPr>
        <w:tabs>
          <w:tab w:val="num" w:pos="6480"/>
        </w:tabs>
        <w:ind w:left="6480" w:hanging="360"/>
      </w:pPr>
      <w:rPr>
        <w:rFonts w:ascii="Wingdings" w:hAnsi="Wingdings"/>
      </w:rPr>
    </w:lvl>
  </w:abstractNum>
  <w:abstractNum w:abstractNumId="338" w15:restartNumberingAfterBreak="0">
    <w:nsid w:val="7DF62907"/>
    <w:multiLevelType w:val="hybridMultilevel"/>
    <w:tmpl w:val="7DF62907"/>
    <w:lvl w:ilvl="0" w:tplc="602271A0">
      <w:start w:val="1"/>
      <w:numFmt w:val="bullet"/>
      <w:lvlText w:val=""/>
      <w:lvlJc w:val="left"/>
      <w:pPr>
        <w:tabs>
          <w:tab w:val="num" w:pos="720"/>
        </w:tabs>
        <w:ind w:left="720" w:hanging="360"/>
      </w:pPr>
      <w:rPr>
        <w:rFonts w:ascii="Symbol" w:hAnsi="Symbol"/>
      </w:rPr>
    </w:lvl>
    <w:lvl w:ilvl="1" w:tplc="AB927B04">
      <w:start w:val="1"/>
      <w:numFmt w:val="bullet"/>
      <w:lvlText w:val="o"/>
      <w:lvlJc w:val="left"/>
      <w:pPr>
        <w:tabs>
          <w:tab w:val="num" w:pos="1440"/>
        </w:tabs>
        <w:ind w:left="1440" w:hanging="360"/>
      </w:pPr>
      <w:rPr>
        <w:rFonts w:ascii="Courier New" w:hAnsi="Courier New"/>
      </w:rPr>
    </w:lvl>
    <w:lvl w:ilvl="2" w:tplc="D35E3C88">
      <w:start w:val="1"/>
      <w:numFmt w:val="bullet"/>
      <w:lvlText w:val=""/>
      <w:lvlJc w:val="left"/>
      <w:pPr>
        <w:tabs>
          <w:tab w:val="num" w:pos="2160"/>
        </w:tabs>
        <w:ind w:left="2160" w:hanging="360"/>
      </w:pPr>
      <w:rPr>
        <w:rFonts w:ascii="Wingdings" w:hAnsi="Wingdings"/>
      </w:rPr>
    </w:lvl>
    <w:lvl w:ilvl="3" w:tplc="7B3AC598">
      <w:start w:val="1"/>
      <w:numFmt w:val="bullet"/>
      <w:lvlText w:val=""/>
      <w:lvlJc w:val="left"/>
      <w:pPr>
        <w:tabs>
          <w:tab w:val="num" w:pos="2880"/>
        </w:tabs>
        <w:ind w:left="2880" w:hanging="360"/>
      </w:pPr>
      <w:rPr>
        <w:rFonts w:ascii="Symbol" w:hAnsi="Symbol"/>
      </w:rPr>
    </w:lvl>
    <w:lvl w:ilvl="4" w:tplc="D538631C">
      <w:start w:val="1"/>
      <w:numFmt w:val="bullet"/>
      <w:lvlText w:val="o"/>
      <w:lvlJc w:val="left"/>
      <w:pPr>
        <w:tabs>
          <w:tab w:val="num" w:pos="3600"/>
        </w:tabs>
        <w:ind w:left="3600" w:hanging="360"/>
      </w:pPr>
      <w:rPr>
        <w:rFonts w:ascii="Courier New" w:hAnsi="Courier New"/>
      </w:rPr>
    </w:lvl>
    <w:lvl w:ilvl="5" w:tplc="B5727196">
      <w:start w:val="1"/>
      <w:numFmt w:val="bullet"/>
      <w:lvlText w:val=""/>
      <w:lvlJc w:val="left"/>
      <w:pPr>
        <w:tabs>
          <w:tab w:val="num" w:pos="4320"/>
        </w:tabs>
        <w:ind w:left="4320" w:hanging="360"/>
      </w:pPr>
      <w:rPr>
        <w:rFonts w:ascii="Wingdings" w:hAnsi="Wingdings"/>
      </w:rPr>
    </w:lvl>
    <w:lvl w:ilvl="6" w:tplc="EC749F98">
      <w:start w:val="1"/>
      <w:numFmt w:val="bullet"/>
      <w:lvlText w:val=""/>
      <w:lvlJc w:val="left"/>
      <w:pPr>
        <w:tabs>
          <w:tab w:val="num" w:pos="5040"/>
        </w:tabs>
        <w:ind w:left="5040" w:hanging="360"/>
      </w:pPr>
      <w:rPr>
        <w:rFonts w:ascii="Symbol" w:hAnsi="Symbol"/>
      </w:rPr>
    </w:lvl>
    <w:lvl w:ilvl="7" w:tplc="18608CFA">
      <w:start w:val="1"/>
      <w:numFmt w:val="bullet"/>
      <w:lvlText w:val="o"/>
      <w:lvlJc w:val="left"/>
      <w:pPr>
        <w:tabs>
          <w:tab w:val="num" w:pos="5760"/>
        </w:tabs>
        <w:ind w:left="5760" w:hanging="360"/>
      </w:pPr>
      <w:rPr>
        <w:rFonts w:ascii="Courier New" w:hAnsi="Courier New"/>
      </w:rPr>
    </w:lvl>
    <w:lvl w:ilvl="8" w:tplc="DAFED814">
      <w:start w:val="1"/>
      <w:numFmt w:val="bullet"/>
      <w:lvlText w:val=""/>
      <w:lvlJc w:val="left"/>
      <w:pPr>
        <w:tabs>
          <w:tab w:val="num" w:pos="6480"/>
        </w:tabs>
        <w:ind w:left="6480" w:hanging="360"/>
      </w:pPr>
      <w:rPr>
        <w:rFonts w:ascii="Wingdings" w:hAnsi="Wingdings"/>
      </w:rPr>
    </w:lvl>
  </w:abstractNum>
  <w:abstractNum w:abstractNumId="339" w15:restartNumberingAfterBreak="0">
    <w:nsid w:val="7DF62908"/>
    <w:multiLevelType w:val="hybridMultilevel"/>
    <w:tmpl w:val="7DF62908"/>
    <w:lvl w:ilvl="0" w:tplc="B1963C2E">
      <w:start w:val="1"/>
      <w:numFmt w:val="bullet"/>
      <w:lvlText w:val=""/>
      <w:lvlJc w:val="left"/>
      <w:pPr>
        <w:tabs>
          <w:tab w:val="num" w:pos="720"/>
        </w:tabs>
        <w:ind w:left="720" w:hanging="360"/>
      </w:pPr>
      <w:rPr>
        <w:rFonts w:ascii="Symbol" w:hAnsi="Symbol"/>
      </w:rPr>
    </w:lvl>
    <w:lvl w:ilvl="1" w:tplc="247CEACE">
      <w:start w:val="1"/>
      <w:numFmt w:val="bullet"/>
      <w:lvlText w:val="o"/>
      <w:lvlJc w:val="left"/>
      <w:pPr>
        <w:tabs>
          <w:tab w:val="num" w:pos="1440"/>
        </w:tabs>
        <w:ind w:left="1440" w:hanging="360"/>
      </w:pPr>
      <w:rPr>
        <w:rFonts w:ascii="Courier New" w:hAnsi="Courier New"/>
      </w:rPr>
    </w:lvl>
    <w:lvl w:ilvl="2" w:tplc="7E028126">
      <w:start w:val="1"/>
      <w:numFmt w:val="bullet"/>
      <w:lvlText w:val=""/>
      <w:lvlJc w:val="left"/>
      <w:pPr>
        <w:tabs>
          <w:tab w:val="num" w:pos="2160"/>
        </w:tabs>
        <w:ind w:left="2160" w:hanging="360"/>
      </w:pPr>
      <w:rPr>
        <w:rFonts w:ascii="Wingdings" w:hAnsi="Wingdings"/>
      </w:rPr>
    </w:lvl>
    <w:lvl w:ilvl="3" w:tplc="14B0F642">
      <w:start w:val="1"/>
      <w:numFmt w:val="bullet"/>
      <w:lvlText w:val=""/>
      <w:lvlJc w:val="left"/>
      <w:pPr>
        <w:tabs>
          <w:tab w:val="num" w:pos="2880"/>
        </w:tabs>
        <w:ind w:left="2880" w:hanging="360"/>
      </w:pPr>
      <w:rPr>
        <w:rFonts w:ascii="Symbol" w:hAnsi="Symbol"/>
      </w:rPr>
    </w:lvl>
    <w:lvl w:ilvl="4" w:tplc="C3EE332E">
      <w:start w:val="1"/>
      <w:numFmt w:val="bullet"/>
      <w:lvlText w:val="o"/>
      <w:lvlJc w:val="left"/>
      <w:pPr>
        <w:tabs>
          <w:tab w:val="num" w:pos="3600"/>
        </w:tabs>
        <w:ind w:left="3600" w:hanging="360"/>
      </w:pPr>
      <w:rPr>
        <w:rFonts w:ascii="Courier New" w:hAnsi="Courier New"/>
      </w:rPr>
    </w:lvl>
    <w:lvl w:ilvl="5" w:tplc="DCCE6968">
      <w:start w:val="1"/>
      <w:numFmt w:val="bullet"/>
      <w:lvlText w:val=""/>
      <w:lvlJc w:val="left"/>
      <w:pPr>
        <w:tabs>
          <w:tab w:val="num" w:pos="4320"/>
        </w:tabs>
        <w:ind w:left="4320" w:hanging="360"/>
      </w:pPr>
      <w:rPr>
        <w:rFonts w:ascii="Wingdings" w:hAnsi="Wingdings"/>
      </w:rPr>
    </w:lvl>
    <w:lvl w:ilvl="6" w:tplc="5C1029E0">
      <w:start w:val="1"/>
      <w:numFmt w:val="bullet"/>
      <w:lvlText w:val=""/>
      <w:lvlJc w:val="left"/>
      <w:pPr>
        <w:tabs>
          <w:tab w:val="num" w:pos="5040"/>
        </w:tabs>
        <w:ind w:left="5040" w:hanging="360"/>
      </w:pPr>
      <w:rPr>
        <w:rFonts w:ascii="Symbol" w:hAnsi="Symbol"/>
      </w:rPr>
    </w:lvl>
    <w:lvl w:ilvl="7" w:tplc="DFCE5F66">
      <w:start w:val="1"/>
      <w:numFmt w:val="bullet"/>
      <w:lvlText w:val="o"/>
      <w:lvlJc w:val="left"/>
      <w:pPr>
        <w:tabs>
          <w:tab w:val="num" w:pos="5760"/>
        </w:tabs>
        <w:ind w:left="5760" w:hanging="360"/>
      </w:pPr>
      <w:rPr>
        <w:rFonts w:ascii="Courier New" w:hAnsi="Courier New"/>
      </w:rPr>
    </w:lvl>
    <w:lvl w:ilvl="8" w:tplc="39167646">
      <w:start w:val="1"/>
      <w:numFmt w:val="bullet"/>
      <w:lvlText w:val=""/>
      <w:lvlJc w:val="left"/>
      <w:pPr>
        <w:tabs>
          <w:tab w:val="num" w:pos="6480"/>
        </w:tabs>
        <w:ind w:left="6480" w:hanging="360"/>
      </w:pPr>
      <w:rPr>
        <w:rFonts w:ascii="Wingdings" w:hAnsi="Wingdings"/>
      </w:rPr>
    </w:lvl>
  </w:abstractNum>
  <w:abstractNum w:abstractNumId="340" w15:restartNumberingAfterBreak="0">
    <w:nsid w:val="7DF62909"/>
    <w:multiLevelType w:val="hybridMultilevel"/>
    <w:tmpl w:val="7DF62909"/>
    <w:lvl w:ilvl="0" w:tplc="A54607E0">
      <w:start w:val="1"/>
      <w:numFmt w:val="bullet"/>
      <w:lvlText w:val=""/>
      <w:lvlJc w:val="left"/>
      <w:pPr>
        <w:tabs>
          <w:tab w:val="num" w:pos="720"/>
        </w:tabs>
        <w:ind w:left="720" w:hanging="360"/>
      </w:pPr>
      <w:rPr>
        <w:rFonts w:ascii="Symbol" w:hAnsi="Symbol"/>
      </w:rPr>
    </w:lvl>
    <w:lvl w:ilvl="1" w:tplc="5F38562E">
      <w:start w:val="1"/>
      <w:numFmt w:val="bullet"/>
      <w:lvlText w:val="o"/>
      <w:lvlJc w:val="left"/>
      <w:pPr>
        <w:tabs>
          <w:tab w:val="num" w:pos="1440"/>
        </w:tabs>
        <w:ind w:left="1440" w:hanging="360"/>
      </w:pPr>
      <w:rPr>
        <w:rFonts w:ascii="Courier New" w:hAnsi="Courier New"/>
      </w:rPr>
    </w:lvl>
    <w:lvl w:ilvl="2" w:tplc="74AC71C2">
      <w:start w:val="1"/>
      <w:numFmt w:val="bullet"/>
      <w:lvlText w:val=""/>
      <w:lvlJc w:val="left"/>
      <w:pPr>
        <w:tabs>
          <w:tab w:val="num" w:pos="2160"/>
        </w:tabs>
        <w:ind w:left="2160" w:hanging="360"/>
      </w:pPr>
      <w:rPr>
        <w:rFonts w:ascii="Wingdings" w:hAnsi="Wingdings"/>
      </w:rPr>
    </w:lvl>
    <w:lvl w:ilvl="3" w:tplc="90129522">
      <w:start w:val="1"/>
      <w:numFmt w:val="bullet"/>
      <w:lvlText w:val=""/>
      <w:lvlJc w:val="left"/>
      <w:pPr>
        <w:tabs>
          <w:tab w:val="num" w:pos="2880"/>
        </w:tabs>
        <w:ind w:left="2880" w:hanging="360"/>
      </w:pPr>
      <w:rPr>
        <w:rFonts w:ascii="Symbol" w:hAnsi="Symbol"/>
      </w:rPr>
    </w:lvl>
    <w:lvl w:ilvl="4" w:tplc="9FCCE88C">
      <w:start w:val="1"/>
      <w:numFmt w:val="bullet"/>
      <w:lvlText w:val="o"/>
      <w:lvlJc w:val="left"/>
      <w:pPr>
        <w:tabs>
          <w:tab w:val="num" w:pos="3600"/>
        </w:tabs>
        <w:ind w:left="3600" w:hanging="360"/>
      </w:pPr>
      <w:rPr>
        <w:rFonts w:ascii="Courier New" w:hAnsi="Courier New"/>
      </w:rPr>
    </w:lvl>
    <w:lvl w:ilvl="5" w:tplc="E698E5E0">
      <w:start w:val="1"/>
      <w:numFmt w:val="bullet"/>
      <w:lvlText w:val=""/>
      <w:lvlJc w:val="left"/>
      <w:pPr>
        <w:tabs>
          <w:tab w:val="num" w:pos="4320"/>
        </w:tabs>
        <w:ind w:left="4320" w:hanging="360"/>
      </w:pPr>
      <w:rPr>
        <w:rFonts w:ascii="Wingdings" w:hAnsi="Wingdings"/>
      </w:rPr>
    </w:lvl>
    <w:lvl w:ilvl="6" w:tplc="8340D5DA">
      <w:start w:val="1"/>
      <w:numFmt w:val="bullet"/>
      <w:lvlText w:val=""/>
      <w:lvlJc w:val="left"/>
      <w:pPr>
        <w:tabs>
          <w:tab w:val="num" w:pos="5040"/>
        </w:tabs>
        <w:ind w:left="5040" w:hanging="360"/>
      </w:pPr>
      <w:rPr>
        <w:rFonts w:ascii="Symbol" w:hAnsi="Symbol"/>
      </w:rPr>
    </w:lvl>
    <w:lvl w:ilvl="7" w:tplc="C518CC06">
      <w:start w:val="1"/>
      <w:numFmt w:val="bullet"/>
      <w:lvlText w:val="o"/>
      <w:lvlJc w:val="left"/>
      <w:pPr>
        <w:tabs>
          <w:tab w:val="num" w:pos="5760"/>
        </w:tabs>
        <w:ind w:left="5760" w:hanging="360"/>
      </w:pPr>
      <w:rPr>
        <w:rFonts w:ascii="Courier New" w:hAnsi="Courier New"/>
      </w:rPr>
    </w:lvl>
    <w:lvl w:ilvl="8" w:tplc="93A0E5B0">
      <w:start w:val="1"/>
      <w:numFmt w:val="bullet"/>
      <w:lvlText w:val=""/>
      <w:lvlJc w:val="left"/>
      <w:pPr>
        <w:tabs>
          <w:tab w:val="num" w:pos="6480"/>
        </w:tabs>
        <w:ind w:left="6480" w:hanging="360"/>
      </w:pPr>
      <w:rPr>
        <w:rFonts w:ascii="Wingdings" w:hAnsi="Wingdings"/>
      </w:rPr>
    </w:lvl>
  </w:abstractNum>
  <w:abstractNum w:abstractNumId="341" w15:restartNumberingAfterBreak="0">
    <w:nsid w:val="7DF6290A"/>
    <w:multiLevelType w:val="hybridMultilevel"/>
    <w:tmpl w:val="7DF6290A"/>
    <w:lvl w:ilvl="0" w:tplc="4AD8BD66">
      <w:start w:val="1"/>
      <w:numFmt w:val="bullet"/>
      <w:lvlText w:val=""/>
      <w:lvlJc w:val="left"/>
      <w:pPr>
        <w:tabs>
          <w:tab w:val="num" w:pos="720"/>
        </w:tabs>
        <w:ind w:left="720" w:hanging="360"/>
      </w:pPr>
      <w:rPr>
        <w:rFonts w:ascii="Symbol" w:hAnsi="Symbol"/>
      </w:rPr>
    </w:lvl>
    <w:lvl w:ilvl="1" w:tplc="7EF84F58">
      <w:start w:val="1"/>
      <w:numFmt w:val="bullet"/>
      <w:lvlText w:val="o"/>
      <w:lvlJc w:val="left"/>
      <w:pPr>
        <w:tabs>
          <w:tab w:val="num" w:pos="1440"/>
        </w:tabs>
        <w:ind w:left="1440" w:hanging="360"/>
      </w:pPr>
      <w:rPr>
        <w:rFonts w:ascii="Courier New" w:hAnsi="Courier New"/>
      </w:rPr>
    </w:lvl>
    <w:lvl w:ilvl="2" w:tplc="569C1AAC">
      <w:start w:val="1"/>
      <w:numFmt w:val="bullet"/>
      <w:lvlText w:val=""/>
      <w:lvlJc w:val="left"/>
      <w:pPr>
        <w:tabs>
          <w:tab w:val="num" w:pos="2160"/>
        </w:tabs>
        <w:ind w:left="2160" w:hanging="360"/>
      </w:pPr>
      <w:rPr>
        <w:rFonts w:ascii="Wingdings" w:hAnsi="Wingdings"/>
      </w:rPr>
    </w:lvl>
    <w:lvl w:ilvl="3" w:tplc="94F64C08">
      <w:start w:val="1"/>
      <w:numFmt w:val="bullet"/>
      <w:lvlText w:val=""/>
      <w:lvlJc w:val="left"/>
      <w:pPr>
        <w:tabs>
          <w:tab w:val="num" w:pos="2880"/>
        </w:tabs>
        <w:ind w:left="2880" w:hanging="360"/>
      </w:pPr>
      <w:rPr>
        <w:rFonts w:ascii="Symbol" w:hAnsi="Symbol"/>
      </w:rPr>
    </w:lvl>
    <w:lvl w:ilvl="4" w:tplc="40985DB6">
      <w:start w:val="1"/>
      <w:numFmt w:val="bullet"/>
      <w:lvlText w:val="o"/>
      <w:lvlJc w:val="left"/>
      <w:pPr>
        <w:tabs>
          <w:tab w:val="num" w:pos="3600"/>
        </w:tabs>
        <w:ind w:left="3600" w:hanging="360"/>
      </w:pPr>
      <w:rPr>
        <w:rFonts w:ascii="Courier New" w:hAnsi="Courier New"/>
      </w:rPr>
    </w:lvl>
    <w:lvl w:ilvl="5" w:tplc="AC3C01E6">
      <w:start w:val="1"/>
      <w:numFmt w:val="bullet"/>
      <w:lvlText w:val=""/>
      <w:lvlJc w:val="left"/>
      <w:pPr>
        <w:tabs>
          <w:tab w:val="num" w:pos="4320"/>
        </w:tabs>
        <w:ind w:left="4320" w:hanging="360"/>
      </w:pPr>
      <w:rPr>
        <w:rFonts w:ascii="Wingdings" w:hAnsi="Wingdings"/>
      </w:rPr>
    </w:lvl>
    <w:lvl w:ilvl="6" w:tplc="179E79E8">
      <w:start w:val="1"/>
      <w:numFmt w:val="bullet"/>
      <w:lvlText w:val=""/>
      <w:lvlJc w:val="left"/>
      <w:pPr>
        <w:tabs>
          <w:tab w:val="num" w:pos="5040"/>
        </w:tabs>
        <w:ind w:left="5040" w:hanging="360"/>
      </w:pPr>
      <w:rPr>
        <w:rFonts w:ascii="Symbol" w:hAnsi="Symbol"/>
      </w:rPr>
    </w:lvl>
    <w:lvl w:ilvl="7" w:tplc="3A32004C">
      <w:start w:val="1"/>
      <w:numFmt w:val="bullet"/>
      <w:lvlText w:val="o"/>
      <w:lvlJc w:val="left"/>
      <w:pPr>
        <w:tabs>
          <w:tab w:val="num" w:pos="5760"/>
        </w:tabs>
        <w:ind w:left="5760" w:hanging="360"/>
      </w:pPr>
      <w:rPr>
        <w:rFonts w:ascii="Courier New" w:hAnsi="Courier New"/>
      </w:rPr>
    </w:lvl>
    <w:lvl w:ilvl="8" w:tplc="B59A5168">
      <w:start w:val="1"/>
      <w:numFmt w:val="bullet"/>
      <w:lvlText w:val=""/>
      <w:lvlJc w:val="left"/>
      <w:pPr>
        <w:tabs>
          <w:tab w:val="num" w:pos="6480"/>
        </w:tabs>
        <w:ind w:left="6480" w:hanging="360"/>
      </w:pPr>
      <w:rPr>
        <w:rFonts w:ascii="Wingdings" w:hAnsi="Wingdings"/>
      </w:rPr>
    </w:lvl>
  </w:abstractNum>
  <w:abstractNum w:abstractNumId="342" w15:restartNumberingAfterBreak="0">
    <w:nsid w:val="7DF6290B"/>
    <w:multiLevelType w:val="multilevel"/>
    <w:tmpl w:val="7DF629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D4B"/>
    <w:rsid w:val="0001326E"/>
    <w:rsid w:val="0005656A"/>
    <w:rsid w:val="001313FA"/>
    <w:rsid w:val="0013261E"/>
    <w:rsid w:val="00195008"/>
    <w:rsid w:val="001C6219"/>
    <w:rsid w:val="00214B1C"/>
    <w:rsid w:val="0028628B"/>
    <w:rsid w:val="00286494"/>
    <w:rsid w:val="002B6B31"/>
    <w:rsid w:val="002F3719"/>
    <w:rsid w:val="003628FA"/>
    <w:rsid w:val="00377B57"/>
    <w:rsid w:val="003A0F8F"/>
    <w:rsid w:val="003D0420"/>
    <w:rsid w:val="00490759"/>
    <w:rsid w:val="004A2608"/>
    <w:rsid w:val="004B7D4B"/>
    <w:rsid w:val="004D2F1D"/>
    <w:rsid w:val="00503869"/>
    <w:rsid w:val="0054633B"/>
    <w:rsid w:val="00591500"/>
    <w:rsid w:val="005F289C"/>
    <w:rsid w:val="005F6434"/>
    <w:rsid w:val="006028AE"/>
    <w:rsid w:val="00637682"/>
    <w:rsid w:val="00671C2D"/>
    <w:rsid w:val="006B7523"/>
    <w:rsid w:val="00713B5D"/>
    <w:rsid w:val="00714CBA"/>
    <w:rsid w:val="007378C4"/>
    <w:rsid w:val="00767CF5"/>
    <w:rsid w:val="00776CF7"/>
    <w:rsid w:val="00786B3E"/>
    <w:rsid w:val="00795C72"/>
    <w:rsid w:val="00835C87"/>
    <w:rsid w:val="0088115E"/>
    <w:rsid w:val="00893D36"/>
    <w:rsid w:val="00893DFD"/>
    <w:rsid w:val="008D61CE"/>
    <w:rsid w:val="00915AB3"/>
    <w:rsid w:val="00944E51"/>
    <w:rsid w:val="009C6703"/>
    <w:rsid w:val="00A00A88"/>
    <w:rsid w:val="00A07290"/>
    <w:rsid w:val="00AC303E"/>
    <w:rsid w:val="00AE5EA0"/>
    <w:rsid w:val="00C06653"/>
    <w:rsid w:val="00C118E0"/>
    <w:rsid w:val="00D71A13"/>
    <w:rsid w:val="00DD7236"/>
    <w:rsid w:val="00DF0906"/>
    <w:rsid w:val="00E22099"/>
    <w:rsid w:val="00ED6BFD"/>
    <w:rsid w:val="00F70C5D"/>
    <w:rsid w:val="00F82B27"/>
    <w:rsid w:val="00F83F12"/>
    <w:rsid w:val="00FC0F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A9B3"/>
  <w15:chartTrackingRefBased/>
  <w15:docId w15:val="{ECE7FC5B-865B-4B47-9E4F-F39A90116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4B"/>
    <w:pPr>
      <w:spacing w:after="120" w:line="240" w:lineRule="auto"/>
      <w:jc w:val="both"/>
    </w:pPr>
    <w:rPr>
      <w:rFonts w:eastAsia="Times New Roman" w:cstheme="minorHAnsi"/>
      <w:sz w:val="24"/>
    </w:rPr>
  </w:style>
  <w:style w:type="paragraph" w:styleId="Ttulo1">
    <w:name w:val="heading 1"/>
    <w:basedOn w:val="Normal"/>
    <w:next w:val="Normal"/>
    <w:link w:val="Ttulo1Car"/>
    <w:qFormat/>
    <w:rsid w:val="004B7D4B"/>
    <w:pPr>
      <w:keepNext/>
      <w:tabs>
        <w:tab w:val="left" w:pos="0"/>
        <w:tab w:val="left" w:pos="567"/>
      </w:tabs>
      <w:spacing w:before="600" w:after="240"/>
      <w:ind w:left="-284"/>
      <w:outlineLvl w:val="0"/>
    </w:pPr>
    <w:rPr>
      <w:rFonts w:cs="Arial"/>
      <w:b/>
      <w:smallCaps/>
      <w:kern w:val="32"/>
      <w:sz w:val="36"/>
    </w:rPr>
  </w:style>
  <w:style w:type="paragraph" w:styleId="Ttulo2">
    <w:name w:val="heading 2"/>
    <w:basedOn w:val="Normal"/>
    <w:next w:val="Normal"/>
    <w:link w:val="Ttulo2Car"/>
    <w:autoRedefine/>
    <w:uiPriority w:val="9"/>
    <w:qFormat/>
    <w:rsid w:val="004B7D4B"/>
    <w:pPr>
      <w:keepNext/>
      <w:tabs>
        <w:tab w:val="left" w:pos="567"/>
      </w:tabs>
      <w:spacing w:before="480" w:after="240"/>
      <w:outlineLvl w:val="1"/>
    </w:pPr>
    <w:rPr>
      <w:rFonts w:cs="Arial"/>
      <w:b/>
      <w:sz w:val="32"/>
    </w:rPr>
  </w:style>
  <w:style w:type="paragraph" w:styleId="Ttulo3">
    <w:name w:val="heading 3"/>
    <w:basedOn w:val="Normal"/>
    <w:next w:val="Normal"/>
    <w:link w:val="Ttulo3Car"/>
    <w:autoRedefine/>
    <w:qFormat/>
    <w:rsid w:val="004B7D4B"/>
    <w:pPr>
      <w:keepNext/>
      <w:tabs>
        <w:tab w:val="left" w:pos="567"/>
      </w:tabs>
      <w:spacing w:before="360"/>
      <w:outlineLvl w:val="2"/>
    </w:pPr>
    <w:rPr>
      <w:rFonts w:cs="Arial"/>
      <w:b/>
      <w:sz w:val="28"/>
    </w:rPr>
  </w:style>
  <w:style w:type="paragraph" w:styleId="Ttulo4">
    <w:name w:val="heading 4"/>
    <w:basedOn w:val="Normal"/>
    <w:next w:val="Normal"/>
    <w:link w:val="Ttulo4Car"/>
    <w:autoRedefine/>
    <w:qFormat/>
    <w:rsid w:val="004B7D4B"/>
    <w:pPr>
      <w:keepNext/>
      <w:spacing w:before="240" w:after="60"/>
      <w:outlineLvl w:val="3"/>
    </w:pPr>
    <w:rPr>
      <w:b/>
      <w:i/>
    </w:rPr>
  </w:style>
  <w:style w:type="paragraph" w:styleId="Ttulo5">
    <w:name w:val="heading 5"/>
    <w:basedOn w:val="Ttulo4"/>
    <w:next w:val="Normal"/>
    <w:link w:val="Ttulo5Car"/>
    <w:autoRedefine/>
    <w:qFormat/>
    <w:rsid w:val="004B7D4B"/>
    <w:pPr>
      <w:outlineLvl w:val="4"/>
    </w:pPr>
    <w:rPr>
      <w:b w:val="0"/>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B7D4B"/>
    <w:rPr>
      <w:rFonts w:eastAsia="Times New Roman" w:cs="Arial"/>
      <w:b/>
      <w:smallCaps/>
      <w:kern w:val="32"/>
      <w:sz w:val="36"/>
    </w:rPr>
  </w:style>
  <w:style w:type="character" w:customStyle="1" w:styleId="Ttulo2Car">
    <w:name w:val="Título 2 Car"/>
    <w:basedOn w:val="Fuentedeprrafopredeter"/>
    <w:link w:val="Ttulo2"/>
    <w:uiPriority w:val="9"/>
    <w:rsid w:val="004B7D4B"/>
    <w:rPr>
      <w:rFonts w:eastAsia="Times New Roman" w:cs="Arial"/>
      <w:b/>
      <w:sz w:val="32"/>
    </w:rPr>
  </w:style>
  <w:style w:type="character" w:customStyle="1" w:styleId="Ttulo3Car">
    <w:name w:val="Título 3 Car"/>
    <w:basedOn w:val="Fuentedeprrafopredeter"/>
    <w:link w:val="Ttulo3"/>
    <w:rsid w:val="004B7D4B"/>
    <w:rPr>
      <w:rFonts w:eastAsia="Times New Roman" w:cs="Arial"/>
      <w:b/>
      <w:sz w:val="28"/>
    </w:rPr>
  </w:style>
  <w:style w:type="character" w:customStyle="1" w:styleId="Ttulo4Car">
    <w:name w:val="Título 4 Car"/>
    <w:basedOn w:val="Fuentedeprrafopredeter"/>
    <w:link w:val="Ttulo4"/>
    <w:rsid w:val="004B7D4B"/>
    <w:rPr>
      <w:rFonts w:eastAsia="Times New Roman" w:cstheme="minorHAnsi"/>
      <w:b/>
      <w:i/>
      <w:sz w:val="24"/>
    </w:rPr>
  </w:style>
  <w:style w:type="character" w:customStyle="1" w:styleId="Ttulo5Car">
    <w:name w:val="Título 5 Car"/>
    <w:basedOn w:val="Fuentedeprrafopredeter"/>
    <w:link w:val="Ttulo5"/>
    <w:rsid w:val="004B7D4B"/>
    <w:rPr>
      <w:rFonts w:eastAsia="Times New Roman" w:cstheme="minorHAnsi"/>
      <w:i/>
      <w:sz w:val="24"/>
      <w:u w:val="single"/>
    </w:rPr>
  </w:style>
  <w:style w:type="paragraph" w:styleId="Ttulo">
    <w:name w:val="Title"/>
    <w:basedOn w:val="Normal"/>
    <w:link w:val="TtuloCar"/>
    <w:qFormat/>
    <w:rsid w:val="004B7D4B"/>
    <w:pPr>
      <w:spacing w:before="720" w:after="720"/>
      <w:outlineLvl w:val="0"/>
    </w:pPr>
    <w:rPr>
      <w:rFonts w:ascii="Arial" w:hAnsi="Arial" w:cs="Arial"/>
      <w:b/>
      <w:color w:val="365F91"/>
      <w:kern w:val="28"/>
      <w:sz w:val="48"/>
    </w:rPr>
  </w:style>
  <w:style w:type="character" w:customStyle="1" w:styleId="TtuloCar">
    <w:name w:val="Título Car"/>
    <w:basedOn w:val="Fuentedeprrafopredeter"/>
    <w:link w:val="Ttulo"/>
    <w:rsid w:val="004B7D4B"/>
    <w:rPr>
      <w:rFonts w:ascii="Arial" w:eastAsia="Times New Roman" w:hAnsi="Arial" w:cs="Arial"/>
      <w:b/>
      <w:color w:val="365F91"/>
      <w:kern w:val="28"/>
      <w:sz w:val="48"/>
    </w:rPr>
  </w:style>
  <w:style w:type="character" w:styleId="Hipervnculo">
    <w:name w:val="Hyperlink"/>
    <w:uiPriority w:val="99"/>
    <w:rsid w:val="004B7D4B"/>
    <w:rPr>
      <w:color w:val="0000FF"/>
      <w:u w:val="single"/>
    </w:rPr>
  </w:style>
  <w:style w:type="paragraph" w:styleId="Descripcin">
    <w:name w:val="caption"/>
    <w:basedOn w:val="Normal"/>
    <w:next w:val="Normal"/>
    <w:qFormat/>
    <w:rsid w:val="004B7D4B"/>
    <w:rPr>
      <w:b/>
      <w:sz w:val="20"/>
    </w:rPr>
  </w:style>
  <w:style w:type="paragraph" w:styleId="Encabezado">
    <w:name w:val="header"/>
    <w:basedOn w:val="Normal"/>
    <w:link w:val="EncabezadoCar"/>
    <w:rsid w:val="004B7D4B"/>
    <w:pPr>
      <w:tabs>
        <w:tab w:val="center" w:pos="4536"/>
        <w:tab w:val="right" w:pos="9072"/>
      </w:tabs>
      <w:spacing w:after="0"/>
    </w:pPr>
  </w:style>
  <w:style w:type="character" w:customStyle="1" w:styleId="EncabezadoCar">
    <w:name w:val="Encabezado Car"/>
    <w:basedOn w:val="Fuentedeprrafopredeter"/>
    <w:link w:val="Encabezado"/>
    <w:rsid w:val="004B7D4B"/>
    <w:rPr>
      <w:rFonts w:eastAsia="Times New Roman" w:cstheme="minorHAnsi"/>
      <w:sz w:val="24"/>
    </w:rPr>
  </w:style>
  <w:style w:type="paragraph" w:styleId="Piedepgina">
    <w:name w:val="footer"/>
    <w:basedOn w:val="Normal"/>
    <w:link w:val="PiedepginaCar"/>
    <w:uiPriority w:val="99"/>
    <w:rsid w:val="004B7D4B"/>
    <w:pPr>
      <w:tabs>
        <w:tab w:val="center" w:pos="4536"/>
        <w:tab w:val="right" w:pos="9072"/>
      </w:tabs>
      <w:spacing w:after="0"/>
    </w:pPr>
  </w:style>
  <w:style w:type="character" w:customStyle="1" w:styleId="PiedepginaCar">
    <w:name w:val="Pie de página Car"/>
    <w:basedOn w:val="Fuentedeprrafopredeter"/>
    <w:link w:val="Piedepgina"/>
    <w:uiPriority w:val="99"/>
    <w:rsid w:val="004B7D4B"/>
    <w:rPr>
      <w:rFonts w:eastAsia="Times New Roman" w:cstheme="minorHAnsi"/>
      <w:sz w:val="24"/>
    </w:rPr>
  </w:style>
  <w:style w:type="character" w:styleId="Nmerodepgina">
    <w:name w:val="page number"/>
    <w:basedOn w:val="Fuentedeprrafopredeter"/>
    <w:rsid w:val="004B7D4B"/>
  </w:style>
  <w:style w:type="table" w:styleId="Tablaconcuadrcula">
    <w:name w:val="Table Grid"/>
    <w:basedOn w:val="Tablanormal"/>
    <w:rsid w:val="004B7D4B"/>
    <w:pPr>
      <w:spacing w:after="0" w:line="240" w:lineRule="auto"/>
    </w:pPr>
    <w:rPr>
      <w:rFonts w:ascii="Times New Roman" w:eastAsia="Times New Roman" w:hAnsi="Times New Roman"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TDC3"/>
    <w:next w:val="Normal"/>
    <w:autoRedefine/>
    <w:uiPriority w:val="39"/>
    <w:rsid w:val="004B7D4B"/>
    <w:pPr>
      <w:tabs>
        <w:tab w:val="clear" w:pos="851"/>
        <w:tab w:val="left" w:pos="634"/>
      </w:tabs>
    </w:pPr>
    <w:rPr>
      <w:b/>
    </w:rPr>
  </w:style>
  <w:style w:type="paragraph" w:styleId="TDC2">
    <w:name w:val="toc 2"/>
    <w:basedOn w:val="TDC1"/>
    <w:next w:val="Normal"/>
    <w:autoRedefine/>
    <w:uiPriority w:val="39"/>
    <w:rsid w:val="004B7D4B"/>
    <w:rPr>
      <w:b w:val="0"/>
    </w:rPr>
  </w:style>
  <w:style w:type="paragraph" w:styleId="TDC3">
    <w:name w:val="toc 3"/>
    <w:basedOn w:val="Normal"/>
    <w:next w:val="Normal"/>
    <w:autoRedefine/>
    <w:uiPriority w:val="39"/>
    <w:rsid w:val="004B7D4B"/>
    <w:pPr>
      <w:tabs>
        <w:tab w:val="left" w:pos="851"/>
        <w:tab w:val="right" w:leader="dot" w:pos="8487"/>
      </w:tabs>
    </w:pPr>
  </w:style>
  <w:style w:type="paragraph" w:styleId="TDC4">
    <w:name w:val="toc 4"/>
    <w:basedOn w:val="Normal"/>
    <w:next w:val="Normal"/>
    <w:autoRedefine/>
    <w:rsid w:val="004B7D4B"/>
    <w:pPr>
      <w:ind w:left="720"/>
    </w:pPr>
  </w:style>
  <w:style w:type="paragraph" w:styleId="TDC5">
    <w:name w:val="toc 5"/>
    <w:basedOn w:val="Normal"/>
    <w:next w:val="Normal"/>
    <w:autoRedefine/>
    <w:rsid w:val="004B7D4B"/>
    <w:pPr>
      <w:ind w:left="960"/>
    </w:pPr>
  </w:style>
  <w:style w:type="paragraph" w:styleId="TDC6">
    <w:name w:val="toc 6"/>
    <w:basedOn w:val="Normal"/>
    <w:next w:val="Normal"/>
    <w:autoRedefine/>
    <w:rsid w:val="004B7D4B"/>
    <w:pPr>
      <w:ind w:left="1200"/>
    </w:pPr>
  </w:style>
  <w:style w:type="paragraph" w:styleId="TDC7">
    <w:name w:val="toc 7"/>
    <w:basedOn w:val="Normal"/>
    <w:next w:val="Normal"/>
    <w:autoRedefine/>
    <w:rsid w:val="004B7D4B"/>
    <w:pPr>
      <w:ind w:left="1440"/>
    </w:pPr>
  </w:style>
  <w:style w:type="paragraph" w:styleId="TDC8">
    <w:name w:val="toc 8"/>
    <w:basedOn w:val="Normal"/>
    <w:next w:val="Normal"/>
    <w:autoRedefine/>
    <w:rsid w:val="004B7D4B"/>
    <w:pPr>
      <w:ind w:left="1680"/>
    </w:pPr>
  </w:style>
  <w:style w:type="paragraph" w:styleId="TDC9">
    <w:name w:val="toc 9"/>
    <w:basedOn w:val="Normal"/>
    <w:next w:val="Normal"/>
    <w:autoRedefine/>
    <w:rsid w:val="004B7D4B"/>
    <w:pPr>
      <w:ind w:left="1920"/>
    </w:pPr>
  </w:style>
  <w:style w:type="numbering" w:styleId="111111">
    <w:name w:val="Outline List 2"/>
    <w:rsid w:val="004B7D4B"/>
    <w:pPr>
      <w:numPr>
        <w:numId w:val="1"/>
      </w:numPr>
    </w:pPr>
  </w:style>
  <w:style w:type="paragraph" w:styleId="Mapadeldocumento">
    <w:name w:val="Document Map"/>
    <w:basedOn w:val="Normal"/>
    <w:link w:val="MapadeldocumentoCar"/>
    <w:rsid w:val="004B7D4B"/>
    <w:pPr>
      <w:spacing w:after="0"/>
    </w:pPr>
    <w:rPr>
      <w:rFonts w:ascii="Lucida Grande" w:hAnsi="Lucida Grande"/>
    </w:rPr>
  </w:style>
  <w:style w:type="character" w:customStyle="1" w:styleId="MapadeldocumentoCar">
    <w:name w:val="Mapa del documento Car"/>
    <w:basedOn w:val="Fuentedeprrafopredeter"/>
    <w:link w:val="Mapadeldocumento"/>
    <w:rsid w:val="004B7D4B"/>
    <w:rPr>
      <w:rFonts w:ascii="Lucida Grande" w:eastAsia="Times New Roman" w:hAnsi="Lucida Grande" w:cstheme="minorHAnsi"/>
      <w:sz w:val="24"/>
    </w:rPr>
  </w:style>
  <w:style w:type="table" w:customStyle="1" w:styleId="ScrollTableNormal">
    <w:name w:val="Scroll Table Normal"/>
    <w:basedOn w:val="Tablanormal"/>
    <w:uiPriority w:val="99"/>
    <w:rsid w:val="004B7D4B"/>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3">
    <w:name w:val="Table Web 3"/>
    <w:basedOn w:val="Tablanormal"/>
    <w:rsid w:val="004B7D4B"/>
    <w:pPr>
      <w:spacing w:after="120" w:line="240" w:lineRule="auto"/>
    </w:pPr>
    <w:rPr>
      <w:rFonts w:ascii="Times New Roman" w:eastAsia="Times New Roman" w:hAnsi="Times New Roman" w:cs="Times New Roman"/>
      <w:sz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uadrculavistosa">
    <w:name w:val="Colorful Grid"/>
    <w:basedOn w:val="Tablanormal"/>
    <w:rsid w:val="004B7D4B"/>
    <w:pPr>
      <w:spacing w:after="0" w:line="240" w:lineRule="auto"/>
    </w:pPr>
    <w:rPr>
      <w:rFonts w:ascii="Times New Roman" w:eastAsia="Times New Roman" w:hAnsi="Times New Roman" w:cs="Times New Roman"/>
      <w:color w:val="000000"/>
      <w:sz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Textodeglobo">
    <w:name w:val="Balloon Text"/>
    <w:basedOn w:val="Normal"/>
    <w:link w:val="TextodegloboCar"/>
    <w:semiHidden/>
    <w:unhideWhenUsed/>
    <w:rsid w:val="004B7D4B"/>
    <w:pPr>
      <w:spacing w:after="0"/>
    </w:pPr>
    <w:rPr>
      <w:rFonts w:ascii="Tahoma" w:hAnsi="Tahoma" w:cs="Tahoma"/>
      <w:sz w:val="16"/>
    </w:rPr>
  </w:style>
  <w:style w:type="character" w:customStyle="1" w:styleId="TextodegloboCar">
    <w:name w:val="Texto de globo Car"/>
    <w:basedOn w:val="Fuentedeprrafopredeter"/>
    <w:link w:val="Textodeglobo"/>
    <w:semiHidden/>
    <w:rsid w:val="004B7D4B"/>
    <w:rPr>
      <w:rFonts w:ascii="Tahoma" w:eastAsia="Times New Roman" w:hAnsi="Tahoma" w:cs="Tahoma"/>
      <w:sz w:val="16"/>
    </w:rPr>
  </w:style>
  <w:style w:type="paragraph" w:customStyle="1" w:styleId="ZCom">
    <w:name w:val="Z_Com"/>
    <w:basedOn w:val="Normal"/>
    <w:next w:val="ZDGName"/>
    <w:uiPriority w:val="99"/>
    <w:rsid w:val="004B7D4B"/>
    <w:pPr>
      <w:widowControl w:val="0"/>
      <w:autoSpaceDE w:val="0"/>
      <w:autoSpaceDN w:val="0"/>
      <w:spacing w:after="0"/>
      <w:ind w:right="85"/>
    </w:pPr>
    <w:rPr>
      <w:rFonts w:ascii="Arial" w:hAnsi="Arial" w:cs="Arial"/>
    </w:rPr>
  </w:style>
  <w:style w:type="paragraph" w:customStyle="1" w:styleId="ZDGName">
    <w:name w:val="Z_DGName"/>
    <w:basedOn w:val="Normal"/>
    <w:uiPriority w:val="99"/>
    <w:rsid w:val="004B7D4B"/>
    <w:pPr>
      <w:widowControl w:val="0"/>
      <w:autoSpaceDE w:val="0"/>
      <w:autoSpaceDN w:val="0"/>
      <w:spacing w:after="0"/>
      <w:ind w:right="85"/>
    </w:pPr>
    <w:rPr>
      <w:rFonts w:ascii="Arial" w:hAnsi="Arial" w:cs="Arial"/>
      <w:sz w:val="16"/>
    </w:rPr>
  </w:style>
  <w:style w:type="paragraph" w:styleId="Fecha">
    <w:name w:val="Date"/>
    <w:basedOn w:val="Normal"/>
    <w:next w:val="References"/>
    <w:link w:val="FechaCar"/>
    <w:uiPriority w:val="99"/>
    <w:rsid w:val="004B7D4B"/>
    <w:pPr>
      <w:spacing w:after="0"/>
      <w:ind w:left="5103" w:right="-567"/>
    </w:pPr>
  </w:style>
  <w:style w:type="character" w:customStyle="1" w:styleId="FechaCar">
    <w:name w:val="Fecha Car"/>
    <w:basedOn w:val="Fuentedeprrafopredeter"/>
    <w:link w:val="Fecha"/>
    <w:uiPriority w:val="99"/>
    <w:rsid w:val="004B7D4B"/>
    <w:rPr>
      <w:rFonts w:eastAsia="Times New Roman" w:cstheme="minorHAnsi"/>
      <w:sz w:val="24"/>
    </w:rPr>
  </w:style>
  <w:style w:type="paragraph" w:customStyle="1" w:styleId="References">
    <w:name w:val="References"/>
    <w:basedOn w:val="Normal"/>
    <w:next w:val="Normal"/>
    <w:uiPriority w:val="99"/>
    <w:rsid w:val="004B7D4B"/>
    <w:pPr>
      <w:spacing w:after="240"/>
      <w:ind w:left="5103"/>
    </w:pPr>
    <w:rPr>
      <w:sz w:val="20"/>
    </w:rPr>
  </w:style>
  <w:style w:type="paragraph" w:customStyle="1" w:styleId="NoteHead">
    <w:name w:val="NoteHead"/>
    <w:basedOn w:val="Normal"/>
    <w:next w:val="Subject"/>
    <w:rsid w:val="004B7D4B"/>
    <w:pPr>
      <w:spacing w:before="720" w:after="720"/>
      <w:jc w:val="center"/>
    </w:pPr>
    <w:rPr>
      <w:b/>
      <w:smallCaps/>
    </w:rPr>
  </w:style>
  <w:style w:type="paragraph" w:customStyle="1" w:styleId="Subject">
    <w:name w:val="Subject"/>
    <w:basedOn w:val="Normal"/>
    <w:next w:val="Normal"/>
    <w:rsid w:val="004B7D4B"/>
    <w:pPr>
      <w:spacing w:after="480"/>
      <w:ind w:left="1531" w:hanging="1531"/>
    </w:pPr>
    <w:rPr>
      <w:b/>
    </w:rPr>
  </w:style>
  <w:style w:type="character" w:styleId="Hipervnculovisitado">
    <w:name w:val="FollowedHyperlink"/>
    <w:basedOn w:val="Fuentedeprrafopredeter"/>
    <w:uiPriority w:val="99"/>
    <w:semiHidden/>
    <w:unhideWhenUsed/>
    <w:rsid w:val="004B7D4B"/>
    <w:rPr>
      <w:color w:val="954F72" w:themeColor="followedHyperlink"/>
      <w:u w:val="single"/>
    </w:rPr>
  </w:style>
  <w:style w:type="table" w:customStyle="1" w:styleId="ScrollCode">
    <w:name w:val="Scroll Code"/>
    <w:basedOn w:val="Tablanormal"/>
    <w:uiPriority w:val="99"/>
    <w:qFormat/>
    <w:rsid w:val="004B7D4B"/>
    <w:pPr>
      <w:spacing w:after="0" w:line="240" w:lineRule="auto"/>
      <w:ind w:left="173" w:right="259"/>
    </w:pPr>
    <w:rPr>
      <w:rFonts w:ascii="Courier New" w:eastAsia="Times New Roman" w:hAnsi="Courier New" w:cs="Times New Roman"/>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Tablanormal"/>
    <w:uiPriority w:val="99"/>
    <w:qFormat/>
    <w:rsid w:val="004B7D4B"/>
    <w:pPr>
      <w:spacing w:after="0" w:line="240" w:lineRule="auto"/>
      <w:ind w:left="173" w:right="259"/>
    </w:pPr>
    <w:rPr>
      <w:rFonts w:ascii="Times New Roman" w:eastAsia="Times New Roman" w:hAnsi="Times New Roman" w:cs="Times New Roman"/>
      <w:sz w:val="20"/>
    </w:rPr>
    <w:tblPr>
      <w:tblCellMar>
        <w:top w:w="173" w:type="dxa"/>
        <w:left w:w="58" w:type="dxa"/>
        <w:bottom w:w="259" w:type="dxa"/>
        <w:right w:w="58" w:type="dxa"/>
      </w:tblCellMar>
    </w:tblPr>
    <w:tcPr>
      <w:shd w:val="clear" w:color="auto" w:fill="DEEBFF"/>
    </w:tcPr>
  </w:style>
  <w:style w:type="table" w:customStyle="1" w:styleId="ScrollQuote">
    <w:name w:val="Scroll Quote"/>
    <w:basedOn w:val="Tablanormal"/>
    <w:uiPriority w:val="99"/>
    <w:qFormat/>
    <w:rsid w:val="004B7D4B"/>
    <w:pPr>
      <w:spacing w:after="0" w:line="240" w:lineRule="auto"/>
      <w:ind w:left="173" w:right="259"/>
    </w:pPr>
    <w:rPr>
      <w:rFonts w:ascii="Times New Roman" w:eastAsia="Times New Roman" w:hAnsi="Times New Roman" w:cs="Times New Roman"/>
      <w:i/>
      <w:sz w:val="20"/>
    </w:rPr>
    <w:tblPr>
      <w:tblCellMar>
        <w:left w:w="58" w:type="dxa"/>
        <w:right w:w="58" w:type="dxa"/>
      </w:tblCellMar>
    </w:tblPr>
    <w:tblStylePr w:type="firstCol">
      <w:tblPr/>
      <w:tcPr>
        <w:tcBorders>
          <w:left w:val="single" w:sz="4" w:space="0" w:color="6199C9"/>
        </w:tcBorders>
      </w:tcPr>
    </w:tblStylePr>
  </w:style>
  <w:style w:type="table" w:customStyle="1" w:styleId="ScrollSectionColumn">
    <w:name w:val="Scroll Section Column"/>
    <w:basedOn w:val="Tablanormal"/>
    <w:uiPriority w:val="99"/>
    <w:rsid w:val="004B7D4B"/>
    <w:pPr>
      <w:spacing w:after="0" w:line="240" w:lineRule="auto"/>
    </w:pPr>
    <w:rPr>
      <w:rFonts w:ascii="Times New Roman" w:eastAsia="Times New Roman" w:hAnsi="Times New Roman" w:cs="Times New Roman"/>
      <w:sz w:val="20"/>
    </w:rPr>
    <w:tblPr/>
  </w:style>
  <w:style w:type="table" w:customStyle="1" w:styleId="ScrollTip">
    <w:name w:val="Scroll Tip"/>
    <w:basedOn w:val="Tablanormal"/>
    <w:uiPriority w:val="99"/>
    <w:qFormat/>
    <w:rsid w:val="004B7D4B"/>
    <w:pPr>
      <w:spacing w:after="0" w:line="240" w:lineRule="auto"/>
      <w:ind w:left="173" w:right="259"/>
    </w:pPr>
    <w:rPr>
      <w:rFonts w:ascii="Times New Roman" w:eastAsia="Times New Roman" w:hAnsi="Times New Roman" w:cs="Times New Roman"/>
      <w:sz w:val="20"/>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anormal"/>
    <w:uiPriority w:val="99"/>
    <w:qFormat/>
    <w:rsid w:val="004B7D4B"/>
    <w:pPr>
      <w:spacing w:after="0" w:line="240" w:lineRule="auto"/>
      <w:ind w:left="173" w:right="259"/>
    </w:pPr>
    <w:rPr>
      <w:rFonts w:ascii="Times New Roman" w:eastAsia="Times New Roman" w:hAnsi="Times New Roman" w:cs="Times New Roman"/>
      <w:sz w:val="20"/>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Tablanormal"/>
    <w:uiPriority w:val="99"/>
    <w:qFormat/>
    <w:rsid w:val="004B7D4B"/>
    <w:pPr>
      <w:spacing w:after="0" w:line="240" w:lineRule="auto"/>
      <w:ind w:left="173" w:right="259"/>
    </w:pPr>
    <w:rPr>
      <w:rFonts w:ascii="Times New Roman" w:eastAsia="Times New Roman" w:hAnsi="Times New Roman" w:cs="Times New Roman"/>
      <w:sz w:val="20"/>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Tablanormal"/>
    <w:uiPriority w:val="99"/>
    <w:rsid w:val="004B7D4B"/>
    <w:pPr>
      <w:spacing w:after="0" w:line="240" w:lineRule="auto"/>
      <w:ind w:left="176" w:right="261"/>
    </w:pPr>
    <w:rPr>
      <w:rFonts w:ascii="Times New Roman" w:eastAsia="Times New Roman" w:hAnsi="Times New Roman" w:cs="Times New Roman"/>
      <w:sz w:val="20"/>
    </w:rPr>
    <w:tblPr>
      <w:tblCellMar>
        <w:top w:w="173" w:type="dxa"/>
        <w:left w:w="58" w:type="dxa"/>
        <w:bottom w:w="259" w:type="dxa"/>
        <w:right w:w="58" w:type="dxa"/>
      </w:tblCellMar>
    </w:tblPr>
    <w:tcPr>
      <w:shd w:val="clear" w:color="auto" w:fill="EAE6FF"/>
    </w:tcPr>
  </w:style>
  <w:style w:type="table" w:customStyle="1" w:styleId="ScrollPanel">
    <w:name w:val="Scroll Panel"/>
    <w:basedOn w:val="Tablanormal"/>
    <w:uiPriority w:val="99"/>
    <w:qFormat/>
    <w:rsid w:val="004B7D4B"/>
    <w:pPr>
      <w:spacing w:after="0" w:line="240" w:lineRule="auto"/>
      <w:ind w:left="173" w:right="259"/>
    </w:pPr>
    <w:rPr>
      <w:rFonts w:ascii="Times New Roman" w:eastAsia="Times New Roman" w:hAnsi="Times New Roman" w:cs="Times New Roman"/>
      <w:sz w:val="20"/>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anormal"/>
    <w:uiPriority w:val="99"/>
    <w:qFormat/>
    <w:rsid w:val="004B7D4B"/>
    <w:pPr>
      <w:spacing w:after="0" w:line="240" w:lineRule="auto"/>
      <w:ind w:left="173" w:right="259"/>
    </w:pPr>
    <w:rPr>
      <w:rFonts w:ascii="Times New Roman" w:eastAsia="Times New Roman" w:hAnsi="Times New Roman" w:cs="Times New Roman"/>
      <w:sz w:val="20"/>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paragraph" w:customStyle="1" w:styleId="P68B1DB1-Subject1">
    <w:name w:val="P68B1DB1-Subject1"/>
    <w:basedOn w:val="Subject"/>
    <w:rPr>
      <w:sz w:val="36"/>
    </w:rPr>
  </w:style>
  <w:style w:type="paragraph" w:customStyle="1" w:styleId="P68B1DB1-Subject2">
    <w:name w:val="P68B1DB1-Subject2"/>
    <w:basedOn w:val="Subject"/>
    <w:rPr>
      <w:b w:val="0"/>
    </w:rPr>
  </w:style>
  <w:style w:type="paragraph" w:customStyle="1" w:styleId="P68B1DB1-Normal3">
    <w:name w:val="P68B1DB1-Normal3"/>
    <w:basedOn w:val="Normal"/>
    <w:rPr>
      <w:sz w:val="22"/>
    </w:rPr>
  </w:style>
  <w:style w:type="paragraph" w:customStyle="1" w:styleId="P68B1DB1-Normal4">
    <w:name w:val="P68B1DB1-Normal4"/>
    <w:basedOn w:val="Normal"/>
    <w:rPr>
      <w:b/>
    </w:rPr>
  </w:style>
  <w:style w:type="paragraph" w:customStyle="1" w:styleId="P68B1DB1-Normal5">
    <w:name w:val="P68B1DB1-Normal5"/>
    <w:basedOn w:val="Normal"/>
    <w:rPr>
      <w:i/>
    </w:rPr>
  </w:style>
  <w:style w:type="paragraph" w:customStyle="1" w:styleId="P68B1DB1-Normal6">
    <w:name w:val="P68B1DB1-Normal6"/>
    <w:basedOn w:val="Normal"/>
    <w:rPr>
      <w:i/>
      <w:color w:val="FF0000"/>
    </w:rPr>
  </w:style>
  <w:style w:type="paragraph" w:customStyle="1" w:styleId="P68B1DB1-Normal7">
    <w:name w:val="P68B1DB1-Normal7"/>
    <w:basedOn w:val="Normal"/>
    <w:rPr>
      <w:u w:val="single"/>
    </w:rPr>
  </w:style>
  <w:style w:type="paragraph" w:customStyle="1" w:styleId="P68B1DB1-Normal8">
    <w:name w:val="P68B1DB1-Normal8"/>
    <w:basedOn w:val="Normal"/>
    <w:rPr>
      <w:b/>
      <w:u w:val="single"/>
    </w:rPr>
  </w:style>
  <w:style w:type="paragraph" w:customStyle="1" w:styleId="P68B1DB1-Normal9">
    <w:name w:val="P68B1DB1-Normal9"/>
    <w:basedOn w:val="Normal"/>
    <w:rPr>
      <w:i/>
      <w:u w:val="single"/>
    </w:rPr>
  </w:style>
  <w:style w:type="paragraph" w:customStyle="1" w:styleId="P68B1DB1-Normal10">
    <w:name w:val="P68B1DB1-Normal10"/>
    <w:basedOn w:val="Normal"/>
    <w:rPr>
      <w:rFonts w:ascii="Calibri" w:hAnsi="Calibri" w:cs="Calibri"/>
      <w:b/>
      <w:i/>
      <w:sz w:val="20"/>
    </w:rPr>
  </w:style>
  <w:style w:type="paragraph" w:customStyle="1" w:styleId="P68B1DB1-Normal11">
    <w:name w:val="P68B1DB1-Normal11"/>
    <w:basedOn w:val="Normal"/>
    <w:rPr>
      <w:rFonts w:ascii="Calibri" w:hAnsi="Calibri" w:cs="Calibri"/>
      <w:b/>
      <w:sz w:val="20"/>
    </w:rPr>
  </w:style>
  <w:style w:type="paragraph" w:customStyle="1" w:styleId="P68B1DB1-Normal12">
    <w:name w:val="P68B1DB1-Normal12"/>
    <w:basedOn w:val="Normal"/>
    <w:rPr>
      <w:rFonts w:ascii="Calibri" w:hAnsi="Calibri" w:cs="Calibri"/>
      <w:sz w:val="20"/>
    </w:rPr>
  </w:style>
  <w:style w:type="paragraph" w:customStyle="1" w:styleId="P68B1DB1-Normal13">
    <w:name w:val="P68B1DB1-Normal13"/>
    <w:basedOn w:val="Normal"/>
    <w:rPr>
      <w:b/>
      <w:i/>
    </w:rPr>
  </w:style>
  <w:style w:type="paragraph" w:customStyle="1" w:styleId="P68B1DB1-Normal14">
    <w:name w:val="P68B1DB1-Normal14"/>
    <w:basedOn w:val="Normal"/>
    <w:rPr>
      <w:b/>
      <w:i/>
      <w:u w:val="single"/>
    </w:rPr>
  </w:style>
  <w:style w:type="paragraph" w:customStyle="1" w:styleId="P68B1DB1-Normal15">
    <w:name w:val="P68B1DB1-Normal15"/>
    <w:basedOn w:val="Normal"/>
    <w:rPr>
      <w:b/>
      <w:color w:val="0000FF"/>
    </w:rPr>
  </w:style>
  <w:style w:type="paragraph" w:customStyle="1" w:styleId="P68B1DB1-Normal16">
    <w:name w:val="P68B1DB1-Normal16"/>
    <w:basedOn w:val="Normal"/>
    <w:rPr>
      <w:b/>
      <w:i/>
      <w:color w:val="0000FF"/>
    </w:rPr>
  </w:style>
  <w:style w:type="paragraph" w:customStyle="1" w:styleId="P68B1DB1-Normal1">
    <w:name w:val="P68B1DB1-Normal1"/>
    <w:basedOn w:val="Normal"/>
    <w:rsid w:val="001C6219"/>
    <w:rPr>
      <w:b/>
    </w:rPr>
  </w:style>
  <w:style w:type="paragraph" w:customStyle="1" w:styleId="P68B1DB1-Normal2">
    <w:name w:val="P68B1DB1-Normal2"/>
    <w:basedOn w:val="Normal"/>
    <w:rsid w:val="001C6219"/>
    <w:rPr>
      <w:u w:val="single"/>
    </w:rPr>
  </w:style>
  <w:style w:type="paragraph" w:customStyle="1" w:styleId="msonormal0">
    <w:name w:val="msonormal"/>
    <w:basedOn w:val="Normal"/>
    <w:rsid w:val="00915AB3"/>
    <w:pPr>
      <w:spacing w:before="100" w:beforeAutospacing="1" w:after="100" w:afterAutospacing="1"/>
      <w:jc w:val="left"/>
    </w:pPr>
    <w:rPr>
      <w:rFonts w:ascii="Times New Roman" w:hAnsi="Times New Roman" w:cs="Times New Roman"/>
      <w:szCs w:val="24"/>
      <w:lang w:val="es-ES"/>
    </w:rPr>
  </w:style>
  <w:style w:type="paragraph" w:styleId="NormalWeb">
    <w:name w:val="Normal (Web)"/>
    <w:basedOn w:val="Normal"/>
    <w:uiPriority w:val="99"/>
    <w:semiHidden/>
    <w:unhideWhenUsed/>
    <w:rsid w:val="00915AB3"/>
    <w:pPr>
      <w:spacing w:before="100" w:beforeAutospacing="1" w:after="100" w:afterAutospacing="1"/>
      <w:jc w:val="left"/>
    </w:pPr>
    <w:rPr>
      <w:rFonts w:ascii="Times New Roman" w:hAnsi="Times New Roman" w:cs="Times New Roman"/>
      <w:szCs w:val="24"/>
      <w:lang w:val="es-ES"/>
    </w:rPr>
  </w:style>
  <w:style w:type="character" w:customStyle="1" w:styleId="icon">
    <w:name w:val="icon"/>
    <w:basedOn w:val="Fuentedeprrafopredeter"/>
    <w:rsid w:val="00915AB3"/>
  </w:style>
  <w:style w:type="character" w:styleId="Textoennegrita">
    <w:name w:val="Strong"/>
    <w:basedOn w:val="Fuentedeprrafopredeter"/>
    <w:uiPriority w:val="22"/>
    <w:qFormat/>
    <w:rsid w:val="0005656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gate.ec.europa.eu/regiokm/display/XNETCPR2021/QA00235+-+Counter+guarantee+contracts" TargetMode="External"/><Relationship Id="rId21" Type="http://schemas.openxmlformats.org/officeDocument/2006/relationships/hyperlink" Target="https://webgate.ec.europa.eu/regiokm/display/XNETCPR2021/QA00191+-+Final+allocation+of+the+flexibility+amount" TargetMode="External"/><Relationship Id="rId324" Type="http://schemas.openxmlformats.org/officeDocument/2006/relationships/hyperlink" Target="https://webgate.ec.europa.eu/regiokm/display/XNETCPR2021/QA00240+-+Verification+of+the+financial+status+of+beneficiaries" TargetMode="External"/><Relationship Id="rId531" Type="http://schemas.openxmlformats.org/officeDocument/2006/relationships/hyperlink" Target="https://webgate.ec.europa.eu/regiokm/display/2127QA/QA00148+-+Support+by+the+ERDF+of+activities+for+applied+research+and+innovation+undertaken+by+enterprises+other+than+SMEs" TargetMode="External"/><Relationship Id="rId170" Type="http://schemas.openxmlformats.org/officeDocument/2006/relationships/hyperlink" Target="https://webgate.ec.europa.eu/regiokm/display/XNETCPR2021/QA00041+-+Availability+of+documents+and+management+verifications+and+audits+of+financial+instruments" TargetMode="External"/><Relationship Id="rId268" Type="http://schemas.openxmlformats.org/officeDocument/2006/relationships/hyperlink" Target="https://webgate.ec.europa.eu/regiokm/display/XNETCPR2021/QA709_Fisheries+control+and+enforcement+in+inland+waters" TargetMode="External"/><Relationship Id="rId475" Type="http://schemas.openxmlformats.org/officeDocument/2006/relationships/image" Target="media/image30.svg"/><Relationship Id="rId32" Type="http://schemas.openxmlformats.org/officeDocument/2006/relationships/hyperlink" Target="https://webgate.ec.europa.eu/regiokm/display/XNETCPR2021/QA00025+-+Combining+specific+objectives+in+a+priority" TargetMode="External"/><Relationship Id="rId128" Type="http://schemas.openxmlformats.org/officeDocument/2006/relationships/hyperlink" Target="https://webgate.ec.europa.eu/regiokm/display/XNETCPR2021/QA00318+-+In-kind+contribution+in+the+form+of+voluntary+work+under+Article+39+ETC" TargetMode="External"/><Relationship Id="rId335" Type="http://schemas.openxmlformats.org/officeDocument/2006/relationships/hyperlink" Target="https://webgate.ec.europa.eu/regiokm/pages/viewpage.action?pageId=287638121" TargetMode="External"/><Relationship Id="rId542" Type="http://schemas.openxmlformats.org/officeDocument/2006/relationships/hyperlink" Target="https://ec.europa.eu/social/main.jsp?catId=1501" TargetMode="External"/><Relationship Id="rId181" Type="http://schemas.openxmlformats.org/officeDocument/2006/relationships/hyperlink" Target="https://webgate.ec.europa.eu/regiokm/pages/viewpage.action?pageId=255099313" TargetMode="External"/><Relationship Id="rId402" Type="http://schemas.openxmlformats.org/officeDocument/2006/relationships/hyperlink" Target="https://webgate.ec.europa.eu/regiokm/display/XNETCPR2021/QA00146+-+Investment+in+ETS+activities+with+no+existing+benchmark" TargetMode="External"/><Relationship Id="rId279" Type="http://schemas.openxmlformats.org/officeDocument/2006/relationships/hyperlink" Target="https://webgate.ec.europa.eu/regiokm/display/XNETCPR2021/QA589_EMFAF_Utilisation+of+EMFAF+Art.+32+for+actions+not+directly+related+to+data+collection+and+management" TargetMode="External"/><Relationship Id="rId486" Type="http://schemas.openxmlformats.org/officeDocument/2006/relationships/hyperlink" Target="https://webgate.ec.europa.eu/regiokm/display/2127QA/QA00048+-+Flexibility+amount+and+future+transfers+of+ERDF+allocations+between+programmes" TargetMode="External"/><Relationship Id="rId43" Type="http://schemas.openxmlformats.org/officeDocument/2006/relationships/hyperlink" Target="https://webgate.ec.europa.eu/regiokm/display/XNETCPR2021/QA00273+-+Possibility+of+approving+a+programme+before+the+approval+of+the+Partnership+Agreement" TargetMode="External"/><Relationship Id="rId139" Type="http://schemas.openxmlformats.org/officeDocument/2006/relationships/hyperlink" Target="https://webgate.ec.europa.eu/regiokm/display/XNETCPR2021/QA00165+-+Purchase+of+land+limit" TargetMode="External"/><Relationship Id="rId346" Type="http://schemas.openxmlformats.org/officeDocument/2006/relationships/hyperlink" Target="https://webgate.ec.europa.eu/regiokm/display/XNETCPR2021/QA00294+-+Measures+applied+by+the+managing+authority+-communication+rules+-+Interreg" TargetMode="External"/><Relationship Id="rId553" Type="http://schemas.openxmlformats.org/officeDocument/2006/relationships/theme" Target="theme/theme1.xml"/><Relationship Id="rId192" Type="http://schemas.openxmlformats.org/officeDocument/2006/relationships/hyperlink" Target="https://webgate.ec.europa.eu/regiokm/display/XNETCPR2021/QA00100+-+Technical+questions+on+payment+applications+and+accounts+2021-2027+programming+period" TargetMode="External"/><Relationship Id="rId206" Type="http://schemas.openxmlformats.org/officeDocument/2006/relationships/hyperlink" Target="https://webgate.ec.europa.eu/regiokm/pages/viewpage.action?pageId=255099281" TargetMode="External"/><Relationship Id="rId413" Type="http://schemas.openxmlformats.org/officeDocument/2006/relationships/hyperlink" Target="https://webgate.ec.europa.eu/regiokm/display/XNETCPR2021/QA00268+-+Programme+amendment+in+case+of+a+TJTP+is+associated+to+several+programmes" TargetMode="External"/><Relationship Id="rId497" Type="http://schemas.openxmlformats.org/officeDocument/2006/relationships/hyperlink" Target="https://webgate.ec.europa.eu/regiokm/display/2127QA/QA00130+-+Implementation+of+umbrella+projects+under+CLLD" TargetMode="External"/><Relationship Id="rId357" Type="http://schemas.openxmlformats.org/officeDocument/2006/relationships/hyperlink" Target="https://webgate.ec.europa.eu/regiokm/pages/viewpage.action?pageId=163121282" TargetMode="External"/><Relationship Id="rId54" Type="http://schemas.openxmlformats.org/officeDocument/2006/relationships/hyperlink" Target="https://webgate.ec.europa.eu/regiokm/display/XNETCPR2021/QA00111+-+Territorial+development+-+implementing+CLLD+strategies+through+operations+considered+as+a+group+of+projects" TargetMode="External"/><Relationship Id="rId96" Type="http://schemas.openxmlformats.org/officeDocument/2006/relationships/hyperlink" Target="https://webgate.ec.europa.eu/regiokm/display/XNETCPR2021/QA00042+-+Flat+rate+for+direct+and+indirect+costs" TargetMode="External"/><Relationship Id="rId161" Type="http://schemas.openxmlformats.org/officeDocument/2006/relationships/hyperlink" Target="https://webgate.ec.europa.eu/regiokm/display/XNETCPR2021/QA00332+-+Newly+classified+TEN-T+network+infrastructure" TargetMode="External"/><Relationship Id="rId217" Type="http://schemas.openxmlformats.org/officeDocument/2006/relationships/hyperlink" Target="https://webgate.ec.europa.eu/regiokm/display/XNETCPR2021/QA00320+-+Phasing+of+projects+for+which+eligible+expenditure+was+capped+in+2014-2020" TargetMode="External"/><Relationship Id="rId399" Type="http://schemas.openxmlformats.org/officeDocument/2006/relationships/hyperlink" Target="https://webgate.ec.europa.eu/regiokm/display/XNETCPR2021/QA00141+-+Support+to+combined+instruments" TargetMode="External"/><Relationship Id="rId259" Type="http://schemas.openxmlformats.org/officeDocument/2006/relationships/hyperlink" Target="https://webgate.ec.europa.eu/regiokm/display/XNETCPR2021/QA627_EMFAF_Use+of+EMFAF+for+co-financing+on-land+processing+of+collected+marine+litter" TargetMode="External"/><Relationship Id="rId424" Type="http://schemas.openxmlformats.org/officeDocument/2006/relationships/hyperlink" Target="file:///U:/02%20INTERPRETATION/Post2020/02%20QA%20requests/2021/192%20QA%20REGIO%202021-27/FINAL_192%20QA%20-%20applicability%20of%20Article%2050%20new%20CPR%20in%20case%20of%20FI.docx" TargetMode="External"/><Relationship Id="rId466" Type="http://schemas.openxmlformats.org/officeDocument/2006/relationships/hyperlink" Target="https://ec.europa.eu/esf/main.jsp?catId=1490&amp;langId=en" TargetMode="External"/><Relationship Id="rId23" Type="http://schemas.openxmlformats.org/officeDocument/2006/relationships/hyperlink" Target="https://webgate.ec.europa.eu/regiokm/display/XNETCPR2021/QA00226+-+Operations+contributing+to+the+fulfilment+of+the+enabling+condition" TargetMode="External"/><Relationship Id="rId119" Type="http://schemas.openxmlformats.org/officeDocument/2006/relationships/hyperlink" Target="https://webgate.ec.europa.eu/regiokm/display/XNETCPR2021/QA00246+-+Question+concerning+flat-rate+financing+at+the+level+of+beneficiaries" TargetMode="External"/><Relationship Id="rId270" Type="http://schemas.openxmlformats.org/officeDocument/2006/relationships/hyperlink" Target="https://webgate.ec.europa.eu/regiokm/display/XNETCPR2021/QA713_EMFAF_First+acquisition+of+a+fishing+vessel" TargetMode="External"/><Relationship Id="rId326" Type="http://schemas.openxmlformats.org/officeDocument/2006/relationships/hyperlink" Target="https://webgate.ec.europa.eu/regiokm/display/XNETCPR2021/QA00287+-+The+eligibility+for+the+purchase+of+vehicles+according+to+the+ERDF+and+CF+rules" TargetMode="External"/><Relationship Id="rId533" Type="http://schemas.openxmlformats.org/officeDocument/2006/relationships/hyperlink" Target="https://eur-lex.europa.eu/eli/C/2024/3209/oj" TargetMode="External"/><Relationship Id="rId65" Type="http://schemas.openxmlformats.org/officeDocument/2006/relationships/hyperlink" Target="https://webgate.ec.europa.eu/regiokm/pages/viewpage.action?pageId=255099215" TargetMode="External"/><Relationship Id="rId130" Type="http://schemas.openxmlformats.org/officeDocument/2006/relationships/hyperlink" Target="https://webgate.ec.europa.eu/regiokm/display/XNETCPR2021/QA00002+-+Eligibility+of+VAT+under+cohesion+policy+rules+in+the+2021-2027+programming+period" TargetMode="External"/><Relationship Id="rId368" Type="http://schemas.openxmlformats.org/officeDocument/2006/relationships/hyperlink" Target="https://webgate.ec.europa.eu/regiokm/pages/viewpage.action?pageId=158761458" TargetMode="External"/><Relationship Id="rId172" Type="http://schemas.openxmlformats.org/officeDocument/2006/relationships/hyperlink" Target="https://webgate.ec.europa.eu/regiokm/display/XNETCPR2021/QA00064+-+Managing+Authority+responsibilities+and+accounting+function" TargetMode="External"/><Relationship Id="rId228" Type="http://schemas.openxmlformats.org/officeDocument/2006/relationships/hyperlink" Target="https://webgate.ec.europa.eu/regiokm/pages/viewpage.action?pageId=287638486" TargetMode="External"/><Relationship Id="rId435" Type="http://schemas.openxmlformats.org/officeDocument/2006/relationships/hyperlink" Target="file:///U:/02%20INTERPRETATION/Post2020/02%20QA%20requests/2021/208%20QA%20REGIO%202021-27/FINAL_QA208_eligibility%20large%20enterprises%20under%20JTF.docx" TargetMode="External"/><Relationship Id="rId477" Type="http://schemas.openxmlformats.org/officeDocument/2006/relationships/hyperlink" Target="https://webgate.ec.europa.eu/regiokm/display/2127QA/QA00130+-+Implementation+of+umbrella+projects+under+CLLD" TargetMode="External"/><Relationship Id="rId281" Type="http://schemas.openxmlformats.org/officeDocument/2006/relationships/hyperlink" Target="https://webgate.ec.europa.eu/regiokm/display/XNETCPR2021/QA644_EMFAF_Interpretation+of+certain+EMFAF+provisions+in+view+of+correct+programming" TargetMode="External"/><Relationship Id="rId337" Type="http://schemas.openxmlformats.org/officeDocument/2006/relationships/hyperlink" Target="https://webgate.ec.europa.eu/regiokm/display/XNETCPR2021/QA00087+-+INTERREG+and+territorial+development" TargetMode="External"/><Relationship Id="rId502" Type="http://schemas.openxmlformats.org/officeDocument/2006/relationships/hyperlink" Target="https://eur-lex.europa.eu/legal-content/EN/TXT/PDF/?uri=CELEX:52021XC0527(02)&amp;qid=1678815367439&amp;from=EN" TargetMode="External"/><Relationship Id="rId34" Type="http://schemas.openxmlformats.org/officeDocument/2006/relationships/hyperlink" Target="https://webgate.ec.europa.eu/regiokm/display/XNETCPR2021/QA00040+-+Submission+of+programmes" TargetMode="External"/><Relationship Id="rId76" Type="http://schemas.openxmlformats.org/officeDocument/2006/relationships/hyperlink" Target="https://webgate.ec.europa.eu/regiokm/pages/viewpage.action?pageId=262539697" TargetMode="External"/><Relationship Id="rId141" Type="http://schemas.openxmlformats.org/officeDocument/2006/relationships/hyperlink" Target="https://webgate.ec.europa.eu/regiokm/display/XNETCPR2021/QA00168+-+Relocation+in+context+of+GBER" TargetMode="External"/><Relationship Id="rId379" Type="http://schemas.openxmlformats.org/officeDocument/2006/relationships/hyperlink" Target="https://webgate.ec.europa.eu/regiokm/pages/viewpage.action?pageId=158761476" TargetMode="External"/><Relationship Id="rId544" Type="http://schemas.openxmlformats.org/officeDocument/2006/relationships/image" Target="media/image3.png"/><Relationship Id="rId7" Type="http://schemas.openxmlformats.org/officeDocument/2006/relationships/hyperlink" Target="https://webgate.ec.europa.eu/regiokm/pages/viewpage.action?pageId=255099203" TargetMode="External"/><Relationship Id="rId183" Type="http://schemas.openxmlformats.org/officeDocument/2006/relationships/hyperlink" Target="https://webgate.ec.europa.eu/regiokm/display/XNETCPR2021/QA00263+-+Eligibility+of+recycled+carbon+fuel+under+JTF+and+climate+proofing+of+infrastructure" TargetMode="External"/><Relationship Id="rId239" Type="http://schemas.openxmlformats.org/officeDocument/2006/relationships/hyperlink" Target="https://webgate.ec.europa.eu/regiokm/display/XNETCPR2021/QA626_EMFAF_State+aid+clearance+needed+under+EMFAF" TargetMode="External"/><Relationship Id="rId390" Type="http://schemas.openxmlformats.org/officeDocument/2006/relationships/hyperlink" Target="https://webgate.ec.europa.eu/regiokm/display/XNETCPR2021/QA00066+-+Questions+on+eligibility+under+JTF" TargetMode="External"/><Relationship Id="rId404" Type="http://schemas.openxmlformats.org/officeDocument/2006/relationships/hyperlink" Target="https://webgate.ec.europa.eu/regiokm/pages/viewpage.action?pageId=255099279" TargetMode="External"/><Relationship Id="rId446" Type="http://schemas.openxmlformats.org/officeDocument/2006/relationships/hyperlink" Target="file:///C:/Users/zupantj/AppData/Local/Microsoft/Windows/INetCache/Content.Outlook/X0DZEZ3C/198%20QA%20Start%20date%20of%20eligibility%20for%20the%20JTF_EMPL_rev%2027SEPT2021%20FINAL%2008112021.docx" TargetMode="External"/><Relationship Id="rId250" Type="http://schemas.openxmlformats.org/officeDocument/2006/relationships/hyperlink" Target="https://webgate.ec.europa.eu/regiokm/display/XNETCPR2021/QA693_EMFAF_interpretation+of+Article+11" TargetMode="External"/><Relationship Id="rId292" Type="http://schemas.openxmlformats.org/officeDocument/2006/relationships/hyperlink" Target="https://webgate.ec.europa.eu/regiokm/display/XNETCPR2021/QA634_EMFAF_Maximum+intensity+of+aid+for+beneficiaries+without+legal+personality" TargetMode="External"/><Relationship Id="rId306" Type="http://schemas.openxmlformats.org/officeDocument/2006/relationships/hyperlink" Target="https://webgate.ec.europa.eu/regiokm/pages/viewpage.action?pageId=255099152" TargetMode="External"/><Relationship Id="rId488" Type="http://schemas.openxmlformats.org/officeDocument/2006/relationships/hyperlink" Target="https://webgate.ec.europa.eu/regiokm/pages/viewpage.action?pageId=213680541" TargetMode="External"/><Relationship Id="rId45" Type="http://schemas.openxmlformats.org/officeDocument/2006/relationships/hyperlink" Target="https://webgate.ec.europa.eu/regiokm/pages/viewpage.action?pageId=255099157" TargetMode="External"/><Relationship Id="rId87" Type="http://schemas.openxmlformats.org/officeDocument/2006/relationships/hyperlink" Target="https://webgate.ec.europa.eu/regiokm/display/XNETCPR2021/QA00224+-+Publicity+requirements+according+to+Article+50%281%29%28c%29+CPR+in+the+context+of+financial+instruments" TargetMode="External"/><Relationship Id="rId110" Type="http://schemas.openxmlformats.org/officeDocument/2006/relationships/hyperlink" Target="https://webgate.ec.europa.eu/regiokm/display/XNETCPR2021/QA00200+-+SCOs+-+Annex+XVII+data+fields+23+and+24+and+a+maximum+working+time+compliance+in+case+of+unit+costs" TargetMode="External"/><Relationship Id="rId348" Type="http://schemas.openxmlformats.org/officeDocument/2006/relationships/hyperlink" Target="https://webgate.ec.europa.eu/regiokm/pages/viewpage.action?pageId=158761431" TargetMode="External"/><Relationship Id="rId513" Type="http://schemas.openxmlformats.org/officeDocument/2006/relationships/hyperlink" Target="https://webgate.ec.europa.eu/regiokm/pages/viewpage.action?pageId=222889802" TargetMode="External"/><Relationship Id="rId555" Type="http://schemas.openxmlformats.org/officeDocument/2006/relationships/customXml" Target="../customXml/item3.xml"/><Relationship Id="rId152" Type="http://schemas.openxmlformats.org/officeDocument/2006/relationships/hyperlink" Target="https://webgate.ec.europa.eu/regiokm/display/XNETCPR2021/QA00262+-+VAT+eligibility" TargetMode="External"/><Relationship Id="rId194" Type="http://schemas.openxmlformats.org/officeDocument/2006/relationships/hyperlink" Target="https://webgate.ec.europa.eu/regiokm/pages/viewpage.action?pageId=255099248" TargetMode="External"/><Relationship Id="rId208" Type="http://schemas.openxmlformats.org/officeDocument/2006/relationships/hyperlink" Target="https://webgate.ec.europa.eu/regiokm/display/XNETCPR2021/QA00139+-+CPR+and+Interreg+Regulation+2021-2027+-+potential+double+correction" TargetMode="External"/><Relationship Id="rId415" Type="http://schemas.openxmlformats.org/officeDocument/2006/relationships/hyperlink" Target="https://webgate.ec.europa.eu/regiokm/display/XNETCPR2021/QA00303+-+Scope+of+STEP+and+relation+with+eligibility+rules+under+the+funds" TargetMode="External"/><Relationship Id="rId457" Type="http://schemas.openxmlformats.org/officeDocument/2006/relationships/hyperlink" Target="file:///C:/Users/zupantj/AppData/Local/Microsoft/Windows/INetCache/Content.Outlook/BB7ZRUJV/EMPL%202021-2027%20QA_18%20evaluations%20(002).docx" TargetMode="External"/><Relationship Id="rId261" Type="http://schemas.openxmlformats.org/officeDocument/2006/relationships/hyperlink" Target="https://webgate.ec.europa.eu/regiokm/display/XNETCPR2021/QA647_EMFAF_Art.+18+engine+replacement+-+verification" TargetMode="External"/><Relationship Id="rId499" Type="http://schemas.openxmlformats.org/officeDocument/2006/relationships/hyperlink" Target="https://webgate.ec.europa.eu/regiokm/pages/viewpage.action?pageId=186220977" TargetMode="External"/><Relationship Id="rId14" Type="http://schemas.openxmlformats.org/officeDocument/2006/relationships/hyperlink" Target="https://webgate.ec.europa.eu/regiokm/display/XNETCPR2021/QA00081+-+Climate+concentration+requirement+and+technical+assistance" TargetMode="External"/><Relationship Id="rId56" Type="http://schemas.openxmlformats.org/officeDocument/2006/relationships/hyperlink" Target="https://webgate.ec.europa.eu/regiokm/display/XNETCPR2021/QA00130+-+Implementation+of+umbrella+projects+under+CLLD" TargetMode="External"/><Relationship Id="rId317" Type="http://schemas.openxmlformats.org/officeDocument/2006/relationships/hyperlink" Target="https://webgate.ec.europa.eu/regiokm/display/XNETCPR2021/QA00102+-+Eligibility+of+energy+efficiency+investments+for+large+enterprises%2C+including+energy+efficiency+investments+in+production+lines" TargetMode="External"/><Relationship Id="rId359" Type="http://schemas.openxmlformats.org/officeDocument/2006/relationships/hyperlink" Target="https://webgate.ec.europa.eu/regiokm/pages/viewpage.action?pageId=158761442" TargetMode="External"/><Relationship Id="rId524" Type="http://schemas.openxmlformats.org/officeDocument/2006/relationships/hyperlink" Target="https://www.imo.org/fr/OurWork/Safety/Pages/IntegratedBridgeSystems.aspx" TargetMode="External"/><Relationship Id="rId98" Type="http://schemas.openxmlformats.org/officeDocument/2006/relationships/hyperlink" Target="https://webgate.ec.europa.eu/regiokm/display/XNETCPR2021/QA00060+-+Possibility+of+procuring+projects" TargetMode="External"/><Relationship Id="rId121" Type="http://schemas.openxmlformats.org/officeDocument/2006/relationships/hyperlink" Target="https://webgate.ec.europa.eu/regiokm/pages/viewpage.action?pageId=255099377" TargetMode="External"/><Relationship Id="rId163" Type="http://schemas.openxmlformats.org/officeDocument/2006/relationships/hyperlink" Target="https://webgate.ec.europa.eu/regiokm/pages/viewpage.action?pageId=255099370" TargetMode="External"/><Relationship Id="rId219" Type="http://schemas.openxmlformats.org/officeDocument/2006/relationships/hyperlink" Target="https://webgate.ec.europa.eu/regiokm/display/XNETCPR2021/QA00303+-+Scope+of+STEP+and+relation+with+eligibility+rules+under+the+funds" TargetMode="External"/><Relationship Id="rId370" Type="http://schemas.openxmlformats.org/officeDocument/2006/relationships/hyperlink" Target="https://webgate.ec.europa.eu/regiokm/pages/viewpage.action?pageId=158761462" TargetMode="External"/><Relationship Id="rId426" Type="http://schemas.openxmlformats.org/officeDocument/2006/relationships/hyperlink" Target="file:///U:/02%20INTERPRETATION/Post2020/02%20QA%20requests/2021/192%20QA%20REGIO%202021-27/FINAL_192%20QA%20-%20applicability%20of%20Article%2050%20new%20CPR%20in%20case%20of%20FI.docx" TargetMode="External"/><Relationship Id="rId230" Type="http://schemas.openxmlformats.org/officeDocument/2006/relationships/hyperlink" Target="https://webgate.ec.europa.eu/regiokm/display/XNETCPR2021/QA00326+-+Application+rules+for+STEP+bonuses" TargetMode="External"/><Relationship Id="rId468" Type="http://schemas.openxmlformats.org/officeDocument/2006/relationships/hyperlink" Target="https://eur-lex.europa.eu/legal-content/EN/TXT/?uri=OJ:C:2021:373:TOC" TargetMode="External"/><Relationship Id="rId25" Type="http://schemas.openxmlformats.org/officeDocument/2006/relationships/hyperlink" Target="https://webgate.ec.europa.eu/regiokm/display/XNETCPR2021/QA00274+-+Reallocation+of+the+flexibility+amount+confirmed+after+the+mid-term+review" TargetMode="External"/><Relationship Id="rId67" Type="http://schemas.openxmlformats.org/officeDocument/2006/relationships/hyperlink" Target="https://webgate.ec.europa.eu/regiokm/display/XNETCPR2021/QA00187+-+Eligibility+of+electric+cars+and+solar+panels" TargetMode="External"/><Relationship Id="rId272" Type="http://schemas.openxmlformats.org/officeDocument/2006/relationships/hyperlink" Target="https://webgate.ec.europa.eu/regiokm/display/XNETCPR2021/QA716_EMFAF_Transferring+or+reflagging+of+fishing+vessels" TargetMode="External"/><Relationship Id="rId328" Type="http://schemas.openxmlformats.org/officeDocument/2006/relationships/hyperlink" Target="https://webgate.ec.europa.eu/regiokm/display/XNETCPR2021/QA00299+-+Eligibility+of+machinery+powered+by+fossil+fuels+combustion+implementing+Natura+2000+management+plans" TargetMode="External"/><Relationship Id="rId535" Type="http://schemas.openxmlformats.org/officeDocument/2006/relationships/hyperlink" Target="https://eur-lex.europa.eu/eli/C/2024/3209/oj" TargetMode="External"/><Relationship Id="rId132" Type="http://schemas.openxmlformats.org/officeDocument/2006/relationships/hyperlink" Target="https://webgate.ec.europa.eu/regiokm/pages/viewpage.action?pageId=255099146" TargetMode="External"/><Relationship Id="rId174" Type="http://schemas.openxmlformats.org/officeDocument/2006/relationships/hyperlink" Target="https://webgate.ec.europa.eu/regiokm/display/XNETCPR2021/QA00077+-+Territorial+strategies+and+conflict+of+interest" TargetMode="External"/><Relationship Id="rId381" Type="http://schemas.openxmlformats.org/officeDocument/2006/relationships/hyperlink" Target="https://webgate.ec.europa.eu/regiokm/pages/viewpage.action?pageId=234914570" TargetMode="External"/><Relationship Id="rId241" Type="http://schemas.openxmlformats.org/officeDocument/2006/relationships/hyperlink" Target="https://webgate.ec.europa.eu/regiokm/display/XNETCPR2021/QA649_EMFAF_Interpretation+of+Article+13+and+14+of+the+EMFAF" TargetMode="External"/><Relationship Id="rId437" Type="http://schemas.openxmlformats.org/officeDocument/2006/relationships/hyperlink" Target="file:///U:/02%20INTERPRETATION/Post2020/02%20QA%20requests/2021/208%20QA%20REGIO%202021-27/FINAL_QA208_eligibility%20large%20enterprises%20under%20JTF.docx" TargetMode="External"/><Relationship Id="rId479" Type="http://schemas.openxmlformats.org/officeDocument/2006/relationships/hyperlink" Target="http://Reg.nr" TargetMode="External"/><Relationship Id="rId36" Type="http://schemas.openxmlformats.org/officeDocument/2006/relationships/hyperlink" Target="https://webgate.ec.europa.eu/regiokm/display/XNETCPR2021/QA00094+-+Need+for+EC+decision+for+some+types+of+programme+amendments" TargetMode="External"/><Relationship Id="rId283" Type="http://schemas.openxmlformats.org/officeDocument/2006/relationships/hyperlink" Target="https://webgate.ec.europa.eu/regiokm/display/XNETCPR2021/QA578_EMFAF_Co-financing+rate+SO+3.1+and+compensation+for+additional+costs+in+the+ORs" TargetMode="External"/><Relationship Id="rId339" Type="http://schemas.openxmlformats.org/officeDocument/2006/relationships/hyperlink" Target="https://webgate.ec.europa.eu/regiokm/display/XNETCPR2021/QA00155+-+Verifications+regarding+relocation+-+CPR+and+ETC+Regulation+2021-2027" TargetMode="External"/><Relationship Id="rId490" Type="http://schemas.openxmlformats.org/officeDocument/2006/relationships/hyperlink" Target="https://eur-lex.europa.eu/legal-content/EN/TXT/?uri=OJ:C:2021:373:TOC" TargetMode="External"/><Relationship Id="rId504" Type="http://schemas.openxmlformats.org/officeDocument/2006/relationships/image" Target="media/image31.svg"/><Relationship Id="rId546" Type="http://schemas.openxmlformats.org/officeDocument/2006/relationships/hyperlink" Target="https://ec.europa.eu/regional_policy/information-sources/publications/evaluations-guidance-documents/2021/performance-monitoring-and-evaluation-of-the-european-regional-development-fund-the-cohesion-fund-and-the-just-transition-fund-in-2021-2027_en" TargetMode="External"/><Relationship Id="rId78" Type="http://schemas.openxmlformats.org/officeDocument/2006/relationships/hyperlink" Target="https://webgate.ec.europa.eu/regiokm/display/XNETCPR2021/QA00078+-+Evaluations+by+the+Member+State" TargetMode="External"/><Relationship Id="rId101" Type="http://schemas.openxmlformats.org/officeDocument/2006/relationships/hyperlink" Target="https://webgate.ec.europa.eu/regiokm/pages/viewpage.action?pageId=255099200" TargetMode="External"/><Relationship Id="rId143" Type="http://schemas.openxmlformats.org/officeDocument/2006/relationships/hyperlink" Target="https://webgate.ec.europa.eu/regiokm/display/XNETCPR2021/QA00180+-+Durability+and+transfer+out+of+NUTS2+region" TargetMode="External"/><Relationship Id="rId185" Type="http://schemas.openxmlformats.org/officeDocument/2006/relationships/hyperlink" Target="https://webgate.ec.europa.eu/regiokm/display/XNETCPR2021/QA00309+-+Questions+related+to+SOVEREIGNTY+SEAL%2C+SYNERGIES%2C+CUMULATIVE+FUNDING" TargetMode="External"/><Relationship Id="rId350" Type="http://schemas.openxmlformats.org/officeDocument/2006/relationships/hyperlink" Target="https://webgate.ec.europa.eu/regiokm/pages/viewpage.action?pageId=158761434" TargetMode="External"/><Relationship Id="rId406" Type="http://schemas.openxmlformats.org/officeDocument/2006/relationships/hyperlink" Target="https://webgate.ec.europa.eu/regiokm/display/XNETCPR2021/QA00220+-+Eligibility+of+posted+workers+under+JTF" TargetMode="External"/><Relationship Id="rId9" Type="http://schemas.openxmlformats.org/officeDocument/2006/relationships/hyperlink" Target="https://webgate.ec.europa.eu/regiokm/pages/viewpage.action?pageId=255099242" TargetMode="External"/><Relationship Id="rId210" Type="http://schemas.openxmlformats.org/officeDocument/2006/relationships/hyperlink" Target="https://webgate.ec.europa.eu/regiokm/display/XNETCPR2021/QA00193+-+Visibility+requirements+for+phased+operations" TargetMode="External"/><Relationship Id="rId392" Type="http://schemas.openxmlformats.org/officeDocument/2006/relationships/hyperlink" Target="https://webgate.ec.europa.eu/regiokm/pages/viewpage.action?pageId=255099224" TargetMode="External"/><Relationship Id="rId448" Type="http://schemas.openxmlformats.org/officeDocument/2006/relationships/hyperlink" Target="file:///U:/02%20INTERPRETATION/Post2020/02%20QA%20requests/2021/197%20QA%20REGIO%202021-27/FINAL_197%20QA%20-%20Combination%20of%20streams%20of%20support%20ERDF%20and%20RRF.docx" TargetMode="External"/><Relationship Id="rId252" Type="http://schemas.openxmlformats.org/officeDocument/2006/relationships/hyperlink" Target="https://webgate.ec.europa.eu/regiokm/pages/viewpage.action?pageId=186223593" TargetMode="External"/><Relationship Id="rId294" Type="http://schemas.openxmlformats.org/officeDocument/2006/relationships/hyperlink" Target="https://webgate.ec.europa.eu/regiokm/display/XNETCPR2021/QA655_EMFAF_Aid+intensity+for+grant+support+to+stock+insurance+policy+for+aquaculturers" TargetMode="External"/><Relationship Id="rId308" Type="http://schemas.openxmlformats.org/officeDocument/2006/relationships/hyperlink" Target="https://webgate.ec.europa.eu/regiokm/display/XNETCPR2021/QA00023+-+Investments+in+research+units+of+large+enterprises" TargetMode="External"/><Relationship Id="rId515" Type="http://schemas.openxmlformats.org/officeDocument/2006/relationships/hyperlink" Target="https://www.ficompass.eu/sites/default/files/publications/ERDF_Knowledge_Hub_Report_Implementation_of_financial_instruments_across_consecutive_programming_periods.pdf" TargetMode="External"/><Relationship Id="rId47" Type="http://schemas.openxmlformats.org/officeDocument/2006/relationships/hyperlink" Target="https://webgate.ec.europa.eu/regiokm/display/XNETCPR2021/QA00051+-+Second-level+control+in+the+case+of+ERDF-funded+CLLD%2C+with+EAFRD+as+lead+fund" TargetMode="External"/><Relationship Id="rId89" Type="http://schemas.openxmlformats.org/officeDocument/2006/relationships/hyperlink" Target="https://webgate.ec.europa.eu/regiokm/display/XNETCPR2021/QA00243+-+Location+of+operations" TargetMode="External"/><Relationship Id="rId112" Type="http://schemas.openxmlformats.org/officeDocument/2006/relationships/hyperlink" Target="https://webgate.ec.europa.eu/regiokm/display/XNETCPR2021/QA00205+-+JTF+NGEU+deadline+and+consequences+on+FIs" TargetMode="External"/><Relationship Id="rId154" Type="http://schemas.openxmlformats.org/officeDocument/2006/relationships/hyperlink" Target="https://webgate.ec.europa.eu/regiokm/display/XNETCPR2021/QA00285+-+VAT+eligibility+in+projects+over+EUR+5+million+on+second+level+in+light+of+Article+64%281%29+CPR" TargetMode="External"/><Relationship Id="rId361" Type="http://schemas.openxmlformats.org/officeDocument/2006/relationships/hyperlink" Target="https://webgate.ec.europa.eu/regiokm/pages/viewpage.action?pageId=158761444" TargetMode="External"/><Relationship Id="rId196" Type="http://schemas.openxmlformats.org/officeDocument/2006/relationships/hyperlink" Target="https://webgate.ec.europa.eu/regiokm/pages/viewpage.action?pageId=255099277" TargetMode="External"/><Relationship Id="rId417" Type="http://schemas.openxmlformats.org/officeDocument/2006/relationships/image" Target="media/image2.png"/><Relationship Id="rId459" Type="http://schemas.openxmlformats.org/officeDocument/2006/relationships/hyperlink" Target="file:///C:/Users/zupantj/AppData/Local/Microsoft/Windows/INetCache/Content.Outlook/BB7ZRUJV/EMPL%202021-2027%20QA_18%20evaluations%20(002).docx" TargetMode="External"/><Relationship Id="rId16" Type="http://schemas.openxmlformats.org/officeDocument/2006/relationships/hyperlink" Target="https://webgate.ec.europa.eu/regiokm/display/XNETCPR2021/QA00098+-+Targets+concerning+climate+change" TargetMode="External"/><Relationship Id="rId221" Type="http://schemas.openxmlformats.org/officeDocument/2006/relationships/hyperlink" Target="https://webgate.ec.europa.eu/regiokm/display/XNETCPR2021/QA00305+-+Questions+related+to+eligibility+rules%2C+eligibility+start+date+and+intervention+codes" TargetMode="External"/><Relationship Id="rId263" Type="http://schemas.openxmlformats.org/officeDocument/2006/relationships/hyperlink" Target="https://webgate.ec.europa.eu/regiokm/display/XNETCPR2021/QA651_EMFAF_eligibility+of+support+for+the+placement+of+a+nitrogen+catalyst+on+fishing+vessels" TargetMode="External"/><Relationship Id="rId319" Type="http://schemas.openxmlformats.org/officeDocument/2006/relationships/hyperlink" Target="https://webgate.ec.europa.eu/regiokm/display/XNETCPR2021/QA00134+-+Questions+related+to+the+definition+of+the+clean+vehicle+under+policy+objective+4" TargetMode="External"/><Relationship Id="rId470" Type="http://schemas.openxmlformats.org/officeDocument/2006/relationships/hyperlink" Target="http://webgate.ec.europa.eu" TargetMode="External"/><Relationship Id="rId526" Type="http://schemas.openxmlformats.org/officeDocument/2006/relationships/hyperlink" Target="https://iliofos.gr/en/hybrid-modules/htm700" TargetMode="External"/><Relationship Id="rId58" Type="http://schemas.openxmlformats.org/officeDocument/2006/relationships/hyperlink" Target="https://webgate.ec.europa.eu/regiokm/display/XNETCPR2021/QA00161+-+CLLD+support" TargetMode="External"/><Relationship Id="rId123" Type="http://schemas.openxmlformats.org/officeDocument/2006/relationships/hyperlink" Target="https://webgate.ec.europa.eu/regiokm/pages/viewpage.action?pageId=255099363" TargetMode="External"/><Relationship Id="rId330" Type="http://schemas.openxmlformats.org/officeDocument/2006/relationships/hyperlink" Target="https://webgate.ec.europa.eu/regiokm/display/XNETCPR2021/QA00303+-+Scope+of+STEP+and+relation+with+eligibility+rules+under+the+funds" TargetMode="External"/><Relationship Id="rId165" Type="http://schemas.openxmlformats.org/officeDocument/2006/relationships/hyperlink" Target="https://webgate.ec.europa.eu/regiokm/pages/viewpage.action?pageId=255099141" TargetMode="External"/><Relationship Id="rId372" Type="http://schemas.openxmlformats.org/officeDocument/2006/relationships/hyperlink" Target="https://webgate.ec.europa.eu/regiokm/display/XNETCPR2021/QA00302+-+Questions+related+to+programming+of+STEP%2C+dedicated+priorities+and+programme+amendments%2C+indicators" TargetMode="External"/><Relationship Id="rId428" Type="http://schemas.openxmlformats.org/officeDocument/2006/relationships/hyperlink" Target="file:///U:/02%20INTERPRETATION/Post2020/02%20QA%20requests/2021/192%20QA%20REGIO%202021-27/FINAL_192%20QA%20-%20applicability%20of%20Article%2050%20new%20CPR%20in%20case%20of%20FI.docx" TargetMode="External"/><Relationship Id="rId232" Type="http://schemas.openxmlformats.org/officeDocument/2006/relationships/hyperlink" Target="https://webgate.ec.europa.eu/regiokm/display/XNETCPR2021/QA00328+-+STEP+-+State+aid+-+miscellaneous" TargetMode="External"/><Relationship Id="rId274" Type="http://schemas.openxmlformats.org/officeDocument/2006/relationships/hyperlink" Target="https://webgate.ec.europa.eu/regiokm/display/XNETCPR2021/QA610_EMFAF_Definition+of+SMEs+in+the+context+of+EMFAF+implementation" TargetMode="External"/><Relationship Id="rId481" Type="http://schemas.openxmlformats.org/officeDocument/2006/relationships/hyperlink" Target="https://ec.europa.eu/atwork/applying-eu-law/infringements-proceedings/infringement_decisions/?lang_code=en" TargetMode="External"/><Relationship Id="rId27" Type="http://schemas.openxmlformats.org/officeDocument/2006/relationships/hyperlink" Target="https://webgate.ec.europa.eu/regiokm/display/XNETCPR2021/QA00276+-+Amending+the+Partnership+Agreement+as+part+of+the+mid-term+review" TargetMode="External"/><Relationship Id="rId69" Type="http://schemas.openxmlformats.org/officeDocument/2006/relationships/hyperlink" Target="https://webgate.ec.europa.eu/regiokm/display/XNETCPR2021/QA00031+-+Data+field+59%2C+data+field+60+Annex+XVII" TargetMode="External"/><Relationship Id="rId134" Type="http://schemas.openxmlformats.org/officeDocument/2006/relationships/hyperlink" Target="https://webgate.ec.europa.eu/regiokm/display/XNETCPR2021/QA00050+-+Data+field+137%2C+Annex+XVII" TargetMode="External"/><Relationship Id="rId537" Type="http://schemas.openxmlformats.org/officeDocument/2006/relationships/hyperlink" Target="https://eur-lex.europa.eu/legal-content/EN/TXT/?uri=CELEX%3A32024R1252&amp;qid=1716890348972" TargetMode="External"/><Relationship Id="rId80" Type="http://schemas.openxmlformats.org/officeDocument/2006/relationships/hyperlink" Target="https://webgate.ec.europa.eu/regiokm/display/XNETCPR2021/QA00015+-+Publicity+requirements+according+to+Article+50%281%29%28c%29+in+the+context+of+financial+instruments" TargetMode="External"/><Relationship Id="rId176" Type="http://schemas.openxmlformats.org/officeDocument/2006/relationships/hyperlink" Target="https://webgate.ec.europa.eu/regiokm/pages/viewpage.action?pageId=255099268" TargetMode="External"/><Relationship Id="rId341" Type="http://schemas.openxmlformats.org/officeDocument/2006/relationships/hyperlink" Target="https://webgate.ec.europa.eu/regiokm/pages/viewpage.action?pageId=255099300" TargetMode="External"/><Relationship Id="rId383" Type="http://schemas.openxmlformats.org/officeDocument/2006/relationships/hyperlink" Target="https://webgate.ec.europa.eu/regiokm/pages/viewpage.action?pageId=234914567" TargetMode="External"/><Relationship Id="rId439" Type="http://schemas.openxmlformats.org/officeDocument/2006/relationships/hyperlink" Target="https://myintracomm-collab.ec.europa.eu/dg/REGIO/AdviceAndInterpre21_27/ClosedConsultRegul/MARE%202021-27%2008%20-%20Arts%202%20and%2073%20CPR%20-%20climate%20proofing.docx" TargetMode="External"/><Relationship Id="rId201" Type="http://schemas.openxmlformats.org/officeDocument/2006/relationships/hyperlink" Target="https://webgate.ec.europa.eu/regiokm/display/XNETCPR2021/QA00292+-+Declaration+of+advance+payments" TargetMode="External"/><Relationship Id="rId243" Type="http://schemas.openxmlformats.org/officeDocument/2006/relationships/hyperlink" Target="https://webgate.ec.europa.eu/regiokm/pages/viewpage.action?pageId=203924457" TargetMode="External"/><Relationship Id="rId285" Type="http://schemas.openxmlformats.org/officeDocument/2006/relationships/hyperlink" Target="https://webgate.ec.europa.eu/regiokm/pages/viewpage.action?pageId=190287314" TargetMode="External"/><Relationship Id="rId450" Type="http://schemas.openxmlformats.org/officeDocument/2006/relationships/hyperlink" Target="https://ec.europa.eu/info/sites/default/files/document_travail_service_part1_v2_en.pdf" TargetMode="External"/><Relationship Id="rId506" Type="http://schemas.openxmlformats.org/officeDocument/2006/relationships/hyperlink" Target="https://webgate.ec.europa.eu/regiokm/display/2127QA/QA00026+-+Cross-financing" TargetMode="External"/><Relationship Id="rId38" Type="http://schemas.openxmlformats.org/officeDocument/2006/relationships/hyperlink" Target="https://webgate.ec.europa.eu/regiokm/pages/viewpage.action?pageId=255099226" TargetMode="External"/><Relationship Id="rId103" Type="http://schemas.openxmlformats.org/officeDocument/2006/relationships/hyperlink" Target="https://webgate.ec.europa.eu/regiokm/display/XNETCPR2021/QA00108+-+Gross+Grant+Equivalent+calculation+for+FIs+with+capital+rebate" TargetMode="External"/><Relationship Id="rId310" Type="http://schemas.openxmlformats.org/officeDocument/2006/relationships/hyperlink" Target="https://webgate.ec.europa.eu/regiokm/pages/viewpage.action?pageId=255099183" TargetMode="External"/><Relationship Id="rId492" Type="http://schemas.openxmlformats.org/officeDocument/2006/relationships/hyperlink" Target="https://modernisationfund.eu/governance/239914-2/" TargetMode="External"/><Relationship Id="rId548" Type="http://schemas.openxmlformats.org/officeDocument/2006/relationships/hyperlink" Target="https://urldefense.com/v3/__https:/www.gsis.gr/sites/default/files/2020-03/13-3-2020*20*20**L20**C_**P20**V205_3_20*20**F20**O.pdf__;JSXOnM6XzqTOoc6pzp8lzqDOlM-Fz4DPjM-Hz4HOtc6_zrklzrrOsc-EzrHPh8-Oz4HOuc-DzrfPgiUlzpPOmc6RJc6Rzp3Okc6hzqTOl86jzpc!!DOxrgLBm!E3TXl5OvLnNJuIxYKucx6KUvEmunRYw2JTnZOZixZbGnfYLaJJOByTnocm8Gvrq5MG7MLtXzEOqPqqabq_Z2jIfPwwK57tk$" TargetMode="External"/><Relationship Id="rId91" Type="http://schemas.openxmlformats.org/officeDocument/2006/relationships/hyperlink" Target="https://webgate.ec.europa.eu/regiokm/pages/viewpage.action?pageId=255099361" TargetMode="External"/><Relationship Id="rId145" Type="http://schemas.openxmlformats.org/officeDocument/2006/relationships/hyperlink" Target="https://webgate.ec.europa.eu/regiokm/display/XNETCPR2021/QA00206+-+Cascade+funding+-+follow-up+to+the+QA00132" TargetMode="External"/><Relationship Id="rId187" Type="http://schemas.openxmlformats.org/officeDocument/2006/relationships/hyperlink" Target="https://webgate.ec.europa.eu/regiokm/display/XNETCPR2021/QA00048+-+Flexibility+amount+and+future+transfers+of+ERDF+allocations+between+programmes" TargetMode="External"/><Relationship Id="rId352" Type="http://schemas.openxmlformats.org/officeDocument/2006/relationships/hyperlink" Target="https://webgate.ec.europa.eu/regiokm/display/XNETCPR2021/QA00302+-+Questions+related+to+programming+of+STEP%2C+dedicated+priorities+and+programme+amendments%2C+indicators" TargetMode="External"/><Relationship Id="rId394" Type="http://schemas.openxmlformats.org/officeDocument/2006/relationships/hyperlink" Target="https://webgate.ec.europa.eu/regiokm/display/XNETCPR2021/QA00123+-+Eligibility+of+operations+under+the+JTF" TargetMode="External"/><Relationship Id="rId408" Type="http://schemas.openxmlformats.org/officeDocument/2006/relationships/hyperlink" Target="https://webgate.ec.europa.eu/regiokm/display/XNETCPR2021/QA00231+-+JTF+support+for+an+innovative+heat+battery" TargetMode="External"/><Relationship Id="rId212" Type="http://schemas.openxmlformats.org/officeDocument/2006/relationships/hyperlink" Target="https://webgate.ec.europa.eu/regiokm/display/XNETCPR2021/QA00204+-+Selection+of+phased+operations" TargetMode="External"/><Relationship Id="rId254" Type="http://schemas.openxmlformats.org/officeDocument/2006/relationships/hyperlink" Target="https://webgate.ec.europa.eu/regiokm/display/XNETCPR2021/QA606_EMFAF_Clarification+regarding+control+expenditure" TargetMode="External"/><Relationship Id="rId49" Type="http://schemas.openxmlformats.org/officeDocument/2006/relationships/hyperlink" Target="https://webgate.ec.europa.eu/regiokm/pages/viewpage.action?pageId=255099175" TargetMode="External"/><Relationship Id="rId114" Type="http://schemas.openxmlformats.org/officeDocument/2006/relationships/hyperlink" Target="https://webgate.ec.europa.eu/regiokm/display/XNETCPR2021/QA00216+-+Grants+under+conditions+and+durability+requirements" TargetMode="External"/><Relationship Id="rId296" Type="http://schemas.openxmlformats.org/officeDocument/2006/relationships/hyperlink" Target="https://webgate.ec.europa.eu/regiokm/pages/viewpage.action?pageId=203924467" TargetMode="External"/><Relationship Id="rId461" Type="http://schemas.openxmlformats.org/officeDocument/2006/relationships/hyperlink" Target="file:///U:/02%20INTERPRETATION/Post2020/Other%20DGs%20Questions/50%20QA_EMPL_2021-27/FINAL_EMPL%202021-2027%20QA_20%20DNSH%20in%20ESF+%20programmes%20MR.docx" TargetMode="External"/><Relationship Id="rId517" Type="http://schemas.openxmlformats.org/officeDocument/2006/relationships/hyperlink" Target="http://webgate.ec.europa.eu" TargetMode="External"/><Relationship Id="rId60" Type="http://schemas.openxmlformats.org/officeDocument/2006/relationships/hyperlink" Target="https://webgate.ec.europa.eu/regiokm/pages/viewpage.action?pageId=255099341" TargetMode="External"/><Relationship Id="rId156" Type="http://schemas.openxmlformats.org/officeDocument/2006/relationships/hyperlink" Target="https://webgate.ec.europa.eu/regiokm/display/XNETCPR2021/QA00288+-+Durability+of+equipment" TargetMode="External"/><Relationship Id="rId198" Type="http://schemas.openxmlformats.org/officeDocument/2006/relationships/hyperlink" Target="https://webgate.ec.europa.eu/regiokm/pages/viewpage.action?pageId=255099299" TargetMode="External"/><Relationship Id="rId321" Type="http://schemas.openxmlformats.org/officeDocument/2006/relationships/hyperlink" Target="https://webgate.ec.europa.eu/regiokm/display/XNETCPR2021/QA00149+-+Support+of+LNG+alternative+fuel+infrastructure%2C+eligibility+of+biomethane+for+alternative+fuel+infrastructure" TargetMode="External"/><Relationship Id="rId363" Type="http://schemas.openxmlformats.org/officeDocument/2006/relationships/hyperlink" Target="https://webgate.ec.europa.eu/regiokm/pages/viewpage.action?pageId=158761448" TargetMode="External"/><Relationship Id="rId419" Type="http://schemas.openxmlformats.org/officeDocument/2006/relationships/hyperlink" Target="http://ec.europa.eu/budget/contracts_grants/info_contracts/inforeuro/index_en.cfm" TargetMode="External"/><Relationship Id="rId223" Type="http://schemas.openxmlformats.org/officeDocument/2006/relationships/hyperlink" Target="https://webgate.ec.europa.eu/regiokm/display/XNETCPR2021/QA00307+-+Questions+related+to+partnership+agreement+amendment" TargetMode="External"/><Relationship Id="rId430" Type="http://schemas.openxmlformats.org/officeDocument/2006/relationships/hyperlink" Target="file:///U:/02%20INTERPRETATION/Post2020/02%20QA%20requests/2021/192%20QA%20REGIO%202021-27/FINAL_192%20QA%20-%20applicability%20of%20Article%2050%20new%20CPR%20in%20case%20of%20FI.docx" TargetMode="External"/><Relationship Id="rId18" Type="http://schemas.openxmlformats.org/officeDocument/2006/relationships/hyperlink" Target="https://webgate.ec.europa.eu/regiokm/pages/viewpage.action?pageId=290588707" TargetMode="External"/><Relationship Id="rId265" Type="http://schemas.openxmlformats.org/officeDocument/2006/relationships/hyperlink" Target="https://webgate.ec.europa.eu/regiokm/display/XNETCPR2021/QA691_EMFAF_Energy+efficiency" TargetMode="External"/><Relationship Id="rId472" Type="http://schemas.openxmlformats.org/officeDocument/2006/relationships/hyperlink" Target="https://webgate.ec.europa.eu/regiokm/display/2127QA/QA00026+-+Cross-financing" TargetMode="External"/><Relationship Id="rId528" Type="http://schemas.openxmlformats.org/officeDocument/2006/relationships/hyperlink" Target="https://www.youtube.com/watch?v=Ir-8uKPJtn4" TargetMode="External"/><Relationship Id="rId125" Type="http://schemas.openxmlformats.org/officeDocument/2006/relationships/hyperlink" Target="https://webgate.ec.europa.eu/regiokm/display/XNETCPR2021/QA00284+-+Re-distribution+of+support+using+a+SCO+method" TargetMode="External"/><Relationship Id="rId167" Type="http://schemas.openxmlformats.org/officeDocument/2006/relationships/hyperlink" Target="https://webgate.ec.europa.eu/regiokm/pages/viewpage.action?pageId=255099150" TargetMode="External"/><Relationship Id="rId332" Type="http://schemas.openxmlformats.org/officeDocument/2006/relationships/hyperlink" Target="https://webgate.ec.europa.eu/regiokm/display/XNETCPR2021/QA00305+-+Questions+related+to+eligibility+rules%2C+eligibility+start+date+and+intervention+codes" TargetMode="External"/><Relationship Id="rId374" Type="http://schemas.openxmlformats.org/officeDocument/2006/relationships/hyperlink" Target="https://webgate.ec.europa.eu/regiokm/pages/viewpage.action?pageId=158761469" TargetMode="External"/><Relationship Id="rId71" Type="http://schemas.openxmlformats.org/officeDocument/2006/relationships/hyperlink" Target="https://webgate.ec.europa.eu/regiokm/display/XNETCPR2021/QA00159+-+The+future+structure+of+the+EMFF+Monitoring+Committee+during+the+funding+period+of+the+EMFAF" TargetMode="External"/><Relationship Id="rId234" Type="http://schemas.openxmlformats.org/officeDocument/2006/relationships/hyperlink" Target="https://webgate.ec.europa.eu/regiokm/display/XNETCPR2021/QA573_EMFAF_Alternative+fishing+methods" TargetMode="External"/><Relationship Id="rId2" Type="http://schemas.openxmlformats.org/officeDocument/2006/relationships/numbering" Target="numbering.xml"/><Relationship Id="rId29" Type="http://schemas.openxmlformats.org/officeDocument/2006/relationships/hyperlink" Target="https://webgate.ec.europa.eu/regiokm/display/XNETCPR2021/QA00278+-+Requirements+for+programme+data+assessed+during+the+mid-term+review" TargetMode="External"/><Relationship Id="rId276" Type="http://schemas.openxmlformats.org/officeDocument/2006/relationships/hyperlink" Target="https://webgate.ec.europa.eu/regiokm/pages/viewpage.action?pageId=210305540" TargetMode="External"/><Relationship Id="rId441" Type="http://schemas.openxmlformats.org/officeDocument/2006/relationships/hyperlink" Target="https://myintracomm-collab.ec.europa.eu/dg/REGIO/AdviceAndInterpre21_27/ClosedConsultRegul/MARE%202021-27%2008%20-%20Arts%202%20and%2073%20CPR%20-%20climate%20proofing.docx" TargetMode="External"/><Relationship Id="rId483" Type="http://schemas.openxmlformats.org/officeDocument/2006/relationships/hyperlink" Target="https://en.wikipedia.org/wiki/Reichsb%C3%BCrger_movement" TargetMode="External"/><Relationship Id="rId539" Type="http://schemas.openxmlformats.org/officeDocument/2006/relationships/hyperlink" Target="https://eur-lex.europa.eu/legal-content/EN/TXT/PDF/?uri=CELEX:32020H1104(01)" TargetMode="External"/><Relationship Id="rId40" Type="http://schemas.openxmlformats.org/officeDocument/2006/relationships/hyperlink" Target="https://webgate.ec.europa.eu/regiokm/pages/viewpage.action?pageId=255099349" TargetMode="External"/><Relationship Id="rId136" Type="http://schemas.openxmlformats.org/officeDocument/2006/relationships/hyperlink" Target="https://webgate.ec.europa.eu/regiokm/pages/viewpage.action?pageId=255099221" TargetMode="External"/><Relationship Id="rId178" Type="http://schemas.openxmlformats.org/officeDocument/2006/relationships/hyperlink" Target="https://webgate.ec.europa.eu/regiokm/pages/viewpage.action?pageId=255099287" TargetMode="External"/><Relationship Id="rId301" Type="http://schemas.openxmlformats.org/officeDocument/2006/relationships/hyperlink" Target="https://webgate.ec.europa.eu/regiokm/pages/viewpage.action?pageId=272072731" TargetMode="External"/><Relationship Id="rId343" Type="http://schemas.openxmlformats.org/officeDocument/2006/relationships/hyperlink" Target="https://webgate.ec.europa.eu/regiokm/pages/viewpage.action?pageId=255099360" TargetMode="External"/><Relationship Id="rId550" Type="http://schemas.openxmlformats.org/officeDocument/2006/relationships/hyperlink" Target="https://www.eca.europa.eu/ECAPublications/RV-2024-03/RV-2024-03_EN.pdf" TargetMode="External"/><Relationship Id="rId82" Type="http://schemas.openxmlformats.org/officeDocument/2006/relationships/hyperlink" Target="https://webgate.ec.europa.eu/regiokm/pages/viewpage.action?pageId=255099229" TargetMode="External"/><Relationship Id="rId203" Type="http://schemas.openxmlformats.org/officeDocument/2006/relationships/hyperlink" Target="https://webgate.ec.europa.eu/regiokm/display/XNETCPR2021/QA00013+-+Data+fields+103%2C+104+and+130%2C+Annex+XVII" TargetMode="External"/><Relationship Id="rId385" Type="http://schemas.openxmlformats.org/officeDocument/2006/relationships/hyperlink" Target="https://webgate.ec.europa.eu/regiokm/display/XNETCPR2021/QA00007+-+JTF+-+Use+of+pillars+2+and+3+without+using+pillar+1" TargetMode="External"/><Relationship Id="rId245" Type="http://schemas.openxmlformats.org/officeDocument/2006/relationships/hyperlink" Target="https://webgate.ec.europa.eu/regiokm/pages/viewpage.action?pageId=203924481" TargetMode="External"/><Relationship Id="rId287" Type="http://schemas.openxmlformats.org/officeDocument/2006/relationships/hyperlink" Target="https://webgate.ec.europa.eu/regiokm/display/XNETCPR2021/QA617_EMFAF_Collective+beneficiary_Annex+III%2C+EMFAF+Regulation" TargetMode="External"/><Relationship Id="rId410" Type="http://schemas.openxmlformats.org/officeDocument/2006/relationships/hyperlink" Target="https://webgate.ec.europa.eu/regiokm/pages/viewpage.action?pageId=255099352" TargetMode="External"/><Relationship Id="rId452" Type="http://schemas.openxmlformats.org/officeDocument/2006/relationships/hyperlink" Target="file:///U:/02%20INTERPRETATION/Post2020/02%20QA%20requests/2021/197%20QA%20REGIO%202021-27/FINAL_197%20QA%20-%20Combination%20of%20streams%20of%20support%20ERDF%20and%20RRF.docx" TargetMode="External"/><Relationship Id="rId494" Type="http://schemas.openxmlformats.org/officeDocument/2006/relationships/hyperlink" Target="https://modernisationfund.eu/governance/european-investment-bank/" TargetMode="External"/><Relationship Id="rId508" Type="http://schemas.openxmlformats.org/officeDocument/2006/relationships/hyperlink" Target="https://eur-lex.europa.eu/legal-content/EN/TXT/PDF/?uri=CELEX:32013R1303" TargetMode="External"/><Relationship Id="rId105" Type="http://schemas.openxmlformats.org/officeDocument/2006/relationships/hyperlink" Target="https://webgate.ec.europa.eu/regiokm/display/XNETCPR2021/QA00158+-+Use+of+Financial+Instruments+under+the+EMFAF" TargetMode="External"/><Relationship Id="rId147" Type="http://schemas.openxmlformats.org/officeDocument/2006/relationships/hyperlink" Target="https://webgate.ec.europa.eu/regiokm/pages/viewpage.action?pageId=255099328" TargetMode="External"/><Relationship Id="rId312" Type="http://schemas.openxmlformats.org/officeDocument/2006/relationships/hyperlink" Target="https://webgate.ec.europa.eu/regiokm/display/XNETCPR2021/QA00079+-+Annex+D+with+the+specific+focus+on+Policy+Objectives+%28PO%29+No+1%2C+PO+2+and+PO+5" TargetMode="External"/><Relationship Id="rId354" Type="http://schemas.openxmlformats.org/officeDocument/2006/relationships/hyperlink" Target="https://webgate.ec.europa.eu/regiokm/display/XNETCPR2021/QA00305+-+Questions+related+to+eligibility+rules%2C+eligibility+start+date+and+intervention+codes" TargetMode="External"/><Relationship Id="rId51" Type="http://schemas.openxmlformats.org/officeDocument/2006/relationships/hyperlink" Target="https://webgate.ec.europa.eu/regiokm/display/XNETCPR2021/QA00087+-+INTERREG+and+territorial+development" TargetMode="External"/><Relationship Id="rId93" Type="http://schemas.openxmlformats.org/officeDocument/2006/relationships/hyperlink" Target="https://webgate.ec.europa.eu/regiokm/display/XNETCPR2021/QA00280+-+Beneficiary+visibility+responsibilities+in+case+of+TA+operations+of+strategic+importance" TargetMode="External"/><Relationship Id="rId189" Type="http://schemas.openxmlformats.org/officeDocument/2006/relationships/hyperlink" Target="https://webgate.ec.europa.eu/regiokm/display/XNETCPR2021/QA00083+-+Appendix+1+to+Annex+XXIII+and+Appendix+3+to+Annex+XXIV" TargetMode="External"/><Relationship Id="rId396" Type="http://schemas.openxmlformats.org/officeDocument/2006/relationships/hyperlink" Target="https://webgate.ec.europa.eu/regiokm/display/XNETCPR2021/QA00128+-+JTF+question+on+waste+recovery+and+lithium" TargetMode="External"/><Relationship Id="rId214" Type="http://schemas.openxmlformats.org/officeDocument/2006/relationships/hyperlink" Target="https://webgate.ec.europa.eu/regiokm/pages/viewpage.action?pageId=255099333" TargetMode="External"/><Relationship Id="rId256" Type="http://schemas.openxmlformats.org/officeDocument/2006/relationships/hyperlink" Target="https://webgate.ec.europa.eu/regiokm/display/XNETCPR2021/QA614_EMFAF_Permanent+cessation+with+retrofitting+under+Baltic+MAP+and+EMFAF" TargetMode="External"/><Relationship Id="rId298" Type="http://schemas.openxmlformats.org/officeDocument/2006/relationships/hyperlink" Target="https://webgate.ec.europa.eu/regiokm/pages/viewpage.action?pageId=229147376" TargetMode="External"/><Relationship Id="rId421" Type="http://schemas.openxmlformats.org/officeDocument/2006/relationships/hyperlink" Target="file:///U:/02%20INTERPRETATION/Post2020/Selection%20of%20QAs%20for%20semi-public%20platform/QAs%20for%20publication%201%20September/CLEAN_revised_FINAL_QA%20170_eligibility%20of%20VAT.docx" TargetMode="External"/><Relationship Id="rId463" Type="http://schemas.openxmlformats.org/officeDocument/2006/relationships/hyperlink" Target="file:///U:/02%20INTERPRETATION/Post2020/Other%20DGs%20Questions/50%20QA_EMPL_2021-27/FINAL_EMPL%202021-2027%20QA_20%20DNSH%20in%20ESF+%20programmes%20MR.docx" TargetMode="External"/><Relationship Id="rId519" Type="http://schemas.openxmlformats.org/officeDocument/2006/relationships/hyperlink" Target="http://webgate.ec.europa.eu" TargetMode="External"/><Relationship Id="rId116" Type="http://schemas.openxmlformats.org/officeDocument/2006/relationships/hyperlink" Target="https://webgate.ec.europa.eu/regiokm/display/XNETCPR2021/QA00230+-+Monitoring+of+cross-financing+when+using+the+flat+rate+for+indirect+costs" TargetMode="External"/><Relationship Id="rId158" Type="http://schemas.openxmlformats.org/officeDocument/2006/relationships/hyperlink" Target="https://webgate.ec.europa.eu/regiokm/display/XNETCPR2021/QA00305+-+Questions+related+to+eligibility+rules%2C+eligibility+start+date+and+intervention+codes" TargetMode="External"/><Relationship Id="rId323" Type="http://schemas.openxmlformats.org/officeDocument/2006/relationships/hyperlink" Target="https://webgate.ec.europa.eu/regiokm/display/XNETCPR2021/QA00223+-+Eligibility+of+TA+to+management+structures+for+Natura+2000" TargetMode="External"/><Relationship Id="rId530" Type="http://schemas.openxmlformats.org/officeDocument/2006/relationships/hyperlink" Target="http://i.e.as" TargetMode="External"/><Relationship Id="rId20" Type="http://schemas.openxmlformats.org/officeDocument/2006/relationships/hyperlink" Target="https://webgate.ec.europa.eu/regiokm/pages/viewpage.action?pageId=255099228" TargetMode="External"/><Relationship Id="rId62" Type="http://schemas.openxmlformats.org/officeDocument/2006/relationships/hyperlink" Target="https://webgate.ec.europa.eu/regiokm/display/XNETCPR2021/QA00005+-+The+use+of+EU+funds+for+the+financing+of+public+administration+buildings" TargetMode="External"/><Relationship Id="rId365" Type="http://schemas.openxmlformats.org/officeDocument/2006/relationships/hyperlink" Target="https://webgate.ec.europa.eu/regiokm/pages/viewpage.action?pageId=158761452" TargetMode="External"/><Relationship Id="rId225" Type="http://schemas.openxmlformats.org/officeDocument/2006/relationships/hyperlink" Target="https://webgate.ec.europa.eu/regiokm/display/XNETCPR2021/QA00309+-+Questions+related+to+SOVEREIGNTY+SEAL%2C+SYNERGIES%2C+CUMULATIVE+FUNDING" TargetMode="External"/><Relationship Id="rId267" Type="http://schemas.openxmlformats.org/officeDocument/2006/relationships/hyperlink" Target="https://webgate.ec.europa.eu/regiokm/display/XNETCPR2021/QA702_EMFAF_permanent+cessation-change+of+beneficiary" TargetMode="External"/><Relationship Id="rId432" Type="http://schemas.openxmlformats.org/officeDocument/2006/relationships/hyperlink" Target="file:///U:/02%20INTERPRETATION/Post2020/02%20QA%20requests/2021/208%20QA%20REGIO%202021-27/FINAL_QA208_eligibility%20large%20enterprises%20under%20JTF.docx" TargetMode="External"/><Relationship Id="rId474" Type="http://schemas.openxmlformats.org/officeDocument/2006/relationships/hyperlink" Target="https://webgate.ec.europa.eu/regiokm/pages/viewpage.action?pageId=143759819" TargetMode="External"/><Relationship Id="rId127" Type="http://schemas.openxmlformats.org/officeDocument/2006/relationships/hyperlink" Target="https://webgate.ec.europa.eu/regiokm/display/XNETCPR2021/QA00298+-+Using+SCOs+in+the+light+of+Article+56%281%29+CPR" TargetMode="External"/><Relationship Id="rId31" Type="http://schemas.openxmlformats.org/officeDocument/2006/relationships/hyperlink" Target="https://webgate.ec.europa.eu/regiokm/display/XNETCPR2021/QA00306+-+Questions+related+to+the+mid-term+review" TargetMode="External"/><Relationship Id="rId73" Type="http://schemas.openxmlformats.org/officeDocument/2006/relationships/hyperlink" Target="https://webgate.ec.europa.eu/regiokm/display/XNETCPR2021/QA00178+-+Publishing+the+names+of+members+of+Monitoring+Committees" TargetMode="External"/><Relationship Id="rId169" Type="http://schemas.openxmlformats.org/officeDocument/2006/relationships/hyperlink" Target="https://webgate.ec.europa.eu/regiokm/pages/viewpage.action?pageId=255099163" TargetMode="External"/><Relationship Id="rId334" Type="http://schemas.openxmlformats.org/officeDocument/2006/relationships/hyperlink" Target="https://webgate.ec.europa.eu/regiokm/pages/viewpage.action?pageId=279871657" TargetMode="External"/><Relationship Id="rId376" Type="http://schemas.openxmlformats.org/officeDocument/2006/relationships/hyperlink" Target="https://webgate.ec.europa.eu/regiokm/pages/viewpage.action?pageId=158761474" TargetMode="External"/><Relationship Id="rId541" Type="http://schemas.openxmlformats.org/officeDocument/2006/relationships/hyperlink" Target="https://www.ilo.org/resource/news/job-quality-concern-all-workers-0" TargetMode="External"/><Relationship Id="rId4" Type="http://schemas.openxmlformats.org/officeDocument/2006/relationships/settings" Target="settings.xml"/><Relationship Id="rId180" Type="http://schemas.openxmlformats.org/officeDocument/2006/relationships/hyperlink" Target="https://webgate.ec.europa.eu/regiokm/display/XNETCPR2021/QA00196+-+Informing+the+Commission+about+selecting+an+operation+of+strategic+importance" TargetMode="External"/><Relationship Id="rId236" Type="http://schemas.openxmlformats.org/officeDocument/2006/relationships/hyperlink" Target="https://webgate.ec.europa.eu/regiokm/display/XNETCPR2021/QA593_EMFAF_Eligibility+of+support+to+trainings" TargetMode="External"/><Relationship Id="rId278" Type="http://schemas.openxmlformats.org/officeDocument/2006/relationships/hyperlink" Target="https://webgate.ec.europa.eu/regiokm/display/XNETCPR2021/QA717_EMFAF_Inclusion+of+retail+sale+of+fish%2C+including+basic+fish+processing+under+article+26" TargetMode="External"/><Relationship Id="rId401" Type="http://schemas.openxmlformats.org/officeDocument/2006/relationships/hyperlink" Target="https://webgate.ec.europa.eu/regiokm/pages/viewpage.action?pageId=255099254" TargetMode="External"/><Relationship Id="rId443" Type="http://schemas.openxmlformats.org/officeDocument/2006/relationships/hyperlink" Target="https://myintracomm-collab.ec.europa.eu/dg/REGIO/AdviceAndInterpre21_27/ClosedConsultRegul/MARE%202021-27%2008%20-%20Arts%202%20and%2073%20CPR%20-%20climate%20proofing.docx" TargetMode="External"/><Relationship Id="rId303" Type="http://schemas.openxmlformats.org/officeDocument/2006/relationships/hyperlink" Target="https://webgate.ec.europa.eu/regiokm/display/XNETCPR2021/QA723_EMFAF_Public+intensity+for+operations+related+to+small-scale+coastal+fishing" TargetMode="External"/><Relationship Id="rId485" Type="http://schemas.openxmlformats.org/officeDocument/2006/relationships/hyperlink" Target="https://ec.europa.eu/regional_policy/sources/policy/communication/communicating_operations_2021-2027_en.pdf" TargetMode="External"/><Relationship Id="rId42" Type="http://schemas.openxmlformats.org/officeDocument/2006/relationships/hyperlink" Target="https://webgate.ec.europa.eu/regiokm/pages/viewpage.action?pageId=255099358" TargetMode="External"/><Relationship Id="rId84" Type="http://schemas.openxmlformats.org/officeDocument/2006/relationships/hyperlink" Target="https://webgate.ec.europa.eu/regiokm/display/XNETCPR2021/QA00160+-+Responsibilities+of+beneficiaries" TargetMode="External"/><Relationship Id="rId138" Type="http://schemas.openxmlformats.org/officeDocument/2006/relationships/hyperlink" Target="https://webgate.ec.europa.eu/regiokm/display/XNETCPR2021/QA00155+-+Verifications+regarding+relocation+-+CPR+and+ETC+Regulation+2021-2027" TargetMode="External"/><Relationship Id="rId345" Type="http://schemas.openxmlformats.org/officeDocument/2006/relationships/hyperlink" Target="https://webgate.ec.europa.eu/regiokm/display/XNETCPR2021/QA00286+-+Applicability+of+Article+22+%281%29+second+paragraph+ETC+in+the+case+of+participation+in+conferences+outside+the+programme+area" TargetMode="External"/><Relationship Id="rId387" Type="http://schemas.openxmlformats.org/officeDocument/2006/relationships/hyperlink" Target="https://webgate.ec.europa.eu/regiokm/display/XNETCPR2021/QA00039+-+JTF" TargetMode="External"/><Relationship Id="rId510" Type="http://schemas.openxmlformats.org/officeDocument/2006/relationships/hyperlink" Target="https://eur-lex.europa.eu/legal-content/EN/ALL/?uri=CELEX:32003D0033" TargetMode="External"/><Relationship Id="rId552" Type="http://schemas.openxmlformats.org/officeDocument/2006/relationships/fontTable" Target="fontTable.xml"/><Relationship Id="rId191" Type="http://schemas.openxmlformats.org/officeDocument/2006/relationships/hyperlink" Target="https://webgate.ec.europa.eu/regiokm/display/XNETCPR2021/QA00089+-+Use+of+the+EURO" TargetMode="External"/><Relationship Id="rId205" Type="http://schemas.openxmlformats.org/officeDocument/2006/relationships/hyperlink" Target="https://webgate.ec.europa.eu/regiokm/pages/viewpage.action?pageId=255099275" TargetMode="External"/><Relationship Id="rId247" Type="http://schemas.openxmlformats.org/officeDocument/2006/relationships/hyperlink" Target="https://webgate.ec.europa.eu/regiokm/pages/viewpage.action?pageId=229147111" TargetMode="External"/><Relationship Id="rId412" Type="http://schemas.openxmlformats.org/officeDocument/2006/relationships/hyperlink" Target="https://webgate.ec.europa.eu/regiokm/display/XNETCPR2021/QA00263+-+Eligibility+of+recycled+carbon+fuel+under+JTF+and+climate+proofing+of+infrastructure" TargetMode="External"/><Relationship Id="rId107" Type="http://schemas.openxmlformats.org/officeDocument/2006/relationships/hyperlink" Target="https://webgate.ec.europa.eu/regiokm/display/XNETCPR2021/QA00164+-+Combination+of+financial+instrument+and+interest+rate+subsidy+and+calculation+of+management+costs+and+fees" TargetMode="External"/><Relationship Id="rId289" Type="http://schemas.openxmlformats.org/officeDocument/2006/relationships/hyperlink" Target="https://webgate.ec.europa.eu/regiokm/pages/viewpage.action?pageId=186223575" TargetMode="External"/><Relationship Id="rId454" Type="http://schemas.openxmlformats.org/officeDocument/2006/relationships/hyperlink" Target="https://www.teplator.cz/" TargetMode="External"/><Relationship Id="rId496" Type="http://schemas.openxmlformats.org/officeDocument/2006/relationships/hyperlink" Target="http://webgate.ec.europa.eu" TargetMode="External"/><Relationship Id="rId11" Type="http://schemas.openxmlformats.org/officeDocument/2006/relationships/hyperlink" Target="https://webgate.ec.europa.eu/regiokm/pages/viewpage.action?pageId=255099300" TargetMode="External"/><Relationship Id="rId53" Type="http://schemas.openxmlformats.org/officeDocument/2006/relationships/hyperlink" Target="https://webgate.ec.europa.eu/regiokm/display/XNETCPR2021/QA00110+-+Programming+of+CLLD" TargetMode="External"/><Relationship Id="rId149" Type="http://schemas.openxmlformats.org/officeDocument/2006/relationships/hyperlink" Target="https://webgate.ec.europa.eu/regiokm/pages/viewpage.action?pageId=255099350" TargetMode="External"/><Relationship Id="rId314" Type="http://schemas.openxmlformats.org/officeDocument/2006/relationships/hyperlink" Target="https://webgate.ec.europa.eu/regiokm/display/XNETCPR2021/QA00091+-+Eligibility+of+airport+infrastructure+in+Outermost+Regions" TargetMode="External"/><Relationship Id="rId356" Type="http://schemas.openxmlformats.org/officeDocument/2006/relationships/hyperlink" Target="https://webgate.ec.europa.eu/regiokm/pages/viewpage.action?pageId=158761440" TargetMode="External"/><Relationship Id="rId398" Type="http://schemas.openxmlformats.org/officeDocument/2006/relationships/hyperlink" Target="https://webgate.ec.europa.eu/regiokm/display/XNETCPR2021/QA00137+-+Conditions+for+granting+regional+aid+to+large+enterprises" TargetMode="External"/><Relationship Id="rId521" Type="http://schemas.openxmlformats.org/officeDocument/2006/relationships/hyperlink" Target="https://webgate.ec.europa.eu/regiokm/display/2127QA/QA00242+-+Use+of+a+flat+rate+from+the+General+Block+Exemption+Regulation" TargetMode="External"/><Relationship Id="rId95" Type="http://schemas.openxmlformats.org/officeDocument/2006/relationships/hyperlink" Target="https://webgate.ec.europa.eu/regiokm/display/XNETCPR2021/QA00037+-+Flat-rate+financing+for+indirect+costs+concerning+grants" TargetMode="External"/><Relationship Id="rId160" Type="http://schemas.openxmlformats.org/officeDocument/2006/relationships/hyperlink" Target="https://webgate.ec.europa.eu/regiokm/pages/viewpage.action?pageId=287638435" TargetMode="External"/><Relationship Id="rId216" Type="http://schemas.openxmlformats.org/officeDocument/2006/relationships/hyperlink" Target="https://webgate.ec.europa.eu/regiokm/display/XNETCPR2021/QA00316+-+Territorial+Delivery+Mechanism+codes+for+projects+phased+under+Article+118a+CPR+2021-2027" TargetMode="External"/><Relationship Id="rId423" Type="http://schemas.openxmlformats.org/officeDocument/2006/relationships/hyperlink" Target="file:///U:/02%20INTERPRETATION/Post2020/02%20QA%20requests/2021/192%20QA%20REGIO%202021-27/FINAL_192%20QA%20-%20applicability%20of%20Article%2050%20new%20CPR%20in%20case%20of%20FI.docx" TargetMode="External"/><Relationship Id="rId258" Type="http://schemas.openxmlformats.org/officeDocument/2006/relationships/hyperlink" Target="https://webgate.ec.europa.eu/regiokm/display/XNETCPR2021/QA619_EMFAF_Temporary+Cessation+under+EMFAF" TargetMode="External"/><Relationship Id="rId465" Type="http://schemas.openxmlformats.org/officeDocument/2006/relationships/hyperlink" Target="http://eur-lex.europa.eu/legal-content/EN/TXT/?uri=uriserv:OJ.L_.2015.313.01.0022.01.ENG&amp;toc=OJ:L:2015:313:TOC" TargetMode="External"/><Relationship Id="rId22" Type="http://schemas.openxmlformats.org/officeDocument/2006/relationships/hyperlink" Target="https://webgate.ec.europa.eu/regiokm/display/XNETCPR2021/QA00208+-+Informing+the+Commission+on+the+fulfilment+of+enabling+conditions+throughout+the+programming+period" TargetMode="External"/><Relationship Id="rId64" Type="http://schemas.openxmlformats.org/officeDocument/2006/relationships/hyperlink" Target="https://webgate.ec.europa.eu/regiokm/display/XNETCPR2021/QA00103+-+Technical+assistance+vs.+capacity+building+actions" TargetMode="External"/><Relationship Id="rId118" Type="http://schemas.openxmlformats.org/officeDocument/2006/relationships/hyperlink" Target="https://webgate.ec.europa.eu/regiokm/display/XNETCPR2021/QA00242+-+Use+of+a+flat+rate+from+the+General+Block+Exemption+Regulation" TargetMode="External"/><Relationship Id="rId325" Type="http://schemas.openxmlformats.org/officeDocument/2006/relationships/hyperlink" Target="https://webgate.ec.europa.eu/regiokm/display/XNETCPR2021/QA00249+-+Eligibility+of+costs+for+transport+and+disposal+of+asbestos-containing+waste+under+programmes+for+2021-2027" TargetMode="External"/><Relationship Id="rId367" Type="http://schemas.openxmlformats.org/officeDocument/2006/relationships/hyperlink" Target="https://webgate.ec.europa.eu/regiokm/pages/viewpage.action?pageId=158761456" TargetMode="External"/><Relationship Id="rId532" Type="http://schemas.openxmlformats.org/officeDocument/2006/relationships/hyperlink" Target="https://webgate.ec.europa.eu/regiokm/display/2127QA/QA632_EMFAF_Maximum+aid+intensity+for+CLLD+operations" TargetMode="External"/><Relationship Id="rId171" Type="http://schemas.openxmlformats.org/officeDocument/2006/relationships/hyperlink" Target="https://webgate.ec.europa.eu/regiokm/display/XNETCPR2021/QA00054+-+Questions+on+the+Accounting+function+and+payment+application" TargetMode="External"/><Relationship Id="rId227" Type="http://schemas.openxmlformats.org/officeDocument/2006/relationships/hyperlink" Target="https://webgate.ec.europa.eu/regiokm/display/XNETCPR2021/QA00323+-+Eligible+investments+under+STEP+and+state+aid+implications" TargetMode="External"/><Relationship Id="rId269" Type="http://schemas.openxmlformats.org/officeDocument/2006/relationships/hyperlink" Target="https://webgate.ec.europa.eu/regiokm/display/XNETCPR2021/QA712_EMFAF_First+acquisition+of+a+fishing+vessel" TargetMode="External"/><Relationship Id="rId434" Type="http://schemas.openxmlformats.org/officeDocument/2006/relationships/hyperlink" Target="file:///U:/02%20INTERPRETATION/Post2020/02%20QA%20requests/2021/208%20QA%20REGIO%202021-27/FINAL_QA208_eligibility%20large%20enterprises%20under%20JTF.docx" TargetMode="External"/><Relationship Id="rId476" Type="http://schemas.openxmlformats.org/officeDocument/2006/relationships/hyperlink" Target="https://webgate.ec.europa.eu/regiokm/display/2127QA/QA00132+-+Cascade+funding" TargetMode="External"/><Relationship Id="rId33" Type="http://schemas.openxmlformats.org/officeDocument/2006/relationships/hyperlink" Target="https://webgate.ec.europa.eu/regiokm/display/XNETCPR2021/QA00026+-+Cross-financing" TargetMode="External"/><Relationship Id="rId129" Type="http://schemas.openxmlformats.org/officeDocument/2006/relationships/hyperlink" Target="https://webgate.ec.europa.eu/regiokm/display/XNETCPR2021/QA00319+-+Overhead+costs%2C+simplified+cost+approach+-+Article+25%283%29%28e%29+GBER" TargetMode="External"/><Relationship Id="rId280" Type="http://schemas.openxmlformats.org/officeDocument/2006/relationships/hyperlink" Target="https://webgate.ec.europa.eu/regiokm/display/XNETCPR2021/QA590_EMFAF_Question+from+Finland+regarding+EMFAF+use+of+Art+34+for+coast+guard+projects+with+or+without+involvement+from+the+EU+agencies" TargetMode="External"/><Relationship Id="rId336" Type="http://schemas.openxmlformats.org/officeDocument/2006/relationships/hyperlink" Target="https://webgate.ec.europa.eu/regiokm/display/XNETCPR2021/QA00323+-+Eligible+investments+under+STEP+and+state+aid+implications" TargetMode="External"/><Relationship Id="rId501" Type="http://schemas.openxmlformats.org/officeDocument/2006/relationships/hyperlink" Target="https://oceans-and-fisheries.ec.europa.eu/system/files/2021-09/fame-working-paper-emfaf-simplified-cost-options_en.pdf" TargetMode="External"/><Relationship Id="rId543" Type="http://schemas.openxmlformats.org/officeDocument/2006/relationships/hyperlink" Target="https://pact-for-skills.ec.europa.eu/index_en" TargetMode="External"/><Relationship Id="rId75" Type="http://schemas.openxmlformats.org/officeDocument/2006/relationships/hyperlink" Target="https://webgate.ec.europa.eu/regiokm/display/XNETCPR2021/QA00210+-+Publication+of+data+by+the+Member+State" TargetMode="External"/><Relationship Id="rId140" Type="http://schemas.openxmlformats.org/officeDocument/2006/relationships/hyperlink" Target="https://webgate.ec.europa.eu/regiokm/display/XNETCPR2021/QA00166+-+Eligibility+and+treatment+of+costs+generated+by+negative+interest+rates+under+Interreg+2021-2027" TargetMode="External"/><Relationship Id="rId182" Type="http://schemas.openxmlformats.org/officeDocument/2006/relationships/hyperlink" Target="https://webgate.ec.europa.eu/regiokm/display/XNETCPR2021/QA00259+-+Climate+proofing" TargetMode="External"/><Relationship Id="rId378" Type="http://schemas.openxmlformats.org/officeDocument/2006/relationships/hyperlink" Target="https://webgate.ec.europa.eu/regiokm/pages/viewpage.action?pageId=234914562" TargetMode="External"/><Relationship Id="rId403" Type="http://schemas.openxmlformats.org/officeDocument/2006/relationships/hyperlink" Target="https://webgate.ec.europa.eu/regiokm/display/XNETCPR2021/QA00169+-+Use+of+grid+electricity+in+the+production+of+hydrogen+under+ERDF+and+JTF" TargetMode="External"/><Relationship Id="rId6" Type="http://schemas.openxmlformats.org/officeDocument/2006/relationships/image" Target="media/image1.png"/><Relationship Id="rId238" Type="http://schemas.openxmlformats.org/officeDocument/2006/relationships/hyperlink" Target="https://webgate.ec.europa.eu/regiokm/display/XNETCPR2021/QA616_EMFAF_State+aid+clearance+needed+under+EMFAF" TargetMode="External"/><Relationship Id="rId445" Type="http://schemas.openxmlformats.org/officeDocument/2006/relationships/hyperlink" Target="file:///C:/Users/zupantj/AppData/Local/Microsoft/Windows/INetCache/Content.Outlook/X0DZEZ3C/CLEAN_REVISED_FINAL_QA%20172%20Eligibility%20of%20operating%20aid%20to%20clusters-DK.docx" TargetMode="External"/><Relationship Id="rId487" Type="http://schemas.openxmlformats.org/officeDocument/2006/relationships/hyperlink" Target="https://webgate.ec.europa.eu/regiokm/display/2127QA/QA00199+-+De+minimis+in+the+context+of+State+aid+in+CPR+2021-27" TargetMode="External"/><Relationship Id="rId291" Type="http://schemas.openxmlformats.org/officeDocument/2006/relationships/hyperlink" Target="https://webgate.ec.europa.eu/regiokm/display/XNETCPR2021/QA632_EMFAF_Maximum+aid+intensity+for+CLLD+operations" TargetMode="External"/><Relationship Id="rId305" Type="http://schemas.openxmlformats.org/officeDocument/2006/relationships/hyperlink" Target="https://webgate.ec.europa.eu/regiokm/pages/viewpage.action?pageId=255099147" TargetMode="External"/><Relationship Id="rId347" Type="http://schemas.openxmlformats.org/officeDocument/2006/relationships/hyperlink" Target="https://webgate.ec.europa.eu/regiokm/display/XNETCPR2021/QA00318+-+In-kind+contribution+in+the+form+of+voluntary+work+under+Article+39+ETC" TargetMode="External"/><Relationship Id="rId512" Type="http://schemas.openxmlformats.org/officeDocument/2006/relationships/hyperlink" Target="https://single-market-economy.ec.europa.eu/news/eu-construction-and-demolition-waste-protocol-2018-09-18_en" TargetMode="External"/><Relationship Id="rId44" Type="http://schemas.openxmlformats.org/officeDocument/2006/relationships/hyperlink" Target="https://webgate.ec.europa.eu/regiokm/display/XNETCPR2021/QA00302+-+Questions+related+to+programming+of+STEP%2C+dedicated+priorities+and+programme+amendments%2C+indicators" TargetMode="External"/><Relationship Id="rId86" Type="http://schemas.openxmlformats.org/officeDocument/2006/relationships/hyperlink" Target="https://webgate.ec.europa.eu/regiokm/display/XNETCPR2021/QA00186+-+Use+of+technical+assistance+for+visibility+of+projects+of+strategic+importance" TargetMode="External"/><Relationship Id="rId151" Type="http://schemas.openxmlformats.org/officeDocument/2006/relationships/hyperlink" Target="https://webgate.ec.europa.eu/regiokm/display/XNETCPR2021/QA00261+-+Wage+costs+eligibility+under+JTF+and+cost+eligibility+CPR+funds+v+GBER" TargetMode="External"/><Relationship Id="rId389" Type="http://schemas.openxmlformats.org/officeDocument/2006/relationships/hyperlink" Target="https://webgate.ec.europa.eu/regiokm/display/XNETCPR2021/QA00059+-+Application+of+Article+6+of+the+JTF+Regulation+to+insular+territories+that+do+not+constitute+an+entire+island" TargetMode="External"/><Relationship Id="rId554" Type="http://schemas.openxmlformats.org/officeDocument/2006/relationships/customXml" Target="../customXml/item2.xml"/><Relationship Id="rId193" Type="http://schemas.openxmlformats.org/officeDocument/2006/relationships/hyperlink" Target="https://webgate.ec.europa.eu/regiokm/display/XNETCPR2021/QA00117+-+Clarification+regarding+Annex+XXIII+%28payment+application%29+and+XXIV+%28accounts%29+of+the+CPR+in+2021-2027+programming+period" TargetMode="External"/><Relationship Id="rId207" Type="http://schemas.openxmlformats.org/officeDocument/2006/relationships/hyperlink" Target="https://webgate.ec.europa.eu/regiokm/display/XNETCPR2021/QA00033+-+Effective+communication+and+compliance+with+CPR+provisions+regarding+communication" TargetMode="External"/><Relationship Id="rId249" Type="http://schemas.openxmlformats.org/officeDocument/2006/relationships/hyperlink" Target="https://webgate.ec.europa.eu/regiokm/display/XNETCPR2021/QA691_EMFAF_Energy+efficiency" TargetMode="External"/><Relationship Id="rId414" Type="http://schemas.openxmlformats.org/officeDocument/2006/relationships/hyperlink" Target="https://webgate.ec.europa.eu/regiokm/display/XNETCPR2021/QA00302+-+Questions+related+to+programming+of+STEP%2C+dedicated+priorities+and+programme+amendments%2C+indicators" TargetMode="External"/><Relationship Id="rId456" Type="http://schemas.openxmlformats.org/officeDocument/2006/relationships/hyperlink" Target="file:///C:/Users/zupantj/AppData/Local/Microsoft/Windows/INetCache/Content.Outlook/BB7ZRUJV/EMPL%202021-2027%20QA_18%20evaluations%20(002).docx" TargetMode="External"/><Relationship Id="rId498" Type="http://schemas.openxmlformats.org/officeDocument/2006/relationships/hyperlink" Target="https://webgate.ec.europa.eu/regiokm/display/2127QA/QA00132+-+Cascade+funding" TargetMode="External"/><Relationship Id="rId13" Type="http://schemas.openxmlformats.org/officeDocument/2006/relationships/hyperlink" Target="https://webgate.ec.europa.eu/regiokm/display/XNETCPR2021/QA00237+-+State+aid+in+partners+projects+in+Poland" TargetMode="External"/><Relationship Id="rId109" Type="http://schemas.openxmlformats.org/officeDocument/2006/relationships/hyperlink" Target="https://webgate.ec.europa.eu/regiokm/display/XNETCPR2021/QA00184+-+Obligatory+use+of+SCOs+-+sustainable+urban+development" TargetMode="External"/><Relationship Id="rId260" Type="http://schemas.openxmlformats.org/officeDocument/2006/relationships/hyperlink" Target="https://webgate.ec.europa.eu/regiokm/display/XNETCPR2021/QA644_EMFAF_Interpretation+of+certain+EMFAF+provisions+in+view+of+correct+programming" TargetMode="External"/><Relationship Id="rId316" Type="http://schemas.openxmlformats.org/officeDocument/2006/relationships/hyperlink" Target="https://webgate.ec.europa.eu/regiokm/display/XNETCPR2021/QA00097+-+Productive+investments" TargetMode="External"/><Relationship Id="rId523" Type="http://schemas.openxmlformats.org/officeDocument/2006/relationships/hyperlink" Target="https://webgate.ec.europa.eu/fpfis/wikis/pages/viewpage.action?pageId=1114343116" TargetMode="External"/><Relationship Id="rId55" Type="http://schemas.openxmlformats.org/officeDocument/2006/relationships/hyperlink" Target="https://webgate.ec.europa.eu/regiokm/pages/viewpage.action?pageId=255099231" TargetMode="External"/><Relationship Id="rId97" Type="http://schemas.openxmlformats.org/officeDocument/2006/relationships/hyperlink" Target="https://webgate.ec.europa.eu/regiokm/display/XNETCPR2021/QA00053+-+Allowances+paid+in+cash" TargetMode="External"/><Relationship Id="rId120" Type="http://schemas.openxmlformats.org/officeDocument/2006/relationships/hyperlink" Target="https://webgate.ec.europa.eu/regiokm/display/XNETCPR2021/QA00252+-+Questions+concerning+Annexes+XXIII+and+XXIV+of+the+CPR" TargetMode="External"/><Relationship Id="rId358" Type="http://schemas.openxmlformats.org/officeDocument/2006/relationships/hyperlink" Target="https://webgate.ec.europa.eu/regiokm/pages/viewpage.action?pageId=163121284" TargetMode="External"/><Relationship Id="rId162" Type="http://schemas.openxmlformats.org/officeDocument/2006/relationships/hyperlink" Target="https://webgate.ec.europa.eu/regiokm/display/XNETCPR2021/QA00157+-+Irrecoverable+amount+below+EUR+250+in+the+2021-2027+programming+period" TargetMode="External"/><Relationship Id="rId218" Type="http://schemas.openxmlformats.org/officeDocument/2006/relationships/hyperlink" Target="https://webgate.ec.europa.eu/regiokm/display/XNETCPR2021/QA00302+-+Questions+related+to+programming+of+STEP%2C+dedicated+priorities+and+programme+amendments%2C+indicators" TargetMode="External"/><Relationship Id="rId425" Type="http://schemas.openxmlformats.org/officeDocument/2006/relationships/hyperlink" Target="file:///U:/02%20INTERPRETATION/Post2020/02%20QA%20requests/2021/192%20QA%20REGIO%202021-27/FINAL_192%20QA%20-%20applicability%20of%20Article%2050%20new%20CPR%20in%20case%20of%20FI.docx" TargetMode="External"/><Relationship Id="rId467" Type="http://schemas.openxmlformats.org/officeDocument/2006/relationships/hyperlink" Target="https://webgate.ec.europa.eu/fpfis/wikis/pages/viewpage.action?spaceKey=recover&amp;title=RRF+-+Frequently+asked+questions" TargetMode="External"/><Relationship Id="rId271" Type="http://schemas.openxmlformats.org/officeDocument/2006/relationships/hyperlink" Target="https://webgate.ec.europa.eu/regiokm/display/XNETCPR2021/QA714_EMFAF_Permanent+Cessation+-+minimum+requirement+of+fishing+activity" TargetMode="External"/><Relationship Id="rId24" Type="http://schemas.openxmlformats.org/officeDocument/2006/relationships/hyperlink" Target="https://webgate.ec.europa.eu/regiokm/pages/viewpage.action?pageId=255099347" TargetMode="External"/><Relationship Id="rId66" Type="http://schemas.openxmlformats.org/officeDocument/2006/relationships/hyperlink" Target="https://webgate.ec.europa.eu/regiokm/pages/viewpage.action?pageId=255099236" TargetMode="External"/><Relationship Id="rId131" Type="http://schemas.openxmlformats.org/officeDocument/2006/relationships/hyperlink" Target="https://webgate.ec.europa.eu/regiokm/display/XNETCPR2021/QA00003+-+Eligibility+of+depreciation+costs" TargetMode="External"/><Relationship Id="rId327" Type="http://schemas.openxmlformats.org/officeDocument/2006/relationships/hyperlink" Target="https://webgate.ec.europa.eu/regiokm/pages/viewpage.action?pageId=264176230" TargetMode="External"/><Relationship Id="rId369" Type="http://schemas.openxmlformats.org/officeDocument/2006/relationships/hyperlink" Target="https://webgate.ec.europa.eu/regiokm/pages/viewpage.action?pageId=158761460" TargetMode="External"/><Relationship Id="rId534" Type="http://schemas.openxmlformats.org/officeDocument/2006/relationships/hyperlink" Target="https://eur-lex.europa.eu/eli/C/2024/3209/oj" TargetMode="External"/><Relationship Id="rId173" Type="http://schemas.openxmlformats.org/officeDocument/2006/relationships/hyperlink" Target="https://webgate.ec.europa.eu/regiokm/display/XNETCPR2021/QA00075+-+Can+ERDF+programmes+support+infrastructure+for+vocational+training+centres+under+policy+objective+1" TargetMode="External"/><Relationship Id="rId229" Type="http://schemas.openxmlformats.org/officeDocument/2006/relationships/hyperlink" Target="https://webgate.ec.europa.eu/regiokm/display/XNETCPR2021/QA00325+-+STEP+further+questions+on+state+aid+issues" TargetMode="External"/><Relationship Id="rId380" Type="http://schemas.openxmlformats.org/officeDocument/2006/relationships/hyperlink" Target="https://webgate.ec.europa.eu/regiokm/pages/viewpage.action?pageId=158761478" TargetMode="External"/><Relationship Id="rId436" Type="http://schemas.openxmlformats.org/officeDocument/2006/relationships/hyperlink" Target="file:///U:/02%20INTERPRETATION/Post2020/02%20QA%20requests/2021/208%20QA%20REGIO%202021-27/FINAL_QA208_eligibility%20large%20enterprises%20under%20JTF.docx" TargetMode="External"/><Relationship Id="rId240" Type="http://schemas.openxmlformats.org/officeDocument/2006/relationships/hyperlink" Target="https://webgate.ec.europa.eu/regiokm/display/XNETCPR2021/QA640_EMFAF_Modernisation+of+fishing+vessels+above+12+m+under+EMFAF" TargetMode="External"/><Relationship Id="rId478" Type="http://schemas.openxmlformats.org/officeDocument/2006/relationships/hyperlink" Target="https://ec.europa.eu/eurostat/statistics-explained/index.php?title=Glossary:Fossil_fuel" TargetMode="External"/><Relationship Id="rId35" Type="http://schemas.openxmlformats.org/officeDocument/2006/relationships/hyperlink" Target="https://webgate.ec.europa.eu/regiokm/pages/viewpage.action?pageId=255099198" TargetMode="External"/><Relationship Id="rId77" Type="http://schemas.openxmlformats.org/officeDocument/2006/relationships/hyperlink" Target="https://webgate.ec.europa.eu/regiokm/display/XNETCPR2021/QA00295+-+Publication+of+documents+of+the+Monitoring+Committee" TargetMode="External"/><Relationship Id="rId100" Type="http://schemas.openxmlformats.org/officeDocument/2006/relationships/hyperlink" Target="https://webgate.ec.europa.eu/regiokm/display/XNETCPR2021/QA00065+-+Direct+staff+costs+concerning+grants" TargetMode="External"/><Relationship Id="rId282" Type="http://schemas.openxmlformats.org/officeDocument/2006/relationships/hyperlink" Target="https://webgate.ec.europa.eu/regiokm/pages/viewpage.action?pageId=262539697" TargetMode="External"/><Relationship Id="rId338" Type="http://schemas.openxmlformats.org/officeDocument/2006/relationships/hyperlink" Target="https://webgate.ec.europa.eu/regiokm/pages/viewpage.action?pageId=255099259" TargetMode="External"/><Relationship Id="rId503" Type="http://schemas.openxmlformats.org/officeDocument/2006/relationships/hyperlink" Target="https://webgate.ec.europa.eu/regiokm/display/2127QA/QA00015+-+Publicity+requirements+according+to+Article+50%281%29%28c%29+in+the+context+of+financial+instruments" TargetMode="External"/><Relationship Id="rId545" Type="http://schemas.openxmlformats.org/officeDocument/2006/relationships/hyperlink" Target="https://eur-lex.europa.eu/eli/C/2024/3209/oj" TargetMode="External"/><Relationship Id="rId8" Type="http://schemas.openxmlformats.org/officeDocument/2006/relationships/hyperlink" Target="https://webgate.ec.europa.eu/regiokm/display/XNETCPR2021/QA00132+-+Cascade+funding" TargetMode="External"/><Relationship Id="rId142" Type="http://schemas.openxmlformats.org/officeDocument/2006/relationships/hyperlink" Target="https://webgate.ec.europa.eu/regiokm/display/XNETCPR2021/QA00176+-+VAT+eligibility+and+project+total+costs" TargetMode="External"/><Relationship Id="rId184" Type="http://schemas.openxmlformats.org/officeDocument/2006/relationships/hyperlink" Target="https://webgate.ec.europa.eu/regiokm/display/XNETCPR2021/QA00283+-+Compliance+of+non-competitive+calls+with+Article+73+CPR" TargetMode="External"/><Relationship Id="rId391" Type="http://schemas.openxmlformats.org/officeDocument/2006/relationships/hyperlink" Target="https://webgate.ec.europa.eu/regiokm/pages/viewpage.action?pageId=255099209" TargetMode="External"/><Relationship Id="rId405" Type="http://schemas.openxmlformats.org/officeDocument/2006/relationships/hyperlink" Target="https://webgate.ec.europa.eu/regiokm/display/XNETCPR2021/QA00205+-+JTF+NGEU+deadline+and+consequences+on+FIs" TargetMode="External"/><Relationship Id="rId447" Type="http://schemas.openxmlformats.org/officeDocument/2006/relationships/hyperlink" Target="file:///C:/Users/zupantj/AppData/Local/Microsoft/Windows/INetCache/Content.Outlook/X0DZEZ3C/198%20QA%20Start%20date%20of%20eligibility%20for%20the%20JTF_EMPL_rev%2027SEPT2021%20FINAL%2008112021.docx" TargetMode="External"/><Relationship Id="rId251" Type="http://schemas.openxmlformats.org/officeDocument/2006/relationships/hyperlink" Target="https://webgate.ec.europa.eu/regiokm/display/XNETCPR2021/QA721_EMFAF_State+aid+and+verification+of+enterprises+in+difficulty%2C+including+SMEs" TargetMode="External"/><Relationship Id="rId489" Type="http://schemas.openxmlformats.org/officeDocument/2006/relationships/hyperlink" Target="https://webgate.ec.europa.eu/regiokm/display/2127QA/QA00144+-+SCOs+in+operations+subject+to+de+minimis+aid" TargetMode="External"/><Relationship Id="rId46" Type="http://schemas.openxmlformats.org/officeDocument/2006/relationships/hyperlink" Target="https://webgate.ec.europa.eu/regiokm/pages/viewpage.action?pageId=255099158" TargetMode="External"/><Relationship Id="rId293" Type="http://schemas.openxmlformats.org/officeDocument/2006/relationships/hyperlink" Target="https://webgate.ec.europa.eu/regiokm/pages/viewpage.action?pageId=203915976" TargetMode="External"/><Relationship Id="rId307" Type="http://schemas.openxmlformats.org/officeDocument/2006/relationships/hyperlink" Target="https://webgate.ec.europa.eu/regiokm/pages/viewpage.action?pageId=255099153" TargetMode="External"/><Relationship Id="rId349" Type="http://schemas.openxmlformats.org/officeDocument/2006/relationships/hyperlink" Target="https://webgate.ec.europa.eu/regiokm/pages/viewpage.action?pageId=159645885" TargetMode="External"/><Relationship Id="rId514" Type="http://schemas.openxmlformats.org/officeDocument/2006/relationships/hyperlink" Target="https://eur-lex.europa.eu/legal-content/EN/TXT/?uri=CELEX:52021XC0916(03)" TargetMode="External"/><Relationship Id="rId556" Type="http://schemas.openxmlformats.org/officeDocument/2006/relationships/customXml" Target="../customXml/item4.xml"/><Relationship Id="rId88" Type="http://schemas.openxmlformats.org/officeDocument/2006/relationships/hyperlink" Target="https://webgate.ec.europa.eu/regiokm/display/XNETCPR2021/QA00234+-+Use+of+communication+material+with+old+logo" TargetMode="External"/><Relationship Id="rId111" Type="http://schemas.openxmlformats.org/officeDocument/2006/relationships/hyperlink" Target="https://webgate.ec.europa.eu/regiokm/display/XNETCPR2021/QA00201+-+Using+FI+for+co-financing+projects+in+2021-2027+and+climate+proofing" TargetMode="External"/><Relationship Id="rId153" Type="http://schemas.openxmlformats.org/officeDocument/2006/relationships/hyperlink" Target="https://webgate.ec.europa.eu/regiokm/display/XNETCPR2021/QA00281+-+EMFAF+eligibility+period" TargetMode="External"/><Relationship Id="rId195" Type="http://schemas.openxmlformats.org/officeDocument/2006/relationships/hyperlink" Target="https://webgate.ec.europa.eu/regiokm/pages/viewpage.action?pageId=255099259" TargetMode="External"/><Relationship Id="rId209" Type="http://schemas.openxmlformats.org/officeDocument/2006/relationships/hyperlink" Target="https://webgate.ec.europa.eu/regiokm/display/XNETCPR2021/QA00105+-+Phasing+of+REACT-EU+operations+and+treatment+of+co-financing" TargetMode="External"/><Relationship Id="rId360" Type="http://schemas.openxmlformats.org/officeDocument/2006/relationships/hyperlink" Target="https://webgate.ec.europa.eu/regiokm/pages/viewpage.action?pageId=163121286" TargetMode="External"/><Relationship Id="rId416" Type="http://schemas.openxmlformats.org/officeDocument/2006/relationships/hyperlink" Target="https://webgate.ec.europa.eu/regiokm/display/XNETCPR2021/QA00310+-+Questions+related+to+State+aid+aspects" TargetMode="External"/><Relationship Id="rId220" Type="http://schemas.openxmlformats.org/officeDocument/2006/relationships/hyperlink" Target="https://webgate.ec.europa.eu/regiokm/pages/viewpage.action?pageId=275322799" TargetMode="External"/><Relationship Id="rId458" Type="http://schemas.openxmlformats.org/officeDocument/2006/relationships/hyperlink" Target="https://ec.europa.eu/regional_policy/sources/docoffic/2007/working/wd5_ongoing_en.pdf" TargetMode="External"/><Relationship Id="rId15" Type="http://schemas.openxmlformats.org/officeDocument/2006/relationships/hyperlink" Target="https://webgate.ec.europa.eu/regiokm/pages/viewpage.action?pageId=255099192" TargetMode="External"/><Relationship Id="rId57" Type="http://schemas.openxmlformats.org/officeDocument/2006/relationships/hyperlink" Target="https://webgate.ec.europa.eu/regiokm/display/XNETCPR2021/QA00140+-+CLLD+programming+in+ESF" TargetMode="External"/><Relationship Id="rId262" Type="http://schemas.openxmlformats.org/officeDocument/2006/relationships/hyperlink" Target="https://webgate.ec.europa.eu/regiokm/display/XNETCPR2021/QA648_EMFAF_Art.+21+%283%29+of+the+EMFAF+Regulation" TargetMode="External"/><Relationship Id="rId318" Type="http://schemas.openxmlformats.org/officeDocument/2006/relationships/hyperlink" Target="https://webgate.ec.europa.eu/regiokm/pages/viewpage.action?pageId=255099223" TargetMode="External"/><Relationship Id="rId525" Type="http://schemas.openxmlformats.org/officeDocument/2006/relationships/hyperlink" Target="https://iliofos.gr/en/hybrid-propulsion-marine" TargetMode="External"/><Relationship Id="rId99" Type="http://schemas.openxmlformats.org/officeDocument/2006/relationships/hyperlink" Target="https://webgate.ec.europa.eu/regiokm/display/XNETCPR2021/QA00062+-+Combination+of+support+from+FI+under+shared+management+with+the+support+from+RRF+at+the+level+of+final+recipients" TargetMode="External"/><Relationship Id="rId122" Type="http://schemas.openxmlformats.org/officeDocument/2006/relationships/hyperlink" Target="https://webgate.ec.europa.eu/regiokm/display/XNETCPR2021/QA00265+-+Flat+rate+financing+for+indirect+costs+Articles+54+and+94+CPR" TargetMode="External"/><Relationship Id="rId164" Type="http://schemas.openxmlformats.org/officeDocument/2006/relationships/hyperlink" Target="https://webgate.ec.europa.eu/regiokm/display/XNETCPR2021/QA00182+-+Resources+to+be+indicated+in+the+description+of+the+management+and+control+system" TargetMode="External"/><Relationship Id="rId371" Type="http://schemas.openxmlformats.org/officeDocument/2006/relationships/hyperlink" Target="https://webgate.ec.europa.eu/regiokm/pages/viewpage.action?pageId=158761465" TargetMode="External"/><Relationship Id="rId427" Type="http://schemas.openxmlformats.org/officeDocument/2006/relationships/hyperlink" Target="file:///U:/02%20INTERPRETATION/Post2020/02%20QA%20requests/2021/192%20QA%20REGIO%202021-27/FINAL_192%20QA%20-%20applicability%20of%20Article%2050%20new%20CPR%20in%20case%20of%20FI.docx" TargetMode="External"/><Relationship Id="rId469" Type="http://schemas.openxmlformats.org/officeDocument/2006/relationships/hyperlink" Target="http://webgate.ec.europa.eu" TargetMode="External"/><Relationship Id="rId26" Type="http://schemas.openxmlformats.org/officeDocument/2006/relationships/hyperlink" Target="https://webgate.ec.europa.eu/regiokm/display/XNETCPR2021/QA00275+-+Version+of+National+Energy+and+Climate+Plans+%28NECPs%29+to+consider+in+the+Mid-Term+Review" TargetMode="External"/><Relationship Id="rId231" Type="http://schemas.openxmlformats.org/officeDocument/2006/relationships/hyperlink" Target="https://webgate.ec.europa.eu/regiokm/display/XNETCPR2021/QA00327+-+STEP+technologies" TargetMode="External"/><Relationship Id="rId273" Type="http://schemas.openxmlformats.org/officeDocument/2006/relationships/hyperlink" Target="https://webgate.ec.europa.eu/regiokm/display/XNETCPR2021/QA595_EMFAF_The+eligibility+of+support+of+aquaponics+system+under+EMFAF" TargetMode="External"/><Relationship Id="rId329" Type="http://schemas.openxmlformats.org/officeDocument/2006/relationships/hyperlink" Target="https://webgate.ec.europa.eu/regiokm/display/XNETCPR2021/QA00302+-+Questions+related+to+programming+of+STEP%2C+dedicated+priorities+and+programme+amendments%2C+indicators" TargetMode="External"/><Relationship Id="rId480" Type="http://schemas.openxmlformats.org/officeDocument/2006/relationships/hyperlink" Target="https://ec.europa.eu/atwork/applying-eu-law/infringements-proceedings/infringement_decisions/?lang_code=en" TargetMode="External"/><Relationship Id="rId536" Type="http://schemas.openxmlformats.org/officeDocument/2006/relationships/hyperlink" Target="https://eur-lex.europa.eu/legal-content/EN/TXT/?uri=OJ:L_202400795" TargetMode="External"/><Relationship Id="rId68" Type="http://schemas.openxmlformats.org/officeDocument/2006/relationships/hyperlink" Target="https://webgate.ec.europa.eu/regiokm/display/XNETCPR2021/QA00241+-+Application+of+mandatory+use+of+SCOs+%28Art.+53%282%29+CPR%29+in+TA+operations" TargetMode="External"/><Relationship Id="rId133" Type="http://schemas.openxmlformats.org/officeDocument/2006/relationships/hyperlink" Target="https://webgate.ec.europa.eu/regiokm/display/XNETCPR2021/QA00045+-+The+date+of+eligibility+of+operations+and+the+collaborative+actions" TargetMode="External"/><Relationship Id="rId175" Type="http://schemas.openxmlformats.org/officeDocument/2006/relationships/hyperlink" Target="https://webgate.ec.europa.eu/regiokm/display/XNETCPR2021/QA00093+-+Climate+proofing" TargetMode="External"/><Relationship Id="rId340" Type="http://schemas.openxmlformats.org/officeDocument/2006/relationships/hyperlink" Target="https://webgate.ec.europa.eu/regiokm/pages/viewpage.action?pageId=255099268" TargetMode="External"/><Relationship Id="rId200" Type="http://schemas.openxmlformats.org/officeDocument/2006/relationships/hyperlink" Target="https://webgate.ec.europa.eu/regiokm/pages/viewpage.action?pageId=255099343" TargetMode="External"/><Relationship Id="rId382" Type="http://schemas.openxmlformats.org/officeDocument/2006/relationships/hyperlink" Target="https://webgate.ec.europa.eu/regiokm/pages/viewpage.action?pageId=158761482" TargetMode="External"/><Relationship Id="rId438" Type="http://schemas.openxmlformats.org/officeDocument/2006/relationships/hyperlink" Target="https://ec.europa.eu/esf/main.jsp?catId=3&amp;langId=en&amp;keywords=&amp;langSel=&amp;pubType=580" TargetMode="External"/><Relationship Id="rId242" Type="http://schemas.openxmlformats.org/officeDocument/2006/relationships/hyperlink" Target="https://webgate.ec.europa.eu/regiokm/pages/viewpage.action?pageId=203924452" TargetMode="External"/><Relationship Id="rId284" Type="http://schemas.openxmlformats.org/officeDocument/2006/relationships/hyperlink" Target="https://webgate.ec.europa.eu/regiokm/display/XNETCPR2021/QA591_EMFAF_Co-financing+rate+and+intensity+of+public+aid+under+EMFAF+-+public+law+bodies" TargetMode="External"/><Relationship Id="rId491" Type="http://schemas.openxmlformats.org/officeDocument/2006/relationships/hyperlink" Target="https://webgate.ec.europa.eu/regiokm/display/2127QA/QA00093+-+Climate+proofing" TargetMode="External"/><Relationship Id="rId505" Type="http://schemas.openxmlformats.org/officeDocument/2006/relationships/hyperlink" Target="https://urldefense.com/v3/__https:/eur01.safelinks.protection.outlook.com/?url=https*3A*2F*2Feur-lex.europa.eu*2Flegal-content*2FEN*2FTXT*2FHTML*2F*3Furi*3DCELEX*3A52021XC0527(02)*26from*3DPL&amp;data=05*7C01*7Cjoanna.piscopo*40gov.mt*7C805889127202430451f508dae8a77032*7C34cdd9f55db849bcacba01f65cca680d*7C0*7C0*7C638078103087180144*7CUnknown*7CTWFpbGZsb3d8eyJWIjoiMC4wLjAwMDAiLCJQIjoiV2luMzIiLCJBTiI6Ik1haWwiLCJXVCI6Mn0*3D*7C3000*7C*7C*7C&amp;sdata=*2FdML8KYhRQDk3scto5JFC5nNzEH*2FL*2Fazwc4FB8S*2Bjck*3D&amp;reserved=0__;JSUlJSUlJSUlJSUlJSUlJSUlJSUlJSUlJSUlJSUlJSUl!!DOxrgLBm!Bg9NvqZ_9AQoqmTwB6xg4H-Tsy8Hgax-pr0tNH5SpIUTaWR8-jVRSaCiW6DETzwL47A_BF96uCzMLLcC2wxBEo_pvHtUDmMITHpLyMSJnmdyAA$" TargetMode="External"/><Relationship Id="rId37" Type="http://schemas.openxmlformats.org/officeDocument/2006/relationships/hyperlink" Target="https://webgate.ec.europa.eu/regiokm/display/XNETCPR2021/QA00109+-+Transfer+of+additional+funding+for+outermost+regions" TargetMode="External"/><Relationship Id="rId79" Type="http://schemas.openxmlformats.org/officeDocument/2006/relationships/hyperlink" Target="https://webgate.ec.europa.eu/regiokm/display/XNETCPR2021/QA00011+-+Durability+of+billboards+and+plaques" TargetMode="External"/><Relationship Id="rId102" Type="http://schemas.openxmlformats.org/officeDocument/2006/relationships/hyperlink" Target="https://webgate.ec.europa.eu/regiokm/display/XNETCPR2021/QA00106+-+Request+of+clarification+regarding+the+application+of+financial+instruments" TargetMode="External"/><Relationship Id="rId144" Type="http://schemas.openxmlformats.org/officeDocument/2006/relationships/hyperlink" Target="https://webgate.ec.europa.eu/regiokm/pages/viewpage.action?pageId=255099285" TargetMode="External"/><Relationship Id="rId547" Type="http://schemas.openxmlformats.org/officeDocument/2006/relationships/image" Target="media/image4.png"/><Relationship Id="rId90" Type="http://schemas.openxmlformats.org/officeDocument/2006/relationships/hyperlink" Target="https://webgate.ec.europa.eu/regiokm/pages/viewpage.action?pageId=255099351" TargetMode="External"/><Relationship Id="rId186" Type="http://schemas.openxmlformats.org/officeDocument/2006/relationships/hyperlink" Target="https://webgate.ec.europa.eu/regiokm/display/XNETCPR2021/QA00315+-+Collection+and+recording+the+data+on+beneficial+owners+%28BO%29+of+the+recipients+of+Union+funding" TargetMode="External"/><Relationship Id="rId351" Type="http://schemas.openxmlformats.org/officeDocument/2006/relationships/hyperlink" Target="https://webgate.ec.europa.eu/regiokm/pages/viewpage.action?pageId=158761436" TargetMode="External"/><Relationship Id="rId393" Type="http://schemas.openxmlformats.org/officeDocument/2006/relationships/hyperlink" Target="https://webgate.ec.europa.eu/regiokm/display/XNETCPR2021/QA00120+-+Regeneration+and+decontamination+of+brownfields+-+repurposing+projects" TargetMode="External"/><Relationship Id="rId407" Type="http://schemas.openxmlformats.org/officeDocument/2006/relationships/hyperlink" Target="https://webgate.ec.europa.eu/regiokm/display/XNETCPR2021/QA00221+-+Eligibility+of+pre-retirement+allowance+and+short+term+work+scheme" TargetMode="External"/><Relationship Id="rId449" Type="http://schemas.openxmlformats.org/officeDocument/2006/relationships/hyperlink" Target="file:///U:/02%20INTERPRETATION/Post2020/02%20QA%20requests/2021/197%20QA%20REGIO%202021-27/FINAL_197%20QA%20-%20Combination%20of%20streams%20of%20support%20ERDF%20and%20RRF.docx" TargetMode="External"/><Relationship Id="rId211" Type="http://schemas.openxmlformats.org/officeDocument/2006/relationships/hyperlink" Target="https://webgate.ec.europa.eu/regiokm/pages/viewpage.action?pageId=255099305" TargetMode="External"/><Relationship Id="rId253" Type="http://schemas.openxmlformats.org/officeDocument/2006/relationships/hyperlink" Target="https://webgate.ec.europa.eu/regiokm/display/XNETCPR2021/QA587_EMFAF_Support+for+data+collection" TargetMode="External"/><Relationship Id="rId295" Type="http://schemas.openxmlformats.org/officeDocument/2006/relationships/hyperlink" Target="https://webgate.ec.europa.eu/regiokm/pages/viewpage.action?pageId=203922695" TargetMode="External"/><Relationship Id="rId309" Type="http://schemas.openxmlformats.org/officeDocument/2006/relationships/hyperlink" Target="https://webgate.ec.europa.eu/regiokm/display/XNETCPR2021/QA00047+-+Eligibility+of+operating+aid+to+innovation+clusters" TargetMode="External"/><Relationship Id="rId460" Type="http://schemas.openxmlformats.org/officeDocument/2006/relationships/hyperlink" Target="file:///U:/02%20INTERPRETATION/Post2020/Other%20DGs%20Questions/50%20QA_EMPL_2021-27/FINAL_EMPL%202021-2027%20QA_20%20DNSH%20in%20ESF+%20programmes%20MR.docx" TargetMode="External"/><Relationship Id="rId516" Type="http://schemas.openxmlformats.org/officeDocument/2006/relationships/hyperlink" Target="https://webgate.ec.europa.eu/regiokm/pages/viewpage.action?pageId=234921078&amp;ticket=ST-44148871-DiA7u2I9e3ehQ8TTstvG6h6Jzs3JXSMaazvEpUI1qbIHjczLjchQFGYyC8lkQ8SR2zfFjxe6qhJIvy7RB9ULzXzW-rS0vSrmBGYCfJlUOIXNp0K-xWdyzzwkUm5u40m1JrcO28BECk3YBlkHB9ZoLb2YarHq6aBgNtVnN6UJ77dlrDYcXq3yKfXKHPTP02XpCV9U6i" TargetMode="External"/><Relationship Id="rId48" Type="http://schemas.openxmlformats.org/officeDocument/2006/relationships/hyperlink" Target="https://webgate.ec.europa.eu/regiokm/display/XNETCPR2021/QA00052+-+Support+to+all+preparatory%2C+management+and+animation+from+ERDF+for+the+Local+Action+Groups+in+the+context+of+a+multi-funded+CLLD+strategy" TargetMode="External"/><Relationship Id="rId113" Type="http://schemas.openxmlformats.org/officeDocument/2006/relationships/hyperlink" Target="https://webgate.ec.europa.eu/regiokm/display/XNETCPR2021/QA00214+-+Flat+rate+financing+of+indirect+costs" TargetMode="External"/><Relationship Id="rId320" Type="http://schemas.openxmlformats.org/officeDocument/2006/relationships/hyperlink" Target="https://webgate.ec.europa.eu/regiokm/display/XNETCPR2021/QA00148+-+Support+by+the+ERDF+of+activities+for+applied+research+and+innovation+undertaken+by+enterprises+other+than+SMEs" TargetMode="External"/><Relationship Id="rId155" Type="http://schemas.openxmlformats.org/officeDocument/2006/relationships/hyperlink" Target="https://webgate.ec.europa.eu/regiokm/display/XNETCPR2021/QA00286+-+Applicability+of+Article+22+%281%29+second+paragraph+ETC+in+the+case+of+participation+in+conferences+outside+the+programme+area" TargetMode="External"/><Relationship Id="rId197" Type="http://schemas.openxmlformats.org/officeDocument/2006/relationships/hyperlink" Target="https://webgate.ec.europa.eu/regiokm/display/XNETCPR2021/QA00156+-+Exchange+rate+in+case+of+SCOs+as+Union+contribution" TargetMode="External"/><Relationship Id="rId362" Type="http://schemas.openxmlformats.org/officeDocument/2006/relationships/hyperlink" Target="https://webgate.ec.europa.eu/regiokm/pages/viewpage.action?pageId=158761446" TargetMode="External"/><Relationship Id="rId418" Type="http://schemas.openxmlformats.org/officeDocument/2006/relationships/image" Target="media/image3.svg"/><Relationship Id="rId222" Type="http://schemas.openxmlformats.org/officeDocument/2006/relationships/hyperlink" Target="https://webgate.ec.europa.eu/regiokm/display/XNETCPR2021/QA00306+-+Questions+related+to+the+mid-term+review" TargetMode="External"/><Relationship Id="rId264" Type="http://schemas.openxmlformats.org/officeDocument/2006/relationships/hyperlink" Target="https://webgate.ec.europa.eu/regiokm/display/XNETCPR2021/QA656_EMFAF_Temporary+cessation" TargetMode="External"/><Relationship Id="rId471" Type="http://schemas.openxmlformats.org/officeDocument/2006/relationships/hyperlink" Target="https://ec.europa.eu/regional_policy/sources/thefunds/jtf/swd_territ_just_trans_plan_en.pdf" TargetMode="External"/><Relationship Id="rId17" Type="http://schemas.openxmlformats.org/officeDocument/2006/relationships/hyperlink" Target="https://webgate.ec.europa.eu/regiokm/pages/viewpage.action?pageId=275322799" TargetMode="External"/><Relationship Id="rId59" Type="http://schemas.openxmlformats.org/officeDocument/2006/relationships/hyperlink" Target="https://webgate.ec.europa.eu/regiokm/display/XNETCPR2021/QA00207+-+Selection+of+community-led+local+development+strategies" TargetMode="External"/><Relationship Id="rId124" Type="http://schemas.openxmlformats.org/officeDocument/2006/relationships/hyperlink" Target="https://webgate.ec.europa.eu/regiokm/pages/viewpage.action?pageId=255099364" TargetMode="External"/><Relationship Id="rId527" Type="http://schemas.openxmlformats.org/officeDocument/2006/relationships/hyperlink" Target="https://iliofos.gr/en/hybrid-modules/htm700" TargetMode="External"/><Relationship Id="rId70" Type="http://schemas.openxmlformats.org/officeDocument/2006/relationships/hyperlink" Target="https://webgate.ec.europa.eu/regiokm/display/XNETCPR2021/QA00033+-+Effective+communication+and+compliance+with+CPR+provisions+regarding+communication" TargetMode="External"/><Relationship Id="rId166" Type="http://schemas.openxmlformats.org/officeDocument/2006/relationships/hyperlink" Target="https://webgate.ec.europa.eu/regiokm/display/XNETCPR2021/QA00008+-+Revenue+generating+projects" TargetMode="External"/><Relationship Id="rId331" Type="http://schemas.openxmlformats.org/officeDocument/2006/relationships/hyperlink" Target="https://webgate.ec.europa.eu/regiokm/pages/viewpage.action?pageId=275322799" TargetMode="External"/><Relationship Id="rId373" Type="http://schemas.openxmlformats.org/officeDocument/2006/relationships/hyperlink" Target="https://webgate.ec.europa.eu/regiokm/pages/viewpage.action?pageId=158761467" TargetMode="External"/><Relationship Id="rId429" Type="http://schemas.openxmlformats.org/officeDocument/2006/relationships/hyperlink" Target="file:///U:/02%20INTERPRETATION/Post2020/02%20QA%20requests/2021/192%20QA%20REGIO%202021-27/FINAL_192%20QA%20-%20applicability%20of%20Article%2050%20new%20CPR%20in%20case%20of%20FI.docx" TargetMode="External"/><Relationship Id="rId1" Type="http://schemas.openxmlformats.org/officeDocument/2006/relationships/customXml" Target="../customXml/item1.xml"/><Relationship Id="rId233" Type="http://schemas.openxmlformats.org/officeDocument/2006/relationships/hyperlink" Target="https://webgate.ec.europa.eu/regiokm/display/XNETCPR2021/QA00329+-+STEP+technologies+-+large+enterprises+-+eligibility+of+calls+for+proposals" TargetMode="External"/><Relationship Id="rId440" Type="http://schemas.openxmlformats.org/officeDocument/2006/relationships/hyperlink" Target="https://myintracomm-collab.ec.europa.eu/dg/REGIO/AdviceAndInterpre21_27/ClosedConsultRegul/MARE%202021-27%2008%20-%20Arts%202%20and%2073%20CPR%20-%20climate%20proofing.docx" TargetMode="External"/><Relationship Id="rId28" Type="http://schemas.openxmlformats.org/officeDocument/2006/relationships/hyperlink" Target="https://webgate.ec.europa.eu/regiokm/display/XNETCPR2021/QA00277+-+Role+of+evaluations+in+the+mid-term+review" TargetMode="External"/><Relationship Id="rId275" Type="http://schemas.openxmlformats.org/officeDocument/2006/relationships/hyperlink" Target="https://webgate.ec.europa.eu/regiokm/display/XNETCPR2021/QA644_EMFAF_Interpretation+of+certain+EMFAF+provisions+in+view+of+correct+programming" TargetMode="External"/><Relationship Id="rId300" Type="http://schemas.openxmlformats.org/officeDocument/2006/relationships/hyperlink" Target="https://webgate.ec.europa.eu/regiokm/display/XNETCPR2021/QA706_EMFAF_Producer+organisation" TargetMode="External"/><Relationship Id="rId482" Type="http://schemas.openxmlformats.org/officeDocument/2006/relationships/hyperlink" Target="https://webgate.ec.europa.eu/regiokm/pages/viewpage.action?pageId=194215993" TargetMode="External"/><Relationship Id="rId538" Type="http://schemas.openxmlformats.org/officeDocument/2006/relationships/hyperlink" Target="https://eur-lex.europa.eu/legal-content/EN/TXT/PDF/?uri=CELEX:32018H0502(01)" TargetMode="External"/><Relationship Id="rId81" Type="http://schemas.openxmlformats.org/officeDocument/2006/relationships/hyperlink" Target="https://webgate.ec.europa.eu/regiokm/pages/viewpage.action?pageId=255099159" TargetMode="External"/><Relationship Id="rId135" Type="http://schemas.openxmlformats.org/officeDocument/2006/relationships/hyperlink" Target="https://webgate.ec.europa.eu/regiokm/pages/viewpage.action?pageId=255099212" TargetMode="External"/><Relationship Id="rId177" Type="http://schemas.openxmlformats.org/officeDocument/2006/relationships/hyperlink" Target="https://webgate.ec.europa.eu/regiokm/display/XNETCPR2021/QA00167+-+Collection+of+data" TargetMode="External"/><Relationship Id="rId342" Type="http://schemas.openxmlformats.org/officeDocument/2006/relationships/hyperlink" Target="https://webgate.ec.europa.eu/regiokm/display/XNETCPR2021/QA00209+-+Audit+of+travel+and+accommodation+costs+reimbursed+based+on+a+flat+rate" TargetMode="External"/><Relationship Id="rId384" Type="http://schemas.openxmlformats.org/officeDocument/2006/relationships/hyperlink" Target="https://webgate.ec.europa.eu/regiokm/pages/viewpage.action?pageId=158761480" TargetMode="External"/><Relationship Id="rId202" Type="http://schemas.openxmlformats.org/officeDocument/2006/relationships/hyperlink" Target="https://webgate.ec.europa.eu/regiokm/display/XNETCPR2021/QA00308+-+Questions+related+to+pre-financing+and+co-financing+rate" TargetMode="External"/><Relationship Id="rId244" Type="http://schemas.openxmlformats.org/officeDocument/2006/relationships/hyperlink" Target="https://webgate.ec.europa.eu/regiokm/display/XNETCPR2021/QA662_EMFAF_Eligibility+of+investment+on+vessels" TargetMode="External"/><Relationship Id="rId39" Type="http://schemas.openxmlformats.org/officeDocument/2006/relationships/hyperlink" Target="https://webgate.ec.europa.eu/regiokm/pages/viewpage.action?pageId=255099295" TargetMode="External"/><Relationship Id="rId286" Type="http://schemas.openxmlformats.org/officeDocument/2006/relationships/hyperlink" Target="https://webgate.ec.europa.eu/regiokm/display/XNETCPR2021/QA615_EMFAF_Annex+III+EMFAF+definitions" TargetMode="External"/><Relationship Id="rId451" Type="http://schemas.openxmlformats.org/officeDocument/2006/relationships/hyperlink" Target="file:///U:/02%20INTERPRETATION/Post2020/02%20QA%20requests/2021/197%20QA%20REGIO%202021-27/FINAL_197%20QA%20-%20Combination%20of%20streams%20of%20support%20ERDF%20and%20RRF.docx" TargetMode="External"/><Relationship Id="rId493" Type="http://schemas.openxmlformats.org/officeDocument/2006/relationships/hyperlink" Target="https://modernisationfund.eu/governance/european-commission/" TargetMode="External"/><Relationship Id="rId507" Type="http://schemas.openxmlformats.org/officeDocument/2006/relationships/hyperlink" Target="https://ec.europa.eu/newsroom/dae/redirection/document/80907" TargetMode="External"/><Relationship Id="rId549" Type="http://schemas.openxmlformats.org/officeDocument/2006/relationships/hyperlink" Target="https://eur-lex.europa.eu/legal-content/EN/TXT/?uri=OJ:L_202401275&amp;pk_keyword=Energy&amp;pk_content=Directive" TargetMode="External"/><Relationship Id="rId50" Type="http://schemas.openxmlformats.org/officeDocument/2006/relationships/hyperlink" Target="https://webgate.ec.europa.eu/regiokm/pages/viewpage.action?pageId=255099184" TargetMode="External"/><Relationship Id="rId104" Type="http://schemas.openxmlformats.org/officeDocument/2006/relationships/hyperlink" Target="https://webgate.ec.europa.eu/regiokm/display/XNETCPR2021/QA00150+-++Direct+staff+costs+concerning+grants" TargetMode="External"/><Relationship Id="rId146" Type="http://schemas.openxmlformats.org/officeDocument/2006/relationships/hyperlink" Target="https://webgate.ec.europa.eu/regiokm/pages/viewpage.action?pageId=255099319" TargetMode="External"/><Relationship Id="rId188" Type="http://schemas.openxmlformats.org/officeDocument/2006/relationships/hyperlink" Target="https://webgate.ec.europa.eu/regiokm/display/XNETCPR2021/QA00054+-+Questions+on+the+Accounting+function+and+payment+application" TargetMode="External"/><Relationship Id="rId311" Type="http://schemas.openxmlformats.org/officeDocument/2006/relationships/hyperlink" Target="https://webgate.ec.europa.eu/regiokm/display/XNETCPR2021/QA00075+-+Can+ERDF+programmes+support+infrastructure+for+vocational+training+centres+under+policy+objective+1" TargetMode="External"/><Relationship Id="rId353" Type="http://schemas.openxmlformats.org/officeDocument/2006/relationships/hyperlink" Target="https://webgate.ec.europa.eu/regiokm/display/XNETCPR2021/QA00303+-+Scope+of+STEP+and+relation+with+eligibility+rules+under+the+funds" TargetMode="External"/><Relationship Id="rId395" Type="http://schemas.openxmlformats.org/officeDocument/2006/relationships/hyperlink" Target="https://webgate.ec.europa.eu/regiokm/display/XNETCPR2021/QA00126+-+Technical+Assistance+financed+by+the+Just+Transition+Fund" TargetMode="External"/><Relationship Id="rId409" Type="http://schemas.openxmlformats.org/officeDocument/2006/relationships/hyperlink" Target="https://webgate.ec.europa.eu/regiokm/display/XNETCPR2021/QA00244+-+Investments+in+waste+heat+capture+from+pre-existing+heat+sources+and+its+use+for+district+heating" TargetMode="External"/><Relationship Id="rId92" Type="http://schemas.openxmlformats.org/officeDocument/2006/relationships/hyperlink" Target="https://webgate.ec.europa.eu/regiokm/display/XNETCPR2021/QA00272+-+Obligation+to+make+the+name+of+contractors+publicly+available" TargetMode="External"/><Relationship Id="rId213" Type="http://schemas.openxmlformats.org/officeDocument/2006/relationships/hyperlink" Target="https://webgate.ec.europa.eu/regiokm/display/XNETCPR2021/QA00219+-+Modalities+of+phasing+operations" TargetMode="External"/><Relationship Id="rId420" Type="http://schemas.openxmlformats.org/officeDocument/2006/relationships/hyperlink" Target="file:///U:/02%20INTERPRETATION/Post2020/Selection%20of%20QAs%20for%20semi-public%20platform/QAs%20for%20publication%201%20September/CLEAN_revised_FINAL_QA%20170_eligibility%20of%20VAT.docx" TargetMode="External"/><Relationship Id="rId255" Type="http://schemas.openxmlformats.org/officeDocument/2006/relationships/hyperlink" Target="https://webgate.ec.europa.eu/regiokm/display/XNETCPR2021/QA611_EMFAF_Submission+of+programmes" TargetMode="External"/><Relationship Id="rId297" Type="http://schemas.openxmlformats.org/officeDocument/2006/relationships/hyperlink" Target="https://webgate.ec.europa.eu/regiokm/display/XNETCPR2021/QA679_EMFAF_Progress+status+of+operations+in+INFOSYS" TargetMode="External"/><Relationship Id="rId462" Type="http://schemas.openxmlformats.org/officeDocument/2006/relationships/hyperlink" Target="file:///U:/02%20INTERPRETATION/Post2020/Other%20DGs%20Questions/50%20QA_EMPL_2021-27/FINAL_EMPL%202021-2027%20QA_20%20DNSH%20in%20ESF+%20programmes%20MR.docx" TargetMode="External"/><Relationship Id="rId518" Type="http://schemas.openxmlformats.org/officeDocument/2006/relationships/hyperlink" Target="https://ec.europa.eu/eurostat/statistics-explained/index.php?title=Glossary:Fossil_fuel" TargetMode="External"/><Relationship Id="rId115" Type="http://schemas.openxmlformats.org/officeDocument/2006/relationships/hyperlink" Target="https://webgate.ec.europa.eu/regiokm/display/XNETCPR2021/QA00228+-+Calculation+of+estimated+leverage+effect+for+financial+instruments+combined+with+grants" TargetMode="External"/><Relationship Id="rId157" Type="http://schemas.openxmlformats.org/officeDocument/2006/relationships/hyperlink" Target="https://webgate.ec.europa.eu/regiokm/pages/viewpage.action?pageId=264176936" TargetMode="External"/><Relationship Id="rId322" Type="http://schemas.openxmlformats.org/officeDocument/2006/relationships/hyperlink" Target="https://webgate.ec.europa.eu/regiokm/display/XNETCPR2021/QA00189+-+Optimisation+of+existing+heating+systems+while+maintaining+the+use+of+gas" TargetMode="External"/><Relationship Id="rId364" Type="http://schemas.openxmlformats.org/officeDocument/2006/relationships/hyperlink" Target="https://webgate.ec.europa.eu/regiokm/pages/viewpage.action?pageId=158761450" TargetMode="External"/><Relationship Id="rId61" Type="http://schemas.openxmlformats.org/officeDocument/2006/relationships/hyperlink" Target="https://webgate.ec.europa.eu/regiokm/display/XNETCPR2021/QA00282+-+Support+for+LAGs+identified+as+Intermediate+Bodies" TargetMode="External"/><Relationship Id="rId199" Type="http://schemas.openxmlformats.org/officeDocument/2006/relationships/hyperlink" Target="https://webgate.ec.europa.eu/regiokm/pages/viewpage.action?pageId=255099323" TargetMode="External"/><Relationship Id="rId19" Type="http://schemas.openxmlformats.org/officeDocument/2006/relationships/hyperlink" Target="https://webgate.ec.europa.eu/regiokm/display/XNETCPR2021/QA00307+-+Questions+related+to+partnership+agreement+amendment" TargetMode="External"/><Relationship Id="rId224" Type="http://schemas.openxmlformats.org/officeDocument/2006/relationships/hyperlink" Target="https://webgate.ec.europa.eu/regiokm/display/XNETCPR2021/QA00308+-+Questions+related+to+pre-financing+and+co-financing+rate" TargetMode="External"/><Relationship Id="rId266" Type="http://schemas.openxmlformats.org/officeDocument/2006/relationships/hyperlink" Target="https://webgate.ec.europa.eu/regiokm/display/XNETCPR2021/QA700_EMFAF_support+for+permanent+cessation+of+fishing+activities" TargetMode="External"/><Relationship Id="rId431" Type="http://schemas.openxmlformats.org/officeDocument/2006/relationships/hyperlink" Target="https://ec.europa.eu/info/sites/default/files/eu-emblem-rules_en.pdf" TargetMode="External"/><Relationship Id="rId473" Type="http://schemas.openxmlformats.org/officeDocument/2006/relationships/hyperlink" Target="https://webgate.ec.europa.eu/regiokm/pages/viewpage.action?pageId=143759819" TargetMode="External"/><Relationship Id="rId529" Type="http://schemas.openxmlformats.org/officeDocument/2006/relationships/hyperlink" Target="https://webgate.ec.europa.eu/regiokm/display/2127QA/QA00206+-+Cascade+funding+-+follow-up+to+the+QA00132" TargetMode="External"/><Relationship Id="rId30" Type="http://schemas.openxmlformats.org/officeDocument/2006/relationships/hyperlink" Target="https://webgate.ec.europa.eu/regiokm/pages/viewpage.action?pageId=272077348" TargetMode="External"/><Relationship Id="rId126" Type="http://schemas.openxmlformats.org/officeDocument/2006/relationships/hyperlink" Target="https://webgate.ec.europa.eu/regiokm/display/XNETCPR2021/QA00293+-+Inclusion+of+paid+holidays+for+direct+staff+costs+under+Article+55%282%29%28b%29+CPR" TargetMode="External"/><Relationship Id="rId168" Type="http://schemas.openxmlformats.org/officeDocument/2006/relationships/hyperlink" Target="https://webgate.ec.europa.eu/regiokm/display/XNETCPR2021/QA00031+-+Data+field+59%2C+data+field+60+Annex+XVII" TargetMode="External"/><Relationship Id="rId333" Type="http://schemas.openxmlformats.org/officeDocument/2006/relationships/hyperlink" Target="https://webgate.ec.europa.eu/regiokm/display/XNETCPR2021/QA00310+-+Questions+related+to+State+aid+aspects" TargetMode="External"/><Relationship Id="rId540" Type="http://schemas.openxmlformats.org/officeDocument/2006/relationships/hyperlink" Target="https://www.ilo.org/global/lang--en/index.htm" TargetMode="External"/><Relationship Id="rId72" Type="http://schemas.openxmlformats.org/officeDocument/2006/relationships/hyperlink" Target="https://webgate.ec.europa.eu/regiokm/pages/viewpage.action?pageId=255099375" TargetMode="External"/><Relationship Id="rId375" Type="http://schemas.openxmlformats.org/officeDocument/2006/relationships/hyperlink" Target="https://webgate.ec.europa.eu/regiokm/pages/viewpage.action?pageId=158761471" TargetMode="External"/><Relationship Id="rId3" Type="http://schemas.openxmlformats.org/officeDocument/2006/relationships/styles" Target="styles.xml"/><Relationship Id="rId235" Type="http://schemas.openxmlformats.org/officeDocument/2006/relationships/hyperlink" Target="https://webgate.ec.europa.eu/regiokm/display/XNETCPR2021/QA696_EMFAF_Maximum+aid+intensity+for+inland+fishing+vessels" TargetMode="External"/><Relationship Id="rId277" Type="http://schemas.openxmlformats.org/officeDocument/2006/relationships/hyperlink" Target="https://webgate.ec.europa.eu/regiokm/display/XNETCPR2021/QA689_EMFAF_Eligibility+of+installation+of+solar+panels+in+aquaculture+plants" TargetMode="External"/><Relationship Id="rId400" Type="http://schemas.openxmlformats.org/officeDocument/2006/relationships/hyperlink" Target="https://webgate.ec.europa.eu/regiokm/display/XNETCPR2021/QA00142+-+Applicability+of+Article+36%282%29+of+the+CPR+on+technical+assistance+to+the+JTF" TargetMode="External"/><Relationship Id="rId442" Type="http://schemas.openxmlformats.org/officeDocument/2006/relationships/hyperlink" Target="https://ec.europa.eu/clima/sites/default/files/adaptation/what/docs/climate_proofing_guidance_en.pdf" TargetMode="External"/><Relationship Id="rId484" Type="http://schemas.openxmlformats.org/officeDocument/2006/relationships/hyperlink" Target="https://ec.europa.eu/regional_policy/en/newsroom/news/2022/05/05-06-2022-communicating-operations-of-strategic-importance-a-practical-toolbox" TargetMode="External"/><Relationship Id="rId137" Type="http://schemas.openxmlformats.org/officeDocument/2006/relationships/hyperlink" Target="https://webgate.ec.europa.eu/regiokm/display/XNETCPR2021/QA00131+-+Support+to+combined+instruments" TargetMode="External"/><Relationship Id="rId302" Type="http://schemas.openxmlformats.org/officeDocument/2006/relationships/hyperlink" Target="https://webgate.ec.europa.eu/regiokm/display/XNETCPR2021/QA718_EMFAF_Annex+III" TargetMode="External"/><Relationship Id="rId344" Type="http://schemas.openxmlformats.org/officeDocument/2006/relationships/hyperlink" Target="https://webgate.ec.europa.eu/regiokm/pages/viewpage.action?pageId=262539697" TargetMode="External"/><Relationship Id="rId41" Type="http://schemas.openxmlformats.org/officeDocument/2006/relationships/hyperlink" Target="https://webgate.ec.europa.eu/regiokm/display/XNETCPR2021/QA00256+-+Need+for+EC+decision+for+programme+amendement+in+case+of+modification+of+the+national+contribution" TargetMode="External"/><Relationship Id="rId83" Type="http://schemas.openxmlformats.org/officeDocument/2006/relationships/hyperlink" Target="https://webgate.ec.europa.eu/regiokm/display/XNETCPR2021/QA00136+-+Questions+related+to+the+list+of+operations+and+transmission+of+data" TargetMode="External"/><Relationship Id="rId179" Type="http://schemas.openxmlformats.org/officeDocument/2006/relationships/hyperlink" Target="https://webgate.ec.europa.eu/regiokm/display/XNETCPR2021/QA00188+-+Financial+fields+81+and+82+in+Annex+XVII" TargetMode="External"/><Relationship Id="rId386" Type="http://schemas.openxmlformats.org/officeDocument/2006/relationships/hyperlink" Target="https://webgate.ec.europa.eu/regiokm/display/XNETCPR2021/QA00032+-+Eligibility+of+municipal+companies+under+the+JTF+classified+as+large+enterprises" TargetMode="External"/><Relationship Id="rId551" Type="http://schemas.openxmlformats.org/officeDocument/2006/relationships/hyperlink" Target="https://eur-lex.europa.eu/legal-content/EN/AUTO/?uri=CELEX:32024R1679" TargetMode="External"/><Relationship Id="rId190" Type="http://schemas.openxmlformats.org/officeDocument/2006/relationships/hyperlink" Target="https://webgate.ec.europa.eu/regiokm/display/XNETCPR2021/QA00088+-+Reimbursement+of+Union+contribution+to+the+programme+based+on+unit+costs%2C+lump+sums+and+flat+rates" TargetMode="External"/><Relationship Id="rId204" Type="http://schemas.openxmlformats.org/officeDocument/2006/relationships/hyperlink" Target="https://webgate.ec.europa.eu/regiokm/display/XNETCPR2021/QA00043+-+Payments+and+management+verifications+in+PPP+projects" TargetMode="External"/><Relationship Id="rId246" Type="http://schemas.openxmlformats.org/officeDocument/2006/relationships/hyperlink" Target="https://webgate.ec.europa.eu/regiokm/display/XNETCPR2021/QA677_EMFAF_Investments+on+board+fishing+vessels" TargetMode="External"/><Relationship Id="rId288" Type="http://schemas.openxmlformats.org/officeDocument/2006/relationships/hyperlink" Target="https://webgate.ec.europa.eu/regiokm/display/XNETCPR2021/QA620_EMFAF_Aid+intensity+for+operations+related+to+small-scale+coastal+fishing" TargetMode="External"/><Relationship Id="rId411" Type="http://schemas.openxmlformats.org/officeDocument/2006/relationships/hyperlink" Target="https://webgate.ec.europa.eu/regiokm/display/XNETCPR2021/QA00261+-+Wage+costs+eligibility+under+JTF+and+cost+eligibility+CPR+funds+v+GBER" TargetMode="External"/><Relationship Id="rId453" Type="http://schemas.openxmlformats.org/officeDocument/2006/relationships/hyperlink" Target="https://webgate.ec.europa.eu/fpfis/wikis/pages/viewpage.action?spaceKey=recover&amp;title=RRF+-+Frequently+asked+questions" TargetMode="External"/><Relationship Id="rId509" Type="http://schemas.openxmlformats.org/officeDocument/2006/relationships/hyperlink" Target="https://eur-lex.europa.eu/legal-content/EN/TXT/?uri=CELEX:02000D0532-20150601" TargetMode="External"/><Relationship Id="rId106" Type="http://schemas.openxmlformats.org/officeDocument/2006/relationships/hyperlink" Target="https://webgate.ec.europa.eu/regiokm/display/XNETCPR2021/QA00162+-+Single+FI+receiving+contribution+from+different+Funds" TargetMode="External"/><Relationship Id="rId313" Type="http://schemas.openxmlformats.org/officeDocument/2006/relationships/hyperlink" Target="https://webgate.ec.europa.eu/regiokm/display/XNETCPR2021/QA00080+-+Eligibility+of+certain+forms+of+support+to+business+founders" TargetMode="External"/><Relationship Id="rId495" Type="http://schemas.openxmlformats.org/officeDocument/2006/relationships/hyperlink" Target="https://ec.europa.eu/clima/policies/ets_en" TargetMode="External"/><Relationship Id="rId10" Type="http://schemas.openxmlformats.org/officeDocument/2006/relationships/hyperlink" Target="https://webgate.ec.europa.eu/regiokm/display/XNETCPR2021/QA00190+-+Managing+Authority+an+eligible+beneficiary+of+activities+other+than+TA" TargetMode="External"/><Relationship Id="rId52" Type="http://schemas.openxmlformats.org/officeDocument/2006/relationships/hyperlink" Target="https://webgate.ec.europa.eu/regiokm/display/XNETCPR2021/QA00099+-+Use+of+ITI%2C+CLLD%2C+national+specific+approaches" TargetMode="External"/><Relationship Id="rId94" Type="http://schemas.openxmlformats.org/officeDocument/2006/relationships/hyperlink" Target="https://webgate.ec.europa.eu/regiokm/pages/viewpage.action?pageId=275322799" TargetMode="External"/><Relationship Id="rId148" Type="http://schemas.openxmlformats.org/officeDocument/2006/relationships/hyperlink" Target="https://webgate.ec.europa.eu/regiokm/display/XNETCPR2021/QA00250+-+Applicability+of+%28completed%29+operation" TargetMode="External"/><Relationship Id="rId355" Type="http://schemas.openxmlformats.org/officeDocument/2006/relationships/hyperlink" Target="https://webgate.ec.europa.eu/regiokm/pages/viewpage.action?pageId=158761438" TargetMode="External"/><Relationship Id="rId397" Type="http://schemas.openxmlformats.org/officeDocument/2006/relationships/hyperlink" Target="https://webgate.ec.europa.eu/regiokm/pages/viewpage.action?pageId=255099238" TargetMode="External"/><Relationship Id="rId520" Type="http://schemas.openxmlformats.org/officeDocument/2006/relationships/hyperlink" Target="https://webgate.ec.europa.eu/regiokm/display/2127QA/QA00057+-+Start+date+of+eligibility+for+the+JTF" TargetMode="External"/><Relationship Id="rId215" Type="http://schemas.openxmlformats.org/officeDocument/2006/relationships/hyperlink" Target="https://webgate.ec.europa.eu/regiokm/pages/viewpage.action?pageId=275322755" TargetMode="External"/><Relationship Id="rId257" Type="http://schemas.openxmlformats.org/officeDocument/2006/relationships/hyperlink" Target="https://webgate.ec.europa.eu/regiokm/display/XNETCPR2021/QA618_EMFAF_Use+of+EMFAF+for+co-financing+awareness-raising+campaigns+on+marine+litter" TargetMode="External"/><Relationship Id="rId422" Type="http://schemas.openxmlformats.org/officeDocument/2006/relationships/hyperlink" Target="https://webgate.ec.europa.eu/regiokm/pages/viewpage.action?pageId=143761372" TargetMode="External"/><Relationship Id="rId464" Type="http://schemas.openxmlformats.org/officeDocument/2006/relationships/hyperlink" Target="https://ec.europa.eu/regional_policy/en/policy/how/improving-investment/simplified-cost-options/" TargetMode="External"/><Relationship Id="rId299" Type="http://schemas.openxmlformats.org/officeDocument/2006/relationships/hyperlink" Target="https://webgate.ec.europa.eu/regiokm/display/XNETCPR2021/QA698_EMFAF_Calculation+of+compensation" TargetMode="External"/><Relationship Id="rId63" Type="http://schemas.openxmlformats.org/officeDocument/2006/relationships/hyperlink" Target="https://webgate.ec.europa.eu/regiokm/display/XNETCPR2021/QA00006+-+Technical+assistance%3A+risk+of+double+funding+when+using+flat-rate+technical+assistance+in+2021-2027" TargetMode="External"/><Relationship Id="rId159" Type="http://schemas.openxmlformats.org/officeDocument/2006/relationships/hyperlink" Target="https://webgate.ec.europa.eu/regiokm/pages/viewpage.action?pageId=279871711" TargetMode="External"/><Relationship Id="rId366" Type="http://schemas.openxmlformats.org/officeDocument/2006/relationships/hyperlink" Target="https://webgate.ec.europa.eu/regiokm/pages/viewpage.action?pageId=158761454" TargetMode="External"/><Relationship Id="rId226" Type="http://schemas.openxmlformats.org/officeDocument/2006/relationships/hyperlink" Target="https://webgate.ec.europa.eu/regiokm/display/XNETCPR2021/QA00310+-+Questions+related+to+State+aid+aspects" TargetMode="External"/><Relationship Id="rId433" Type="http://schemas.openxmlformats.org/officeDocument/2006/relationships/hyperlink" Target="file:///U:/02%20INTERPRETATION/Post2020/02%20QA%20requests/2021/208%20QA%20REGIO%202021-27/FINAL_QA208_eligibility%20large%20enterprises%20under%20JTF.docx" TargetMode="External"/><Relationship Id="rId74" Type="http://schemas.openxmlformats.org/officeDocument/2006/relationships/hyperlink" Target="https://webgate.ec.europa.eu/regiokm/display/XNETCPR2021/QA00194+-+Data+to+be+transmitted+by+the+Member+States+in+accordance+with+Article+42%282%29a+of+the+CPR+in+case+of+flat-rate+technical+assistance" TargetMode="External"/><Relationship Id="rId377" Type="http://schemas.openxmlformats.org/officeDocument/2006/relationships/hyperlink" Target="https://webgate.ec.europa.eu/regiokm/pages/viewpage.action?pageId=158761484" TargetMode="External"/><Relationship Id="rId500" Type="http://schemas.openxmlformats.org/officeDocument/2006/relationships/hyperlink" Target="https://webgate.ec.europa.eu/regiokm/display/2127QA/QA00199+-+De+minimis+in+the+context+of+State+aid+in+CPR+2021-27" TargetMode="External"/><Relationship Id="rId5" Type="http://schemas.openxmlformats.org/officeDocument/2006/relationships/webSettings" Target="webSettings.xml"/><Relationship Id="rId237" Type="http://schemas.openxmlformats.org/officeDocument/2006/relationships/hyperlink" Target="https://webgate.ec.europa.eu/regiokm/display/XNETCPR2021/QA594_EMFAF_Investments+on+board+of+fishing+vessels" TargetMode="External"/><Relationship Id="rId444" Type="http://schemas.openxmlformats.org/officeDocument/2006/relationships/hyperlink" Target="file:///C:/Users/zupantj/AppData/Local/Microsoft/Windows/INetCache/Content.Outlook/X0DZEZ3C/CLEAN_REVISED_FINAL_QA%20172%20Eligibility%20of%20operating%20aid%20to%20clusters-DK.docx" TargetMode="External"/><Relationship Id="rId290" Type="http://schemas.openxmlformats.org/officeDocument/2006/relationships/hyperlink" Target="https://webgate.ec.europa.eu/regiokm/pages/viewpage.action?pageId=186223578" TargetMode="External"/><Relationship Id="rId304" Type="http://schemas.openxmlformats.org/officeDocument/2006/relationships/hyperlink" Target="https://webgate.ec.europa.eu/regiokm/pages/viewpage.action?pageId=255099138" TargetMode="External"/><Relationship Id="rId388" Type="http://schemas.openxmlformats.org/officeDocument/2006/relationships/hyperlink" Target="https://webgate.ec.europa.eu/regiokm/display/XNETCPR2021/QA00057+-+Start+date+of+eligibility+for+the+JTF" TargetMode="External"/><Relationship Id="rId511" Type="http://schemas.openxmlformats.org/officeDocument/2006/relationships/hyperlink" Target="https://eur-lex.europa.eu/legal-content/EN/ALL/?uri=CELEX:32003D0033" TargetMode="External"/><Relationship Id="rId85" Type="http://schemas.openxmlformats.org/officeDocument/2006/relationships/hyperlink" Target="https://webgate.ec.europa.eu/regiokm/display/XNETCPR2021/QA00172+-+Visibility+requirements+when+the+beneficiary+is+a+physical+person" TargetMode="External"/><Relationship Id="rId150" Type="http://schemas.openxmlformats.org/officeDocument/2006/relationships/hyperlink" Target="https://webgate.ec.europa.eu/regiokm/display/XNETCPR2021/QA00258+-+Contributions+in+kind+in+the+form+of+land+or+real+estate+in+the+context+of+rules+on+eligibility+of+land" TargetMode="External"/><Relationship Id="rId248" Type="http://schemas.openxmlformats.org/officeDocument/2006/relationships/hyperlink" Target="https://webgate.ec.europa.eu/regiokm/display/XNETCPR2021/QA688_EMFAF_State+aid" TargetMode="External"/><Relationship Id="rId455" Type="http://schemas.openxmlformats.org/officeDocument/2006/relationships/hyperlink" Target="file:///C:/Users/zupantj/AppData/Local/Microsoft/Windows/INetCache/Content.Outlook/BB7ZRUJV/EMPL%202021-2027%20QA_18%20evaluations%20(002).docx" TargetMode="External"/><Relationship Id="rId12" Type="http://schemas.openxmlformats.org/officeDocument/2006/relationships/hyperlink" Target="https://webgate.ec.europa.eu/regiokm/display/XNETCPR2021/QA00236+-+Digitalisation+of+SMEs+through+the+European+Digital+Innovation+Hubs+%28EDIHs%29+and+state+aid+related+issues" TargetMode="External"/><Relationship Id="rId108" Type="http://schemas.openxmlformats.org/officeDocument/2006/relationships/hyperlink" Target="https://webgate.ec.europa.eu/regiokm/pages/viewpage.action?pageId=255099274" TargetMode="External"/><Relationship Id="rId315" Type="http://schemas.openxmlformats.org/officeDocument/2006/relationships/hyperlink" Target="https://webgate.ec.europa.eu/regiokm/display/XNETCPR2021/QA00096+-+Inclusion+of+energy+efficiency+measures+for+secondary+schools+and+social+housing+in+PO2" TargetMode="External"/><Relationship Id="rId522" Type="http://schemas.openxmlformats.org/officeDocument/2006/relationships/hyperlink" Target="https://webgate.ec.europa.eu/fpfis/wikis/pages/viewpage.action?pageId=11143431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9E1FB318CE02F4285A2DC3B2CB61049" ma:contentTypeVersion="1" ma:contentTypeDescription="Crear nuevo documento." ma:contentTypeScope="" ma:versionID="c99b4acb2f42ae80f2ad8f64e8acc0f4">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DFF99F-70BC-432C-A33E-E73EBEFE93B0}">
  <ds:schemaRefs>
    <ds:schemaRef ds:uri="http://schemas.openxmlformats.org/officeDocument/2006/bibliography"/>
  </ds:schemaRefs>
</ds:datastoreItem>
</file>

<file path=customXml/itemProps2.xml><?xml version="1.0" encoding="utf-8"?>
<ds:datastoreItem xmlns:ds="http://schemas.openxmlformats.org/officeDocument/2006/customXml" ds:itemID="{A36EFB67-3803-4A91-9C74-1A5085E291F4}"/>
</file>

<file path=customXml/itemProps3.xml><?xml version="1.0" encoding="utf-8"?>
<ds:datastoreItem xmlns:ds="http://schemas.openxmlformats.org/officeDocument/2006/customXml" ds:itemID="{BB766F8F-AC68-4FFE-9F66-01AEFF5FE4C2}"/>
</file>

<file path=customXml/itemProps4.xml><?xml version="1.0" encoding="utf-8"?>
<ds:datastoreItem xmlns:ds="http://schemas.openxmlformats.org/officeDocument/2006/customXml" ds:itemID="{67CDDCAA-1D24-4768-974B-C8B01175F046}"/>
</file>

<file path=docProps/app.xml><?xml version="1.0" encoding="utf-8"?>
<Properties xmlns="http://schemas.openxmlformats.org/officeDocument/2006/extended-properties" xmlns:vt="http://schemas.openxmlformats.org/officeDocument/2006/docPropsVTypes">
  <Template>Normal.dotm</Template>
  <TotalTime>355</TotalTime>
  <Pages>745</Pages>
  <Words>299656</Words>
  <Characters>1648108</Characters>
  <Application>Microsoft Office Word</Application>
  <DocSecurity>0</DocSecurity>
  <Lines>13734</Lines>
  <Paragraphs>3887</Paragraphs>
  <ScaleCrop>false</ScaleCrop>
  <HeadingPairs>
    <vt:vector size="2" baseType="variant">
      <vt:variant>
        <vt:lpstr>Título</vt:lpstr>
      </vt:variant>
      <vt:variant>
        <vt:i4>1</vt:i4>
      </vt:variant>
    </vt:vector>
  </HeadingPairs>
  <TitlesOfParts>
    <vt:vector size="1" baseType="lpstr">
      <vt:lpstr/>
    </vt:vector>
  </TitlesOfParts>
  <Company>IGAE</Company>
  <LinksUpToDate>false</LinksUpToDate>
  <CharactersWithSpaces>1943877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Vega Escudero, Ana Isabel</dc:creator>
  <cp:keywords/>
  <dc:description/>
  <cp:lastModifiedBy>Vega Escudero, Ana Isabel</cp:lastModifiedBy>
  <cp:revision>48</cp:revision>
  <dcterms:created xsi:type="dcterms:W3CDTF">2024-09-20T08:13:00Z</dcterms:created>
  <dcterms:modified xsi:type="dcterms:W3CDTF">2024-09-24T15:17:00Z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0x010100B9E1FB318CE02F4285A2DC3B2CB61049</vt:lpwstr>
  </property>
</Properties>
</file>